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04"/>
        <w:pBdr/>
        <w:spacing/>
        <w:ind/>
        <w:jc w:val="center"/>
        <w:rPr>
          <w:sz w:val="56"/>
          <w:szCs w:val="56"/>
          <w:lang w:val="en-US"/>
        </w:rPr>
      </w:pPr>
      <w:r>
        <w:rPr>
          <w:sz w:val="56"/>
          <w:szCs w:val="56"/>
          <w:lang w:val="en-US"/>
        </w:rPr>
        <w:t xml:space="preserve">Expertise</w:t>
      </w:r>
      <w:r>
        <w:rPr>
          <w:spacing w:val="-11"/>
          <w:sz w:val="56"/>
          <w:szCs w:val="56"/>
          <w:lang w:val="en-US"/>
        </w:rPr>
        <w:t xml:space="preserve"> </w:t>
      </w:r>
      <w:r>
        <w:rPr>
          <w:sz w:val="56"/>
          <w:szCs w:val="56"/>
          <w:lang w:val="en-US"/>
        </w:rPr>
        <w:t xml:space="preserve">France</w:t>
      </w:r>
      <w:r>
        <w:rPr>
          <w:spacing w:val="-14"/>
          <w:sz w:val="56"/>
          <w:szCs w:val="56"/>
          <w:lang w:val="en-US"/>
        </w:rPr>
        <w:t xml:space="preserve"> </w:t>
      </w:r>
      <w:r>
        <w:rPr>
          <w:sz w:val="56"/>
          <w:szCs w:val="56"/>
          <w:lang w:val="en-US"/>
        </w:rPr>
        <w:t xml:space="preserve">in</w:t>
      </w:r>
      <w:r>
        <w:rPr>
          <w:spacing w:val="-10"/>
          <w:sz w:val="56"/>
          <w:szCs w:val="56"/>
          <w:lang w:val="en-US"/>
        </w:rPr>
        <w:t xml:space="preserve"> </w:t>
      </w:r>
      <w:r>
        <w:rPr>
          <w:sz w:val="56"/>
          <w:szCs w:val="56"/>
          <w:lang w:val="en-US"/>
        </w:rPr>
        <w:t xml:space="preserve">Libya</w:t>
      </w:r>
      <w:r>
        <w:rPr>
          <w:sz w:val="56"/>
          <w:szCs w:val="56"/>
          <w:lang w:val="en-US"/>
        </w:rPr>
      </w:r>
    </w:p>
    <w:p>
      <w:pPr>
        <w:pStyle w:val="904"/>
        <w:pBdr/>
        <w:spacing/>
        <w:ind/>
        <w:jc w:val="center"/>
        <w:rPr>
          <w:sz w:val="56"/>
          <w:szCs w:val="56"/>
          <w:lang w:val="en-IE"/>
        </w:rPr>
      </w:pPr>
      <w:r>
        <w:rPr>
          <w:sz w:val="56"/>
          <w:szCs w:val="56"/>
          <w:lang w:val="en-IE"/>
        </w:rPr>
      </w:r>
      <w:r>
        <w:rPr>
          <w:sz w:val="56"/>
          <w:szCs w:val="56"/>
          <w:lang w:val="en-IE"/>
        </w:rPr>
      </w:r>
    </w:p>
    <w:p>
      <w:pPr>
        <w:pStyle w:val="904"/>
        <w:pBdr/>
        <w:spacing/>
        <w:ind/>
        <w:jc w:val="center"/>
        <w:rPr>
          <w:sz w:val="56"/>
          <w:szCs w:val="56"/>
          <w:lang w:val="en-US"/>
        </w:rPr>
      </w:pPr>
      <w:r>
        <w:rPr>
          <w:sz w:val="56"/>
          <w:szCs w:val="56"/>
          <w:lang w:val="en-US"/>
        </w:rPr>
        <w:t xml:space="preserve">Terms</w:t>
      </w:r>
      <w:r>
        <w:rPr>
          <w:spacing w:val="-10"/>
          <w:sz w:val="56"/>
          <w:szCs w:val="56"/>
          <w:lang w:val="en-US"/>
        </w:rPr>
        <w:t xml:space="preserve"> </w:t>
      </w:r>
      <w:r>
        <w:rPr>
          <w:sz w:val="56"/>
          <w:szCs w:val="56"/>
          <w:lang w:val="en-US"/>
        </w:rPr>
        <w:t xml:space="preserve">of</w:t>
      </w:r>
      <w:r>
        <w:rPr>
          <w:spacing w:val="-10"/>
          <w:sz w:val="56"/>
          <w:szCs w:val="56"/>
          <w:lang w:val="en-US"/>
        </w:rPr>
        <w:t xml:space="preserve"> </w:t>
      </w:r>
      <w:r>
        <w:rPr>
          <w:sz w:val="56"/>
          <w:szCs w:val="56"/>
          <w:lang w:val="en-US"/>
        </w:rPr>
        <w:t xml:space="preserve">R</w:t>
      </w:r>
      <w:r>
        <w:rPr>
          <w:sz w:val="56"/>
          <w:szCs w:val="56"/>
          <w:lang w:val="en-US"/>
        </w:rPr>
        <w:t xml:space="preserve">eference</w:t>
      </w:r>
      <w:r>
        <w:rPr>
          <w:sz w:val="56"/>
          <w:szCs w:val="56"/>
          <w:lang w:val="en-US"/>
        </w:rPr>
      </w:r>
    </w:p>
    <w:p>
      <w:pPr>
        <w:pStyle w:val="904"/>
        <w:pBdr/>
        <w:spacing/>
        <w:ind/>
        <w:jc w:val="center"/>
        <w:rPr>
          <w:sz w:val="56"/>
          <w:szCs w:val="56"/>
          <w:lang w:val="en-US"/>
        </w:rPr>
      </w:pPr>
      <w:r>
        <w:rPr>
          <w:sz w:val="56"/>
          <w:szCs w:val="56"/>
          <w:lang w:val="en-US"/>
        </w:rPr>
        <w:t xml:space="preserve">Senior National Expert – Institutional Engagement &amp; Political-Economy Advisor</w:t>
      </w:r>
      <w:r>
        <w:rPr>
          <w:sz w:val="56"/>
          <w:szCs w:val="56"/>
          <w:lang w:val="en-US"/>
        </w:rPr>
      </w:r>
    </w:p>
    <w:p>
      <w:pPr>
        <w:pStyle w:val="904"/>
        <w:pBdr/>
        <w:spacing/>
        <w:ind/>
        <w:jc w:val="center"/>
        <w:rPr>
          <w:lang w:val="en-IE"/>
        </w:rPr>
      </w:pPr>
      <w:r>
        <w:rPr>
          <w:lang w:val="en-IE"/>
        </w:rPr>
      </w:r>
      <w:r>
        <w:rPr>
          <w:lang w:val="en-IE"/>
        </w:rPr>
      </w:r>
    </w:p>
    <w:p>
      <w:pPr>
        <w:pStyle w:val="904"/>
        <w:pBdr/>
        <w:spacing/>
        <w:ind/>
        <w:jc w:val="center"/>
        <w:rPr>
          <w:sz w:val="56"/>
          <w:szCs w:val="56"/>
          <w:lang w:val="en-IE"/>
        </w:rPr>
      </w:pPr>
      <w:r>
        <w:rPr>
          <w:lang w:val="en-IE"/>
        </w:rPr>
        <w:t xml:space="preserve">Public Financial Management Diagnostic and Reform Roadmap</w:t>
      </w:r>
      <w:r>
        <w:rPr>
          <w:sz w:val="56"/>
          <w:szCs w:val="56"/>
          <w:lang w:val="en-IE"/>
        </w:rPr>
      </w:r>
    </w:p>
    <w:p>
      <w:pPr>
        <w:pStyle w:val="904"/>
        <w:pBdr/>
        <w:spacing/>
        <w:ind/>
        <w:jc w:val="center"/>
        <w:rPr>
          <w:sz w:val="56"/>
          <w:szCs w:val="56"/>
          <w:lang w:val="en-IE"/>
        </w:rPr>
      </w:pPr>
      <w:r>
        <w:rPr>
          <w:sz w:val="56"/>
          <w:szCs w:val="56"/>
          <w:lang w:val="en-IE"/>
        </w:rPr>
      </w:r>
      <w:r>
        <w:rPr>
          <w:sz w:val="56"/>
          <w:szCs w:val="56"/>
          <w:lang w:val="en-IE"/>
        </w:rPr>
      </w:r>
    </w:p>
    <w:p>
      <w:pPr>
        <w:pStyle w:val="904"/>
        <w:pBdr/>
        <w:spacing/>
        <w:ind/>
        <w:jc w:val="center"/>
        <w:rPr>
          <w:sz w:val="56"/>
          <w:szCs w:val="56"/>
          <w:lang w:val="en-IE"/>
        </w:rPr>
      </w:pPr>
      <w:r>
        <w:rPr>
          <w:sz w:val="56"/>
          <w:szCs w:val="56"/>
          <w:lang w:val="en-IE"/>
        </w:rPr>
        <w:t xml:space="preserve">INVEST4LIBYA</w:t>
      </w:r>
      <w:r>
        <w:rPr>
          <w:sz w:val="56"/>
          <w:szCs w:val="56"/>
          <w:lang w:val="en-IE"/>
        </w:rPr>
      </w:r>
    </w:p>
    <w:p>
      <w:pPr>
        <w:pStyle w:val="904"/>
        <w:pBdr/>
        <w:spacing/>
        <w:ind/>
        <w:jc w:val="center"/>
        <w:rPr>
          <w:sz w:val="56"/>
          <w:szCs w:val="56"/>
          <w:lang w:val="en-IE"/>
        </w:rPr>
      </w:pPr>
      <w:r>
        <w:rPr>
          <w:sz w:val="56"/>
          <w:szCs w:val="56"/>
          <w:lang w:val="en-IE"/>
        </w:rPr>
      </w:r>
      <w:r>
        <w:rPr>
          <w:sz w:val="56"/>
          <w:szCs w:val="56"/>
          <w:lang w:val="en-IE"/>
        </w:rPr>
      </w:r>
    </w:p>
    <w:p>
      <w:pPr>
        <w:pStyle w:val="905"/>
        <w:pBdr/>
        <w:spacing/>
        <w:ind/>
        <w:jc w:val="center"/>
        <w:rPr>
          <w:lang w:val="en-US"/>
        </w:rPr>
      </w:pPr>
      <w:r>
        <w:rPr>
          <w:lang w:val="en-US"/>
        </w:rPr>
        <w:t xml:space="preserve">NOVEMBER</w:t>
      </w:r>
      <w:r>
        <w:rPr>
          <w:lang w:val="en-US"/>
        </w:rPr>
        <w:t xml:space="preserve"> 2025</w:t>
      </w:r>
      <w:r>
        <w:rPr>
          <w:lang w:val="en-US"/>
        </w:rPr>
      </w:r>
    </w:p>
    <w:p>
      <w:pPr>
        <w:pStyle w:val="862"/>
        <w:pBdr/>
        <w:spacing/>
        <w:ind/>
        <w:rPr>
          <w:rStyle w:val="947"/>
          <w:b/>
          <w:bCs w:val="0"/>
        </w:rPr>
      </w:pPr>
      <w:r>
        <w:rPr>
          <w:rStyle w:val="947"/>
          <w:bCs w:val="0"/>
        </w:rPr>
        <w:t xml:space="preserve">Executive Summary</w:t>
      </w:r>
      <w:r>
        <w:rPr>
          <w:rStyle w:val="947"/>
          <w:b/>
          <w:bCs w:val="0"/>
        </w:rPr>
      </w:r>
    </w:p>
    <w:tbl>
      <w:tblPr>
        <w:tblStyle w:val="948"/>
        <w:tblW w:w="0" w:type="auto"/>
        <w:tblBorders/>
        <w:tblLook w:val="04A0" w:firstRow="1" w:lastRow="0" w:firstColumn="1" w:lastColumn="0" w:noHBand="0" w:noVBand="1"/>
      </w:tblPr>
      <w:tblGrid>
        <w:gridCol w:w="2251"/>
        <w:gridCol w:w="7236"/>
      </w:tblGrid>
      <w:tr>
        <w:trPr>
          <w:trHeight w:val="239"/>
        </w:trPr>
        <w:tc>
          <w:tcPr>
            <w:tcBorders/>
            <w:tcW w:w="0" w:type="auto"/>
            <w:textDirection w:val="lrTb"/>
            <w:noWrap w:val="false"/>
          </w:tcPr>
          <w:p>
            <w:pPr>
              <w:pBdr/>
              <w:spacing/>
              <w:ind/>
              <w:rPr>
                <w:lang w:eastAsia="fr-FR"/>
              </w:rPr>
            </w:pPr>
            <w:r>
              <w:rPr>
                <w:lang w:eastAsia="fr-FR"/>
              </w:rPr>
            </w:r>
            <w:r>
              <w:rPr>
                <w:lang w:eastAsia="fr-FR"/>
              </w:rPr>
            </w:r>
          </w:p>
        </w:tc>
        <w:tc>
          <w:tcPr>
            <w:tcBorders/>
            <w:tcW w:w="0" w:type="auto"/>
            <w:textDirection w:val="lrTb"/>
            <w:noWrap w:val="false"/>
          </w:tcPr>
          <w:p>
            <w:pPr>
              <w:pBdr/>
              <w:spacing/>
              <w:ind/>
              <w:rPr>
                <w:lang w:eastAsia="fr-FR"/>
              </w:rPr>
            </w:pPr>
            <w:r>
              <w:rPr>
                <w:lang w:eastAsia="fr-FR"/>
              </w:rPr>
              <w:t xml:space="preserve">Description</w:t>
            </w:r>
            <w:r>
              <w:rPr>
                <w:lang w:eastAsia="fr-FR"/>
              </w:rPr>
            </w:r>
          </w:p>
        </w:tc>
      </w:tr>
      <w:tr>
        <w:trPr>
          <w:trHeight w:val="20"/>
        </w:trPr>
        <w:tc>
          <w:tcPr>
            <w:tcBorders/>
            <w:tcW w:w="0" w:type="auto"/>
            <w:textDirection w:val="lrTb"/>
            <w:noWrap w:val="false"/>
          </w:tcPr>
          <w:p>
            <w:pPr>
              <w:pBdr/>
              <w:spacing/>
              <w:ind/>
              <w:rPr>
                <w:lang w:eastAsia="fr-FR"/>
              </w:rPr>
            </w:pPr>
            <w:r>
              <w:rPr>
                <w:lang w:eastAsia="fr-FR"/>
              </w:rPr>
              <w:t xml:space="preserve">Project </w:t>
            </w:r>
            <w:r>
              <w:rPr>
                <w:lang w:eastAsia="fr-FR"/>
              </w:rPr>
              <w:t xml:space="preserve">Title</w:t>
            </w:r>
            <w:r>
              <w:rPr>
                <w:lang w:eastAsia="fr-FR"/>
              </w:rPr>
            </w:r>
          </w:p>
        </w:tc>
        <w:tc>
          <w:tcPr>
            <w:tcBorders/>
            <w:tcW w:w="0" w:type="auto"/>
            <w:textDirection w:val="lrTb"/>
            <w:noWrap w:val="false"/>
          </w:tcPr>
          <w:p>
            <w:pPr>
              <w:pBdr/>
              <w:spacing/>
              <w:ind/>
              <w:rPr>
                <w:lang w:val="en-US" w:eastAsia="fr-FR"/>
              </w:rPr>
            </w:pPr>
            <w:r>
              <w:rPr>
                <w:lang w:val="en-US" w:eastAsia="fr-FR"/>
              </w:rPr>
              <w:t xml:space="preserve">INVEST4Libya – Inception Phase Assessment of Libya’s Fiscal, Financial, and MSME Systems</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Implementing</w:t>
            </w:r>
            <w:r>
              <w:rPr>
                <w:lang w:eastAsia="fr-FR"/>
              </w:rPr>
              <w:t xml:space="preserve"> Agency</w:t>
            </w:r>
            <w:r>
              <w:rPr>
                <w:lang w:eastAsia="fr-FR"/>
              </w:rPr>
            </w:r>
          </w:p>
        </w:tc>
        <w:tc>
          <w:tcPr>
            <w:tcBorders/>
            <w:tcW w:w="0" w:type="auto"/>
            <w:textDirection w:val="lrTb"/>
            <w:noWrap w:val="false"/>
          </w:tcPr>
          <w:p>
            <w:pPr>
              <w:pBdr/>
              <w:spacing/>
              <w:ind/>
              <w:rPr>
                <w:lang w:val="en-US" w:eastAsia="fr-FR"/>
              </w:rPr>
            </w:pPr>
            <w:r>
              <w:rPr>
                <w:lang w:val="en-US" w:eastAsia="fr-FR"/>
              </w:rPr>
              <w:t xml:space="preserve">Expertise France (EF) – under the EU-funded Special Measure Libya 2024</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Donor</w:t>
            </w:r>
            <w:r>
              <w:rPr>
                <w:lang w:eastAsia="fr-FR"/>
              </w:rPr>
            </w:r>
          </w:p>
        </w:tc>
        <w:tc>
          <w:tcPr>
            <w:tcBorders/>
            <w:tcW w:w="0" w:type="auto"/>
            <w:textDirection w:val="lrTb"/>
            <w:noWrap w:val="false"/>
          </w:tcPr>
          <w:p>
            <w:pPr>
              <w:pBdr/>
              <w:spacing/>
              <w:ind/>
              <w:rPr>
                <w:lang w:val="en-US" w:eastAsia="fr-FR"/>
              </w:rPr>
            </w:pPr>
            <w:r>
              <w:rPr>
                <w:lang w:val="en-US" w:eastAsia="fr-FR"/>
              </w:rPr>
              <w:t xml:space="preserve">European Union Delegation to Libya</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Implementation</w:t>
            </w:r>
            <w:r>
              <w:rPr>
                <w:lang w:eastAsia="fr-FR"/>
              </w:rPr>
              <w:t xml:space="preserve"> </w:t>
            </w:r>
            <w:r>
              <w:rPr>
                <w:lang w:eastAsia="fr-FR"/>
              </w:rPr>
              <w:t xml:space="preserve">Period</w:t>
            </w:r>
            <w:r>
              <w:rPr>
                <w:lang w:eastAsia="fr-FR"/>
              </w:rPr>
            </w:r>
          </w:p>
        </w:tc>
        <w:tc>
          <w:tcPr>
            <w:tcBorders/>
            <w:tcW w:w="0" w:type="auto"/>
            <w:textDirection w:val="lrTb"/>
            <w:noWrap w:val="false"/>
          </w:tcPr>
          <w:p>
            <w:pPr>
              <w:pBdr/>
              <w:spacing/>
              <w:ind/>
              <w:rPr>
                <w:highlight w:val="none"/>
              </w:rPr>
            </w:pPr>
            <w:r>
              <w:rPr>
                <w:highlight w:val="none"/>
                <w:lang w:eastAsia="fr-FR"/>
              </w:rPr>
              <w:t xml:space="preserve">6 </w:t>
            </w:r>
            <w:r>
              <w:rPr>
                <w:highlight w:val="none"/>
                <w:lang w:eastAsia="fr-FR"/>
              </w:rPr>
              <w:t xml:space="preserve">months</w:t>
            </w:r>
            <w:r>
              <w:rPr>
                <w:highlight w:val="none"/>
                <w:lang w:eastAsia="fr-FR"/>
              </w:rPr>
              <w:t xml:space="preserve"> (</w:t>
            </w:r>
            <w:r>
              <w:rPr>
                <w:highlight w:val="none"/>
                <w:lang w:eastAsia="fr-FR"/>
              </w:rPr>
              <w:t xml:space="preserve">January</w:t>
            </w:r>
            <w:r>
              <w:rPr>
                <w:highlight w:val="none"/>
                <w:lang w:eastAsia="fr-FR"/>
              </w:rPr>
              <w:t xml:space="preserve"> – </w:t>
            </w:r>
            <w:r>
              <w:rPr>
                <w:highlight w:val="none"/>
                <w:lang w:eastAsia="fr-FR"/>
              </w:rPr>
              <w:t xml:space="preserve">June</w:t>
            </w:r>
            <w:r>
              <w:rPr>
                <w:highlight w:val="none"/>
                <w:lang w:eastAsia="fr-FR"/>
              </w:rPr>
              <w:t xml:space="preserve"> 2026)</w:t>
            </w:r>
            <w:r>
              <w:rPr>
                <w:highlight w:val="none"/>
                <w:lang w:eastAsia="fr-FR"/>
              </w:rPr>
            </w:r>
          </w:p>
        </w:tc>
      </w:tr>
      <w:tr>
        <w:trPr>
          <w:trHeight w:val="20"/>
        </w:trPr>
        <w:tc>
          <w:tcPr>
            <w:tcBorders/>
            <w:tcW w:w="0" w:type="auto"/>
            <w:textDirection w:val="lrTb"/>
            <w:noWrap w:val="false"/>
          </w:tcPr>
          <w:p>
            <w:pPr>
              <w:pBdr/>
              <w:spacing/>
              <w:ind/>
              <w:rPr>
                <w:lang w:eastAsia="fr-FR"/>
              </w:rPr>
            </w:pPr>
            <w:r>
              <w:rPr>
                <w:lang w:eastAsia="fr-FR"/>
              </w:rPr>
              <w:t xml:space="preserve">Estimated</w:t>
            </w:r>
            <w:r>
              <w:rPr>
                <w:lang w:eastAsia="fr-FR"/>
              </w:rPr>
              <w:t xml:space="preserve"> Total </w:t>
            </w:r>
            <w:r>
              <w:rPr>
                <w:lang w:eastAsia="fr-FR"/>
              </w:rPr>
              <w:t xml:space="preserve">Working</w:t>
            </w:r>
            <w:r>
              <w:rPr>
                <w:lang w:eastAsia="fr-FR"/>
              </w:rPr>
              <w:t xml:space="preserve"> </w:t>
            </w:r>
            <w:r>
              <w:rPr>
                <w:lang w:eastAsia="fr-FR"/>
              </w:rPr>
              <w:t xml:space="preserve">Days</w:t>
            </w:r>
            <w:r>
              <w:rPr>
                <w:lang w:eastAsia="fr-FR"/>
              </w:rPr>
            </w:r>
          </w:p>
        </w:tc>
        <w:tc>
          <w:tcPr>
            <w:tcBorders/>
            <w:tcW w:w="0" w:type="auto"/>
            <w:textDirection w:val="lrTb"/>
            <w:noWrap w:val="false"/>
          </w:tcPr>
          <w:p>
            <w:pPr>
              <w:pBdr/>
              <w:spacing/>
              <w:ind/>
              <w:rPr>
                <w:lang w:val="en-US" w:eastAsia="fr-FR"/>
              </w:rPr>
            </w:pPr>
            <w:r>
              <w:rPr>
                <w:lang w:val="en-US" w:eastAsia="fr-FR"/>
              </w:rPr>
              <w:t xml:space="preserve">Approx. 30  expert days</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Team Composition</w:t>
            </w:r>
            <w:r>
              <w:rPr>
                <w:lang w:eastAsia="fr-FR"/>
              </w:rPr>
            </w:r>
          </w:p>
        </w:tc>
        <w:tc>
          <w:tcPr>
            <w:tcBorders/>
            <w:tcW w:w="0" w:type="auto"/>
            <w:textDirection w:val="lrTb"/>
            <w:noWrap w:val="false"/>
          </w:tcPr>
          <w:p>
            <w:pPr>
              <w:pBdr/>
              <w:spacing/>
              <w:ind/>
              <w:rPr>
                <w:lang w:val="en-US" w:eastAsia="fr-FR"/>
              </w:rPr>
            </w:pPr>
            <w:r>
              <w:rPr>
                <w:lang w:val="en-US" w:eastAsia="fr-FR"/>
              </w:rPr>
              <w:t xml:space="preserve">1 </w:t>
            </w:r>
            <w:r>
              <w:rPr>
                <w:lang w:val="en-US" w:eastAsia="fr-FR"/>
              </w:rPr>
              <w:t xml:space="preserve">Senior National Expert – Institutional Engagement &amp; Political-Economy Advisor</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Mission Base</w:t>
            </w:r>
            <w:r>
              <w:rPr>
                <w:lang w:eastAsia="fr-FR"/>
              </w:rPr>
            </w:r>
          </w:p>
        </w:tc>
        <w:tc>
          <w:tcPr>
            <w:tcBorders/>
            <w:tcW w:w="0" w:type="auto"/>
            <w:textDirection w:val="lrTb"/>
            <w:noWrap w:val="false"/>
          </w:tcPr>
          <w:p>
            <w:pPr>
              <w:pBdr/>
              <w:spacing/>
              <w:ind/>
              <w:rPr>
                <w:lang w:val="en-US" w:eastAsia="fr-FR"/>
              </w:rPr>
            </w:pPr>
            <w:r>
              <w:rPr>
                <w:lang w:val="en-US" w:eastAsia="fr-FR"/>
              </w:rPr>
              <w:t xml:space="preserve">Tunis and Tripoli, with fieldwork in Libya (security permitting)</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Main </w:t>
            </w:r>
            <w:r>
              <w:rPr>
                <w:lang w:eastAsia="fr-FR"/>
              </w:rPr>
              <w:t xml:space="preserve">Purpose</w:t>
            </w:r>
            <w:r>
              <w:rPr>
                <w:lang w:eastAsia="fr-FR"/>
              </w:rPr>
            </w:r>
          </w:p>
        </w:tc>
        <w:tc>
          <w:tcPr>
            <w:tcBorders/>
            <w:tcW w:w="0" w:type="auto"/>
            <w:textDirection w:val="lrTb"/>
            <w:noWrap w:val="false"/>
          </w:tcPr>
          <w:p>
            <w:pPr>
              <w:pBdr/>
              <w:spacing/>
              <w:ind/>
              <w:rPr>
                <w:lang w:val="en-US" w:eastAsia="fr-FR"/>
              </w:rPr>
            </w:pPr>
            <w:r>
              <w:rPr>
                <w:lang w:val="en-US" w:eastAsia="fr-FR"/>
              </w:rPr>
              <w:t xml:space="preserve">To conduct a comprehensive, resea</w:t>
            </w:r>
            <w:r>
              <w:rPr>
                <w:lang w:val="en-US" w:eastAsia="fr-FR"/>
              </w:rPr>
              <w:t xml:space="preserve">rch-based, and internationally benchmarked diagnostic of Libya’s public financial management (PFM) system, financial-sector governance, and MSME ecosystem — serving as the analytical and strategic foundation for the full implementation of the INVEST4Libya </w:t>
            </w:r>
            <w:r>
              <w:rPr>
                <w:lang w:val="en-US" w:eastAsia="fr-FR"/>
              </w:rPr>
              <w:t xml:space="preserve">programme</w:t>
            </w:r>
            <w:r>
              <w:rPr>
                <w:lang w:val="en-US" w:eastAsia="fr-FR"/>
              </w:rPr>
              <w:t xml:space="preserve">.</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Specific</w:t>
            </w:r>
            <w:r>
              <w:rPr>
                <w:lang w:eastAsia="fr-FR"/>
              </w:rPr>
              <w:t xml:space="preserve"> Objectives (SO)</w:t>
            </w:r>
            <w:r>
              <w:rPr>
                <w:lang w:eastAsia="fr-FR"/>
              </w:rPr>
            </w:r>
          </w:p>
        </w:tc>
        <w:tc>
          <w:tcPr>
            <w:tcBorders/>
            <w:tcW w:w="0" w:type="auto"/>
            <w:textDirection w:val="lrTb"/>
            <w:noWrap w:val="false"/>
          </w:tcPr>
          <w:p>
            <w:pPr>
              <w:pStyle w:val="878"/>
              <w:numPr>
                <w:ilvl w:val="0"/>
                <w:numId w:val="24"/>
              </w:numPr>
              <w:pBdr/>
              <w:spacing/>
              <w:ind/>
              <w:rPr>
                <w:lang w:val="en-US" w:eastAsia="fr-FR"/>
              </w:rPr>
            </w:pPr>
            <w:r>
              <w:rPr>
                <w:b/>
                <w:bCs/>
                <w:lang w:val="en-US" w:eastAsia="fr-FR"/>
              </w:rPr>
              <w:t xml:space="preserve">SO1:</w:t>
            </w:r>
            <w:r>
              <w:rPr>
                <w:lang w:val="en-US" w:eastAsia="fr-FR"/>
              </w:rPr>
              <w:t xml:space="preserve"> Assess Libya’s Public Financial Management (PFM) framework and identify reform priorities.</w:t>
            </w:r>
            <w:bookmarkStart w:id="0" w:name="_GoBack"/>
            <w:r/>
            <w:bookmarkEnd w:id="0"/>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Expected</w:t>
            </w:r>
            <w:r>
              <w:rPr>
                <w:lang w:eastAsia="fr-FR"/>
              </w:rPr>
              <w:t xml:space="preserve"> Key </w:t>
            </w:r>
            <w:r>
              <w:rPr>
                <w:lang w:eastAsia="fr-FR"/>
              </w:rPr>
              <w:t xml:space="preserve">Deliverables</w:t>
            </w:r>
            <w:r>
              <w:rPr>
                <w:lang w:eastAsia="fr-FR"/>
              </w:rPr>
            </w:r>
          </w:p>
        </w:tc>
        <w:tc>
          <w:tcPr>
            <w:tcBorders/>
            <w:tcW w:w="0" w:type="auto"/>
            <w:textDirection w:val="lrTb"/>
            <w:noWrap w:val="false"/>
          </w:tcPr>
          <w:p>
            <w:pPr>
              <w:pStyle w:val="878"/>
              <w:numPr>
                <w:ilvl w:val="0"/>
                <w:numId w:val="25"/>
              </w:numPr>
              <w:pBdr/>
              <w:spacing/>
              <w:ind/>
              <w:rPr>
                <w:lang w:val="en-US" w:eastAsia="fr-FR"/>
              </w:rPr>
            </w:pPr>
            <w:r>
              <w:rPr>
                <w:lang w:val="en-US" w:eastAsia="fr-FR"/>
              </w:rPr>
              <w:t xml:space="preserve">A Stakeholder Engagement Plan and an updated log of institutional contacts and follow-up actions.</w:t>
            </w:r>
            <w:r>
              <w:rPr>
                <w:lang w:val="en-US" w:eastAsia="fr-FR"/>
              </w:rPr>
            </w:r>
          </w:p>
          <w:p>
            <w:pPr>
              <w:pStyle w:val="878"/>
              <w:numPr>
                <w:ilvl w:val="0"/>
                <w:numId w:val="25"/>
              </w:numPr>
              <w:pBdr/>
              <w:spacing/>
              <w:ind/>
              <w:rPr>
                <w:lang w:val="en-US" w:eastAsia="fr-FR"/>
              </w:rPr>
            </w:pPr>
            <w:r>
              <w:rPr>
                <w:lang w:val="en-US" w:eastAsia="fr-FR"/>
              </w:rPr>
              <w:t xml:space="preserve">Monthly notes on political-economy developments and institutional engagement progress.</w:t>
            </w:r>
            <w:r>
              <w:rPr>
                <w:lang w:val="en-US" w:eastAsia="fr-FR"/>
              </w:rPr>
            </w:r>
          </w:p>
          <w:p>
            <w:pPr>
              <w:pStyle w:val="878"/>
              <w:numPr>
                <w:ilvl w:val="0"/>
                <w:numId w:val="25"/>
              </w:numPr>
              <w:pBdr/>
              <w:spacing/>
              <w:ind/>
              <w:rPr>
                <w:lang w:val="en-US" w:eastAsia="fr-FR"/>
              </w:rPr>
            </w:pPr>
            <w:r>
              <w:rPr>
                <w:lang w:val="en-US" w:eastAsia="fr-FR"/>
              </w:rPr>
              <w:t xml:space="preserve">Contextual inputs to the PFM Context Note and to draft diagnostic findings.</w:t>
            </w:r>
            <w:r>
              <w:rPr>
                <w:lang w:val="en-US" w:eastAsia="fr-FR"/>
              </w:rPr>
            </w:r>
          </w:p>
          <w:p>
            <w:pPr>
              <w:pStyle w:val="878"/>
              <w:numPr>
                <w:ilvl w:val="0"/>
                <w:numId w:val="25"/>
              </w:numPr>
              <w:pBdr/>
              <w:spacing/>
              <w:ind/>
              <w:rPr>
                <w:lang w:val="en-US" w:eastAsia="fr-FR"/>
              </w:rPr>
            </w:pPr>
            <w:r>
              <w:rPr>
                <w:lang w:val="en-US" w:eastAsia="fr-FR"/>
              </w:rPr>
              <w:t xml:space="preserve">TPC meeting notes summarizing attendance, key points, and agreed actions.</w:t>
            </w:r>
            <w:r>
              <w:rPr>
                <w:lang w:val="en-US" w:eastAsia="fr-FR"/>
              </w:rPr>
            </w:r>
          </w:p>
          <w:p>
            <w:pPr>
              <w:pStyle w:val="878"/>
              <w:numPr>
                <w:ilvl w:val="0"/>
                <w:numId w:val="25"/>
              </w:numPr>
              <w:pBdr/>
              <w:spacing/>
              <w:ind/>
              <w:rPr>
                <w:lang w:val="en-US" w:eastAsia="fr-FR"/>
              </w:rPr>
            </w:pPr>
            <w:r>
              <w:rPr>
                <w:lang w:val="en-US" w:eastAsia="fr-FR"/>
              </w:rPr>
              <w:t xml:space="preserve">Short feasibility inputs on proposed reform options.</w:t>
            </w:r>
            <w:r>
              <w:rPr>
                <w:lang w:val="en-US" w:eastAsia="fr-FR"/>
              </w:rPr>
            </w:r>
          </w:p>
          <w:p>
            <w:pPr>
              <w:pStyle w:val="878"/>
              <w:numPr>
                <w:ilvl w:val="0"/>
                <w:numId w:val="25"/>
              </w:numPr>
              <w:pBdr/>
              <w:spacing/>
              <w:ind/>
              <w:rPr>
                <w:lang w:val="en-US" w:eastAsia="fr-FR"/>
              </w:rPr>
            </w:pPr>
            <w:r>
              <w:rPr>
                <w:lang w:val="en-US" w:eastAsia="fr-FR"/>
              </w:rPr>
              <w:t xml:space="preserve">A final summary of national feedback on the diagnostic and roadmap.</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Validation </w:t>
            </w:r>
            <w:r>
              <w:rPr>
                <w:lang w:eastAsia="fr-FR"/>
              </w:rPr>
              <w:t xml:space="preserve">Mechanism</w:t>
            </w:r>
            <w:r>
              <w:rPr>
                <w:lang w:eastAsia="fr-FR"/>
              </w:rPr>
            </w:r>
          </w:p>
        </w:tc>
        <w:tc>
          <w:tcPr>
            <w:tcBorders/>
            <w:tcW w:w="0" w:type="auto"/>
            <w:textDirection w:val="lrTb"/>
            <w:noWrap w:val="false"/>
          </w:tcPr>
          <w:p>
            <w:pPr>
              <w:pBdr/>
              <w:spacing/>
              <w:ind/>
              <w:rPr>
                <w:lang w:eastAsia="fr-FR"/>
              </w:rPr>
            </w:pPr>
            <w:r>
              <w:rPr>
                <w:lang w:val="en-US" w:eastAsia="fr-FR"/>
              </w:rPr>
              <w:t xml:space="preserve">Tripartite validation involving Expertise France and the Libyan Technical Piloting Committee, with EU Delegation as observer. </w:t>
            </w:r>
            <w:r>
              <w:rPr>
                <w:lang w:eastAsia="fr-FR"/>
              </w:rPr>
              <w:t xml:space="preserve">Three</w:t>
            </w:r>
            <w:r>
              <w:rPr>
                <w:lang w:eastAsia="fr-FR"/>
              </w:rPr>
              <w:t xml:space="preserve"> </w:t>
            </w:r>
            <w:r>
              <w:rPr>
                <w:lang w:eastAsia="fr-FR"/>
              </w:rPr>
              <w:t xml:space="preserve">formal</w:t>
            </w:r>
            <w:r>
              <w:rPr>
                <w:lang w:eastAsia="fr-FR"/>
              </w:rPr>
              <w:t xml:space="preserve"> validation </w:t>
            </w:r>
            <w:r>
              <w:rPr>
                <w:lang w:eastAsia="fr-FR"/>
              </w:rPr>
              <w:t xml:space="preserve">milestones</w:t>
            </w:r>
            <w:r>
              <w:rPr>
                <w:lang w:eastAsia="fr-FR"/>
              </w:rPr>
              <w:t xml:space="preserve">: </w:t>
            </w:r>
            <w:r>
              <w:rPr>
                <w:lang w:eastAsia="fr-FR"/>
              </w:rPr>
              <w:t xml:space="preserve">Inception</w:t>
            </w:r>
            <w:r>
              <w:rPr>
                <w:lang w:eastAsia="fr-FR"/>
              </w:rPr>
              <w:t xml:space="preserve">, </w:t>
            </w:r>
            <w:r>
              <w:rPr>
                <w:lang w:eastAsia="fr-FR"/>
              </w:rPr>
              <w:t xml:space="preserve">Mid</w:t>
            </w:r>
            <w:r>
              <w:rPr>
                <w:lang w:eastAsia="fr-FR"/>
              </w:rPr>
              <w:t xml:space="preserve">-Mission, and Final.</w:t>
            </w:r>
            <w:r>
              <w:rPr>
                <w:lang w:eastAsia="fr-FR"/>
              </w:rPr>
            </w:r>
          </w:p>
        </w:tc>
      </w:tr>
      <w:tr>
        <w:trPr>
          <w:trHeight w:val="20"/>
        </w:trPr>
        <w:tc>
          <w:tcPr>
            <w:tcBorders/>
            <w:tcW w:w="0" w:type="auto"/>
            <w:textDirection w:val="lrTb"/>
            <w:noWrap w:val="false"/>
          </w:tcPr>
          <w:p>
            <w:pPr>
              <w:pBdr/>
              <w:spacing/>
              <w:ind/>
              <w:rPr>
                <w:lang w:eastAsia="fr-FR"/>
              </w:rPr>
            </w:pPr>
            <w:r>
              <w:rPr>
                <w:lang w:eastAsia="fr-FR"/>
              </w:rPr>
              <w:t xml:space="preserve">Coordination</w:t>
            </w:r>
            <w:r>
              <w:rPr>
                <w:lang w:eastAsia="fr-FR"/>
              </w:rPr>
            </w:r>
          </w:p>
        </w:tc>
        <w:tc>
          <w:tcPr>
            <w:tcBorders/>
            <w:tcW w:w="0" w:type="auto"/>
            <w:textDirection w:val="lrTb"/>
            <w:noWrap w:val="false"/>
          </w:tcPr>
          <w:p>
            <w:pPr>
              <w:pBdr/>
              <w:spacing/>
              <w:ind/>
              <w:rPr>
                <w:lang w:val="en-US" w:eastAsia="fr-FR"/>
              </w:rPr>
            </w:pPr>
            <w:r>
              <w:rPr>
                <w:lang w:val="en-US" w:eastAsia="fr-FR"/>
              </w:rPr>
              <w:t xml:space="preserve">EF </w:t>
            </w:r>
            <w:r>
              <w:rPr>
                <w:lang w:val="en-US" w:eastAsia="fr-FR"/>
              </w:rPr>
              <w:t xml:space="preserve">Programme</w:t>
            </w:r>
            <w:r>
              <w:rPr>
                <w:lang w:val="en-US" w:eastAsia="fr-FR"/>
              </w:rPr>
              <w:t xml:space="preserve"> Manager, supported by the Head of </w:t>
            </w:r>
            <w:r>
              <w:rPr>
                <w:lang w:val="en-US" w:eastAsia="fr-FR"/>
              </w:rPr>
              <w:t xml:space="preserve">Programmes</w:t>
            </w:r>
            <w:r>
              <w:rPr>
                <w:lang w:val="en-US" w:eastAsia="fr-FR"/>
              </w:rPr>
              <w:t xml:space="preserve">, Deputy Head of </w:t>
            </w:r>
            <w:r>
              <w:rPr>
                <w:lang w:val="en-US" w:eastAsia="fr-FR"/>
              </w:rPr>
              <w:t xml:space="preserve">Programmes</w:t>
            </w:r>
            <w:r>
              <w:rPr>
                <w:lang w:val="en-US" w:eastAsia="fr-FR"/>
              </w:rPr>
              <w:t xml:space="preserve">, and the DMEAL &amp; </w:t>
            </w:r>
            <w:r>
              <w:rPr>
                <w:lang w:val="en-US" w:eastAsia="fr-FR"/>
              </w:rPr>
              <w:t xml:space="preserve">Programme</w:t>
            </w:r>
            <w:r>
              <w:rPr>
                <w:lang w:val="en-US" w:eastAsia="fr-FR"/>
              </w:rPr>
              <w:t xml:space="preserve"> Quality Manager.</w:t>
            </w:r>
            <w:r>
              <w:rPr>
                <w:lang w:val="en-US" w:eastAsia="fr-FR"/>
              </w:rPr>
            </w:r>
          </w:p>
        </w:tc>
      </w:tr>
    </w:tbl>
    <w:p>
      <w:pPr>
        <w:pBdr/>
        <w:spacing/>
        <w:ind/>
        <w:rPr>
          <w:lang w:val="en-US"/>
        </w:rPr>
      </w:pPr>
      <w:r>
        <w:rPr>
          <w:lang w:val="en-US"/>
        </w:rPr>
      </w:r>
      <w:r>
        <w:rPr>
          <w:lang w:val="en-US"/>
        </w:rPr>
      </w:r>
    </w:p>
    <w:p>
      <w:pPr>
        <w:pStyle w:val="862"/>
        <w:pBdr/>
        <w:spacing/>
        <w:ind/>
        <w:rPr>
          <w:shd w:val="clear" w:color="auto" w:fill="004879"/>
        </w:rPr>
      </w:pPr>
      <w:r>
        <w:rPr>
          <w:rStyle w:val="947"/>
          <w:b/>
          <w:bCs w:val="0"/>
          <w:lang w:val="en-US"/>
        </w:rPr>
        <w:t xml:space="preserve">Purpose and Strategic Context</w:t>
      </w:r>
      <w:r>
        <w:rPr>
          <w:shd w:val="clear" w:color="auto" w:fill="004879"/>
        </w:rPr>
      </w:r>
    </w:p>
    <w:p>
      <w:pPr>
        <w:pStyle w:val="863"/>
        <w:numPr>
          <w:ilvl w:val="1"/>
          <w:numId w:val="18"/>
        </w:numPr>
        <w:pBdr/>
        <w:spacing/>
        <w:ind/>
        <w:rPr/>
      </w:pPr>
      <w:r>
        <w:t xml:space="preserve">General Background</w:t>
      </w:r>
      <w:r/>
    </w:p>
    <w:p>
      <w:pPr>
        <w:pBdr/>
        <w:spacing/>
        <w:ind/>
        <w:rPr>
          <w:lang w:val="en-IE"/>
        </w:rPr>
      </w:pPr>
      <w:r>
        <w:rPr>
          <w:lang w:val="en-US"/>
        </w:rPr>
        <w:t xml:space="preserve">Expertise France is the French public agency for international development cooperation. </w:t>
      </w:r>
      <w:r>
        <w:rPr>
          <w:lang w:val="en-IE"/>
        </w:rPr>
        <w:t xml:space="preserve">It is a subsidiary of the</w:t>
      </w:r>
      <w:r>
        <w:rPr>
          <w:spacing w:val="-9"/>
          <w:lang w:val="en-IE"/>
        </w:rPr>
        <w:t xml:space="preserve"> </w:t>
      </w:r>
      <w:r>
        <w:rPr>
          <w:lang w:val="en-IE"/>
        </w:rPr>
        <w:t xml:space="preserve">Agence</w:t>
      </w:r>
      <w:r>
        <w:rPr>
          <w:spacing w:val="-11"/>
          <w:lang w:val="en-IE"/>
        </w:rPr>
        <w:t xml:space="preserve"> </w:t>
      </w:r>
      <w:r>
        <w:rPr>
          <w:lang w:val="en-IE"/>
        </w:rPr>
        <w:t xml:space="preserve">Française</w:t>
      </w:r>
      <w:r>
        <w:rPr>
          <w:spacing w:val="-11"/>
          <w:lang w:val="en-IE"/>
        </w:rPr>
        <w:t xml:space="preserve"> </w:t>
      </w:r>
      <w:r>
        <w:rPr>
          <w:lang w:val="en-IE"/>
        </w:rPr>
        <w:t xml:space="preserve">de</w:t>
      </w:r>
      <w:r>
        <w:rPr>
          <w:spacing w:val="-11"/>
          <w:lang w:val="en-IE"/>
        </w:rPr>
        <w:t xml:space="preserve"> </w:t>
      </w:r>
      <w:r>
        <w:rPr>
          <w:lang w:val="en-IE"/>
        </w:rPr>
        <w:t xml:space="preserve">Développement</w:t>
      </w:r>
      <w:r>
        <w:rPr>
          <w:spacing w:val="-9"/>
          <w:lang w:val="en-IE"/>
        </w:rPr>
        <w:t xml:space="preserve"> </w:t>
      </w:r>
      <w:r>
        <w:rPr>
          <w:lang w:val="en-IE"/>
        </w:rPr>
        <w:t xml:space="preserve">(AFD)</w:t>
      </w:r>
      <w:r>
        <w:rPr>
          <w:spacing w:val="-11"/>
          <w:lang w:val="en-IE"/>
        </w:rPr>
        <w:t xml:space="preserve"> </w:t>
      </w:r>
      <w:r>
        <w:rPr>
          <w:lang w:val="en-IE"/>
        </w:rPr>
        <w:t xml:space="preserve">Group</w:t>
      </w:r>
      <w:r>
        <w:rPr>
          <w:spacing w:val="-11"/>
          <w:lang w:val="en-IE"/>
        </w:rPr>
        <w:t xml:space="preserve"> </w:t>
      </w:r>
      <w:r>
        <w:rPr>
          <w:lang w:val="en-IE"/>
        </w:rPr>
        <w:t xml:space="preserve">and</w:t>
      </w:r>
      <w:r>
        <w:rPr>
          <w:spacing w:val="-10"/>
          <w:lang w:val="en-IE"/>
        </w:rPr>
        <w:t xml:space="preserve"> </w:t>
      </w:r>
      <w:r>
        <w:rPr>
          <w:lang w:val="en-IE"/>
        </w:rPr>
        <w:t xml:space="preserve">the</w:t>
      </w:r>
      <w:r>
        <w:rPr>
          <w:spacing w:val="-9"/>
          <w:lang w:val="en-IE"/>
        </w:rPr>
        <w:t xml:space="preserve"> </w:t>
      </w:r>
      <w:r>
        <w:rPr>
          <w:lang w:val="en-IE"/>
        </w:rPr>
        <w:t xml:space="preserve">second-largest</w:t>
      </w:r>
      <w:r>
        <w:rPr>
          <w:spacing w:val="-8"/>
          <w:lang w:val="en-IE"/>
        </w:rPr>
        <w:t xml:space="preserve"> </w:t>
      </w:r>
      <w:r>
        <w:rPr>
          <w:lang w:val="en-IE"/>
        </w:rPr>
        <w:t xml:space="preserve">agency</w:t>
      </w:r>
      <w:r>
        <w:rPr>
          <w:spacing w:val="-11"/>
          <w:lang w:val="en-IE"/>
        </w:rPr>
        <w:t xml:space="preserve"> </w:t>
      </w:r>
      <w:r>
        <w:rPr>
          <w:lang w:val="en-IE"/>
        </w:rPr>
        <w:t xml:space="preserve">of</w:t>
      </w:r>
      <w:r>
        <w:rPr>
          <w:spacing w:val="-9"/>
          <w:lang w:val="en-IE"/>
        </w:rPr>
        <w:t xml:space="preserve"> </w:t>
      </w:r>
      <w:r>
        <w:rPr>
          <w:lang w:val="en-IE"/>
        </w:rPr>
        <w:t xml:space="preserve">its</w:t>
      </w:r>
      <w:r>
        <w:rPr>
          <w:spacing w:val="-11"/>
          <w:lang w:val="en-IE"/>
        </w:rPr>
        <w:t xml:space="preserve"> </w:t>
      </w:r>
      <w:r>
        <w:rPr>
          <w:lang w:val="en-IE"/>
        </w:rPr>
        <w:t xml:space="preserve">kind</w:t>
      </w:r>
      <w:r>
        <w:rPr>
          <w:spacing w:val="-10"/>
          <w:lang w:val="en-IE"/>
        </w:rPr>
        <w:t xml:space="preserve"> </w:t>
      </w:r>
      <w:r>
        <w:rPr>
          <w:lang w:val="en-IE"/>
        </w:rPr>
        <w:t xml:space="preserve">in</w:t>
      </w:r>
      <w:r>
        <w:rPr>
          <w:spacing w:val="-10"/>
          <w:lang w:val="en-IE"/>
        </w:rPr>
        <w:t xml:space="preserve"> </w:t>
      </w:r>
      <w:r>
        <w:rPr>
          <w:lang w:val="en-IE"/>
        </w:rPr>
        <w:t xml:space="preserve">Europe.</w:t>
      </w:r>
      <w:r>
        <w:rPr>
          <w:spacing w:val="-9"/>
          <w:lang w:val="en-IE"/>
        </w:rPr>
        <w:t xml:space="preserve"> </w:t>
      </w:r>
      <w:r>
        <w:rPr>
          <w:lang w:val="en-IE"/>
        </w:rPr>
        <w:t xml:space="preserve">Our mission: to strengthen public policies</w:t>
      </w:r>
      <w:r>
        <w:rPr>
          <w:spacing w:val="-2"/>
          <w:lang w:val="en-IE"/>
        </w:rPr>
        <w:t xml:space="preserve"> </w:t>
      </w:r>
      <w:r>
        <w:rPr>
          <w:lang w:val="en-IE"/>
        </w:rPr>
        <w:t xml:space="preserve">in</w:t>
      </w:r>
      <w:r>
        <w:rPr>
          <w:spacing w:val="-1"/>
          <w:lang w:val="en-IE"/>
        </w:rPr>
        <w:t xml:space="preserve"> </w:t>
      </w:r>
      <w:r>
        <w:rPr>
          <w:lang w:val="en-IE"/>
        </w:rPr>
        <w:t xml:space="preserve">our partner countries in</w:t>
      </w:r>
      <w:r>
        <w:rPr>
          <w:spacing w:val="-1"/>
          <w:lang w:val="en-IE"/>
        </w:rPr>
        <w:t xml:space="preserve"> </w:t>
      </w:r>
      <w:r>
        <w:rPr>
          <w:lang w:val="en-IE"/>
        </w:rPr>
        <w:t xml:space="preserve">a</w:t>
      </w:r>
      <w:r>
        <w:rPr>
          <w:spacing w:val="-2"/>
          <w:lang w:val="en-IE"/>
        </w:rPr>
        <w:t xml:space="preserve"> </w:t>
      </w:r>
      <w:r>
        <w:rPr>
          <w:lang w:val="en-IE"/>
        </w:rPr>
        <w:t xml:space="preserve">sustainable</w:t>
      </w:r>
      <w:r>
        <w:rPr>
          <w:spacing w:val="-2"/>
          <w:lang w:val="en-IE"/>
        </w:rPr>
        <w:t xml:space="preserve"> </w:t>
      </w:r>
      <w:r>
        <w:rPr>
          <w:lang w:val="en-IE"/>
        </w:rPr>
        <w:t xml:space="preserve">way. Working alongside public actors, civil society, and the private sector, we design and implement projects that stimulate innovation and reinforce their actions to benefit everyone. Through our expertise in governance</w:t>
      </w:r>
      <w:r>
        <w:rPr>
          <w:lang w:val="en-IE"/>
        </w:rPr>
        <w:t xml:space="preserve">, security, climate, health, education, entrepreneurship, cultural and creative industries etc., Expertise France contributes to achieving the Sustainable Development Goals (SDGs) in over 140 countries, with public funding from French and European sources.</w:t>
      </w:r>
      <w:r>
        <w:rPr>
          <w:lang w:val="en-IE"/>
        </w:rPr>
      </w:r>
    </w:p>
    <w:p>
      <w:pPr>
        <w:pBdr/>
        <w:spacing/>
        <w:ind/>
        <w:rPr>
          <w:lang w:val="en-IE"/>
        </w:rPr>
      </w:pPr>
      <w:r>
        <w:rPr>
          <w:lang w:val="en-IE"/>
        </w:rPr>
        <w:t xml:space="preserve">Since 2016, Expertise France has supported Libya’s economic recovery by empowering the private sector, digitalizing</w:t>
      </w:r>
      <w:r>
        <w:rPr>
          <w:spacing w:val="-13"/>
          <w:lang w:val="en-IE"/>
        </w:rPr>
        <w:t xml:space="preserve"> </w:t>
      </w:r>
      <w:r>
        <w:rPr>
          <w:lang w:val="en-IE"/>
        </w:rPr>
        <w:t xml:space="preserve">economic</w:t>
      </w:r>
      <w:r>
        <w:rPr>
          <w:spacing w:val="-12"/>
          <w:lang w:val="en-IE"/>
        </w:rPr>
        <w:t xml:space="preserve"> </w:t>
      </w:r>
      <w:r>
        <w:rPr>
          <w:lang w:val="en-IE"/>
        </w:rPr>
        <w:t xml:space="preserve">services,</w:t>
      </w:r>
      <w:r>
        <w:rPr>
          <w:spacing w:val="-13"/>
          <w:lang w:val="en-IE"/>
        </w:rPr>
        <w:t xml:space="preserve"> </w:t>
      </w:r>
      <w:r>
        <w:rPr>
          <w:lang w:val="en-IE"/>
        </w:rPr>
        <w:t xml:space="preserve">facilitating</w:t>
      </w:r>
      <w:r>
        <w:rPr>
          <w:spacing w:val="-12"/>
          <w:lang w:val="en-IE"/>
        </w:rPr>
        <w:t xml:space="preserve"> </w:t>
      </w:r>
      <w:r>
        <w:rPr>
          <w:lang w:val="en-IE"/>
        </w:rPr>
        <w:t xml:space="preserve">access</w:t>
      </w:r>
      <w:r>
        <w:rPr>
          <w:spacing w:val="-13"/>
          <w:lang w:val="en-IE"/>
        </w:rPr>
        <w:t xml:space="preserve"> </w:t>
      </w:r>
      <w:r>
        <w:rPr>
          <w:lang w:val="en-IE"/>
        </w:rPr>
        <w:t xml:space="preserve">to</w:t>
      </w:r>
      <w:r>
        <w:rPr>
          <w:spacing w:val="-12"/>
          <w:lang w:val="en-IE"/>
        </w:rPr>
        <w:t xml:space="preserve"> </w:t>
      </w:r>
      <w:r>
        <w:rPr>
          <w:lang w:val="en-IE"/>
        </w:rPr>
        <w:t xml:space="preserve">finance,</w:t>
      </w:r>
      <w:r>
        <w:rPr>
          <w:spacing w:val="-13"/>
          <w:lang w:val="en-IE"/>
        </w:rPr>
        <w:t xml:space="preserve"> </w:t>
      </w:r>
      <w:r>
        <w:rPr>
          <w:lang w:val="en-IE"/>
        </w:rPr>
        <w:t xml:space="preserve">supporting</w:t>
      </w:r>
      <w:r>
        <w:rPr>
          <w:spacing w:val="-12"/>
          <w:lang w:val="en-IE"/>
        </w:rPr>
        <w:t xml:space="preserve"> </w:t>
      </w:r>
      <w:r>
        <w:rPr>
          <w:lang w:val="en-IE"/>
        </w:rPr>
        <w:t xml:space="preserve">economic</w:t>
      </w:r>
      <w:r>
        <w:rPr>
          <w:spacing w:val="-12"/>
          <w:lang w:val="en-IE"/>
        </w:rPr>
        <w:t xml:space="preserve"> </w:t>
      </w:r>
      <w:r>
        <w:rPr>
          <w:lang w:val="en-IE"/>
        </w:rPr>
        <w:t xml:space="preserve">policy</w:t>
      </w:r>
      <w:r>
        <w:rPr>
          <w:spacing w:val="-13"/>
          <w:lang w:val="en-IE"/>
        </w:rPr>
        <w:t xml:space="preserve"> </w:t>
      </w:r>
      <w:r>
        <w:rPr>
          <w:lang w:val="en-IE"/>
        </w:rPr>
        <w:t xml:space="preserve">reforms,</w:t>
      </w:r>
      <w:r>
        <w:rPr>
          <w:spacing w:val="-12"/>
          <w:lang w:val="en-IE"/>
        </w:rPr>
        <w:t xml:space="preserve"> </w:t>
      </w:r>
      <w:r>
        <w:rPr>
          <w:lang w:val="en-IE"/>
        </w:rPr>
        <w:t xml:space="preserve">and</w:t>
      </w:r>
      <w:r>
        <w:rPr>
          <w:spacing w:val="-13"/>
          <w:lang w:val="en-IE"/>
        </w:rPr>
        <w:t xml:space="preserve"> </w:t>
      </w:r>
      <w:r>
        <w:rPr>
          <w:lang w:val="en-IE"/>
        </w:rPr>
        <w:t xml:space="preserve">fostering employability through the reinforcement of skills.</w:t>
      </w:r>
      <w:r>
        <w:rPr>
          <w:lang w:val="en-IE"/>
        </w:rPr>
      </w:r>
    </w:p>
    <w:p>
      <w:pPr>
        <w:pBdr/>
        <w:spacing/>
        <w:ind/>
        <w:rPr>
          <w:lang w:val="en-US"/>
        </w:rPr>
      </w:pPr>
      <w:r>
        <w:rPr>
          <w:lang w:val="en-US"/>
        </w:rPr>
        <w:t xml:space="preserve">In the area of </w:t>
      </w:r>
      <w:r>
        <w:rPr>
          <w:b/>
          <w:lang w:val="en-US"/>
        </w:rPr>
        <w:t xml:space="preserve">economic development</w:t>
      </w:r>
      <w:r>
        <w:rPr>
          <w:lang w:val="en-US"/>
        </w:rPr>
        <w:t xml:space="preserve">, the agency contributes </w:t>
      </w:r>
      <w:r>
        <w:rPr>
          <w:lang w:val="en-US"/>
        </w:rPr>
        <w:t xml:space="preserve">to Libya’s diversification and resilience by strengthening private sector capacities, improving access to financial services, accompanying key economic reforms, and enhancing the employability of youth and professionals through targeted skills development.</w:t>
      </w:r>
      <w:r>
        <w:rPr>
          <w:lang w:val="en-US"/>
        </w:rPr>
      </w:r>
    </w:p>
    <w:p>
      <w:pPr>
        <w:pBdr/>
        <w:spacing/>
        <w:ind/>
        <w:rPr>
          <w:lang w:val="en-US"/>
        </w:rPr>
      </w:pPr>
      <w:r>
        <w:rPr>
          <w:lang w:val="en-US"/>
        </w:rPr>
        <w:t xml:space="preserve">Regarding </w:t>
      </w:r>
      <w:r>
        <w:rPr>
          <w:b/>
          <w:lang w:val="en-US"/>
        </w:rPr>
        <w:t xml:space="preserve">digitalization</w:t>
      </w:r>
      <w:r>
        <w:rPr>
          <w:lang w:val="en-US"/>
        </w:rPr>
        <w:t xml:space="preserve">, Expertise France promotes Libya’s digital transformation by advancing digital skills, fostering innovation-led employment opportunities, and supporting the digitization of public services to improve accessibility and efficiency.</w:t>
      </w:r>
      <w:r>
        <w:rPr>
          <w:lang w:val="en-US"/>
        </w:rPr>
      </w:r>
    </w:p>
    <w:p>
      <w:pPr>
        <w:pBdr/>
        <w:spacing/>
        <w:ind/>
        <w:rPr>
          <w:lang w:val="en-US"/>
        </w:rPr>
      </w:pPr>
      <w:r>
        <w:rPr>
          <w:lang w:val="en-US"/>
        </w:rPr>
        <w:t xml:space="preserve">In</w:t>
      </w:r>
      <w:r>
        <w:rPr>
          <w:spacing w:val="-3"/>
          <w:lang w:val="en-US"/>
        </w:rPr>
        <w:t xml:space="preserve"> </w:t>
      </w:r>
      <w:r>
        <w:rPr>
          <w:lang w:val="en-US"/>
        </w:rPr>
        <w:t xml:space="preserve">the</w:t>
      </w:r>
      <w:r>
        <w:rPr>
          <w:spacing w:val="-1"/>
          <w:lang w:val="en-US"/>
        </w:rPr>
        <w:t xml:space="preserve"> </w:t>
      </w:r>
      <w:r>
        <w:rPr>
          <w:lang w:val="en-US"/>
        </w:rPr>
        <w:t xml:space="preserve">domain</w:t>
      </w:r>
      <w:r>
        <w:rPr>
          <w:spacing w:val="-5"/>
          <w:lang w:val="en-US"/>
        </w:rPr>
        <w:t xml:space="preserve"> </w:t>
      </w:r>
      <w:r>
        <w:rPr>
          <w:lang w:val="en-US"/>
        </w:rPr>
        <w:t xml:space="preserve">of </w:t>
      </w:r>
      <w:r>
        <w:rPr>
          <w:b/>
          <w:lang w:val="en-US"/>
        </w:rPr>
        <w:t xml:space="preserve">rule</w:t>
      </w:r>
      <w:r>
        <w:rPr>
          <w:b/>
          <w:spacing w:val="-2"/>
          <w:lang w:val="en-US"/>
        </w:rPr>
        <w:t xml:space="preserve"> </w:t>
      </w:r>
      <w:r>
        <w:rPr>
          <w:b/>
          <w:lang w:val="en-US"/>
        </w:rPr>
        <w:t xml:space="preserve">of</w:t>
      </w:r>
      <w:r>
        <w:rPr>
          <w:b/>
          <w:spacing w:val="-1"/>
          <w:lang w:val="en-US"/>
        </w:rPr>
        <w:t xml:space="preserve"> </w:t>
      </w:r>
      <w:r>
        <w:rPr>
          <w:b/>
          <w:lang w:val="en-US"/>
        </w:rPr>
        <w:t xml:space="preserve">law</w:t>
      </w:r>
      <w:r>
        <w:rPr>
          <w:lang w:val="en-US"/>
        </w:rPr>
        <w:t xml:space="preserve">,</w:t>
      </w:r>
      <w:r>
        <w:rPr>
          <w:spacing w:val="-1"/>
          <w:lang w:val="en-US"/>
        </w:rPr>
        <w:t xml:space="preserve"> </w:t>
      </w:r>
      <w:r>
        <w:rPr>
          <w:lang w:val="en-US"/>
        </w:rPr>
        <w:t xml:space="preserve">the</w:t>
      </w:r>
      <w:r>
        <w:rPr>
          <w:spacing w:val="-1"/>
          <w:lang w:val="en-US"/>
        </w:rPr>
        <w:t xml:space="preserve"> </w:t>
      </w:r>
      <w:r>
        <w:rPr>
          <w:lang w:val="en-US"/>
        </w:rPr>
        <w:t xml:space="preserve">agency</w:t>
      </w:r>
      <w:r>
        <w:rPr>
          <w:spacing w:val="-1"/>
          <w:lang w:val="en-US"/>
        </w:rPr>
        <w:t xml:space="preserve"> </w:t>
      </w:r>
      <w:r>
        <w:rPr>
          <w:lang w:val="en-US"/>
        </w:rPr>
        <w:t xml:space="preserve">works</w:t>
      </w:r>
      <w:r>
        <w:rPr>
          <w:spacing w:val="-3"/>
          <w:lang w:val="en-US"/>
        </w:rPr>
        <w:t xml:space="preserve"> </w:t>
      </w:r>
      <w:r>
        <w:rPr>
          <w:lang w:val="en-US"/>
        </w:rPr>
        <w:t xml:space="preserve">to reinforce</w:t>
      </w:r>
      <w:r>
        <w:rPr>
          <w:spacing w:val="-1"/>
          <w:lang w:val="en-US"/>
        </w:rPr>
        <w:t xml:space="preserve"> </w:t>
      </w:r>
      <w:r>
        <w:rPr>
          <w:lang w:val="en-US"/>
        </w:rPr>
        <w:t xml:space="preserve">Libya’s</w:t>
      </w:r>
      <w:r>
        <w:rPr>
          <w:spacing w:val="-1"/>
          <w:lang w:val="en-US"/>
        </w:rPr>
        <w:t xml:space="preserve"> </w:t>
      </w:r>
      <w:r>
        <w:rPr>
          <w:lang w:val="en-US"/>
        </w:rPr>
        <w:t xml:space="preserve">democratic</w:t>
      </w:r>
      <w:r>
        <w:rPr>
          <w:spacing w:val="-1"/>
          <w:lang w:val="en-US"/>
        </w:rPr>
        <w:t xml:space="preserve"> </w:t>
      </w:r>
      <w:r>
        <w:rPr>
          <w:lang w:val="en-US"/>
        </w:rPr>
        <w:t xml:space="preserve">institutions</w:t>
      </w:r>
      <w:r>
        <w:rPr>
          <w:spacing w:val="-1"/>
          <w:lang w:val="en-US"/>
        </w:rPr>
        <w:t xml:space="preserve"> </w:t>
      </w:r>
      <w:r>
        <w:rPr>
          <w:lang w:val="en-US"/>
        </w:rPr>
        <w:t xml:space="preserve">by investing</w:t>
      </w:r>
      <w:r>
        <w:rPr>
          <w:spacing w:val="-2"/>
          <w:lang w:val="en-US"/>
        </w:rPr>
        <w:t xml:space="preserve"> </w:t>
      </w:r>
      <w:r>
        <w:rPr>
          <w:lang w:val="en-US"/>
        </w:rPr>
        <w:t xml:space="preserve">in</w:t>
      </w:r>
      <w:r>
        <w:rPr>
          <w:spacing w:val="-1"/>
          <w:lang w:val="en-US"/>
        </w:rPr>
        <w:t xml:space="preserve"> </w:t>
      </w:r>
      <w:r>
        <w:rPr>
          <w:lang w:val="en-US"/>
        </w:rPr>
        <w:t xml:space="preserve">the institutional capacity of key justice stakeholders, strengthening governance mechanisms, and supporting the </w:t>
      </w:r>
      <w:r>
        <w:rPr>
          <w:lang w:val="en-US"/>
        </w:rPr>
        <w:t xml:space="preserve">modernisation</w:t>
      </w:r>
      <w:r>
        <w:rPr>
          <w:lang w:val="en-US"/>
        </w:rPr>
        <w:t xml:space="preserve"> of the legal framework.</w:t>
      </w:r>
      <w:r>
        <w:rPr>
          <w:lang w:val="en-US"/>
        </w:rPr>
      </w:r>
    </w:p>
    <w:p>
      <w:pPr>
        <w:pBdr/>
        <w:spacing/>
        <w:ind/>
        <w:rPr>
          <w:lang w:val="en-US"/>
        </w:rPr>
      </w:pPr>
      <w:r>
        <w:rPr>
          <w:lang w:val="en-US"/>
        </w:rPr>
        <w:t xml:space="preserve">In the field of </w:t>
      </w:r>
      <w:r>
        <w:rPr>
          <w:b/>
          <w:lang w:val="en-US"/>
        </w:rPr>
        <w:t xml:space="preserve">health</w:t>
      </w:r>
      <w:r>
        <w:rPr>
          <w:lang w:val="en-US"/>
        </w:rPr>
        <w:t xml:space="preserve">, Expertise France contributes to the improvement of Libya’s healthcare system by supporting national blood transfusion services and implementing robust quality management processes to ensure safety and efficiency.</w:t>
      </w:r>
      <w:r>
        <w:rPr>
          <w:lang w:val="en-US"/>
        </w:rPr>
      </w:r>
    </w:p>
    <w:p>
      <w:pPr>
        <w:pStyle w:val="951"/>
        <w:pBdr/>
        <w:spacing w:before="1" w:line="268" w:lineRule="auto"/>
        <w:ind w:right="154" w:left="160"/>
        <w:jc w:val="both"/>
        <w:rPr>
          <w:rFonts w:ascii="Tw Cen MT" w:hAnsi="Tw Cen MT" w:cs="Arial" w:eastAsiaTheme="minorEastAsia"/>
          <w:iCs/>
          <w:color w:val="000000"/>
          <w:lang w:eastAsia="ja-JP"/>
        </w:rPr>
      </w:pPr>
      <w:r>
        <w:rPr>
          <w:rFonts w:ascii="Tw Cen MT" w:hAnsi="Tw Cen MT" w:cs="Arial" w:eastAsiaTheme="minorEastAsia"/>
          <w:iCs/>
          <w:color w:val="000000"/>
          <w:lang w:eastAsia="ja-JP"/>
        </w:rPr>
        <w:t xml:space="preserve">The INVEST4LIBYA project launch by the European Union aims at supporting </w:t>
      </w:r>
      <w:r>
        <w:rPr>
          <w:rFonts w:ascii="Tw Cen MT" w:hAnsi="Tw Cen MT" w:cs="Arial" w:eastAsiaTheme="minorEastAsia"/>
          <w:iCs/>
          <w:color w:val="000000"/>
          <w:lang w:eastAsia="ja-JP"/>
        </w:rPr>
        <w:t xml:space="preserve">libya’s</w:t>
      </w:r>
      <w:r>
        <w:rPr>
          <w:rFonts w:ascii="Tw Cen MT" w:hAnsi="Tw Cen MT" w:cs="Arial" w:eastAsiaTheme="minorEastAsia"/>
          <w:iCs/>
          <w:color w:val="000000"/>
          <w:lang w:eastAsia="ja-JP"/>
        </w:rPr>
        <w:t xml:space="preserve"> economic institut</w:t>
      </w:r>
      <w:r>
        <w:rPr>
          <w:rFonts w:ascii="Tw Cen MT" w:hAnsi="Tw Cen MT" w:cs="Arial" w:eastAsiaTheme="minorEastAsia"/>
          <w:iCs/>
          <w:color w:val="000000"/>
          <w:lang w:eastAsia="ja-JP"/>
        </w:rPr>
        <w:t xml:space="preserve">ions to strengthen the diversification of the Libyan economy and the public finance management. The Overall Objective/Impact of this action is the following: Strengthen the Public Finance System and enhance investments for the green and digital transition.</w:t>
      </w:r>
      <w:r>
        <w:rPr>
          <w:rFonts w:ascii="Tw Cen MT" w:hAnsi="Tw Cen MT" w:cs="Arial" w:eastAsiaTheme="minorEastAsia"/>
          <w:iCs/>
          <w:color w:val="000000"/>
          <w:lang w:eastAsia="ja-JP"/>
        </w:rPr>
      </w:r>
    </w:p>
    <w:p>
      <w:pPr>
        <w:pStyle w:val="951"/>
        <w:pBdr/>
        <w:spacing w:before="28"/>
        <w:ind/>
        <w:rPr>
          <w:rFonts w:ascii="Tw Cen MT" w:hAnsi="Tw Cen MT" w:cs="Arial" w:eastAsiaTheme="minorEastAsia"/>
          <w:iCs/>
          <w:color w:val="000000"/>
          <w:lang w:eastAsia="ja-JP"/>
        </w:rPr>
      </w:pPr>
      <w:r>
        <w:rPr>
          <w:rFonts w:ascii="Tw Cen MT" w:hAnsi="Tw Cen MT" w:cs="Arial" w:eastAsiaTheme="minorEastAsia"/>
          <w:iCs/>
          <w:color w:val="000000"/>
          <w:lang w:eastAsia="ja-JP"/>
        </w:rPr>
      </w:r>
      <w:r>
        <w:rPr>
          <w:rFonts w:ascii="Tw Cen MT" w:hAnsi="Tw Cen MT" w:cs="Arial" w:eastAsiaTheme="minorEastAsia"/>
          <w:iCs/>
          <w:color w:val="000000"/>
          <w:lang w:eastAsia="ja-JP"/>
        </w:rPr>
      </w:r>
    </w:p>
    <w:p>
      <w:pPr>
        <w:pStyle w:val="951"/>
        <w:pBdr/>
        <w:spacing/>
        <w:ind w:left="160"/>
        <w:jc w:val="both"/>
        <w:rPr>
          <w:rFonts w:ascii="Tw Cen MT" w:hAnsi="Tw Cen MT" w:cs="Arial" w:eastAsiaTheme="minorEastAsia"/>
          <w:iCs/>
          <w:color w:val="000000"/>
          <w:lang w:eastAsia="ja-JP"/>
        </w:rPr>
      </w:pPr>
      <w:r>
        <w:rPr>
          <w:rFonts w:ascii="Tw Cen MT" w:hAnsi="Tw Cen MT" w:cs="Arial" w:eastAsiaTheme="minorEastAsia"/>
          <w:iCs/>
          <w:color w:val="000000"/>
          <w:lang w:eastAsia="ja-JP"/>
        </w:rPr>
        <w:t xml:space="preserve">The Specific Objectives (Outcomes) of this action are as follows:</w:t>
      </w:r>
      <w:r>
        <w:rPr>
          <w:rFonts w:ascii="Tw Cen MT" w:hAnsi="Tw Cen MT" w:cs="Arial" w:eastAsiaTheme="minorEastAsia"/>
          <w:iCs/>
          <w:color w:val="000000"/>
          <w:lang w:eastAsia="ja-JP"/>
        </w:rPr>
      </w:r>
    </w:p>
    <w:p>
      <w:pPr>
        <w:pStyle w:val="951"/>
        <w:pBdr/>
        <w:spacing w:before="63"/>
        <w:ind/>
        <w:rPr>
          <w:rFonts w:ascii="Tw Cen MT" w:hAnsi="Tw Cen MT" w:cs="Arial" w:eastAsiaTheme="minorEastAsia"/>
          <w:iCs/>
          <w:color w:val="000000"/>
          <w:lang w:eastAsia="ja-JP"/>
        </w:rPr>
      </w:pPr>
      <w:r>
        <w:rPr>
          <w:rFonts w:ascii="Tw Cen MT" w:hAnsi="Tw Cen MT" w:cs="Arial" w:eastAsiaTheme="minorEastAsia"/>
          <w:iCs/>
          <w:color w:val="000000"/>
          <w:lang w:eastAsia="ja-JP"/>
        </w:rPr>
      </w:r>
      <w:r>
        <w:rPr>
          <w:rFonts w:ascii="Tw Cen MT" w:hAnsi="Tw Cen MT" w:cs="Arial" w:eastAsiaTheme="minorEastAsia"/>
          <w:iCs/>
          <w:color w:val="000000"/>
          <w:lang w:eastAsia="ja-JP"/>
        </w:rPr>
      </w:r>
    </w:p>
    <w:p>
      <w:pPr>
        <w:pStyle w:val="951"/>
        <w:pBdr/>
        <w:tabs>
          <w:tab w:val="left" w:leader="none" w:pos="868"/>
        </w:tabs>
        <w:spacing w:line="268" w:lineRule="auto"/>
        <w:ind w:right="1244" w:hanging="708" w:left="868"/>
        <w:rPr>
          <w:rFonts w:ascii="Tw Cen MT" w:hAnsi="Tw Cen MT" w:cs="Arial" w:eastAsiaTheme="minorEastAsia"/>
          <w:iCs/>
          <w:color w:val="000000"/>
          <w:lang w:eastAsia="ja-JP"/>
        </w:rPr>
      </w:pPr>
      <w:r>
        <w:rPr>
          <w:rFonts w:ascii="Tw Cen MT" w:hAnsi="Tw Cen MT" w:cs="Arial" w:eastAsiaTheme="minorEastAsia"/>
          <w:iCs/>
          <w:color w:val="000000"/>
          <w:lang w:eastAsia="ja-JP"/>
        </w:rPr>
        <w:t xml:space="preserve">SO 1.</w:t>
      </w:r>
      <w:r>
        <w:rPr>
          <w:rFonts w:ascii="Tw Cen MT" w:hAnsi="Tw Cen MT" w:cs="Arial" w:eastAsiaTheme="minorEastAsia"/>
          <w:iCs/>
          <w:color w:val="000000"/>
          <w:lang w:eastAsia="ja-JP"/>
        </w:rPr>
        <w:tab/>
        <w:t xml:space="preserve">The capacity to design and implement a targeted public financial management reforms is strengthened;</w:t>
      </w:r>
      <w:r>
        <w:rPr>
          <w:rFonts w:ascii="Tw Cen MT" w:hAnsi="Tw Cen MT" w:cs="Arial" w:eastAsiaTheme="minorEastAsia"/>
          <w:iCs/>
          <w:color w:val="000000"/>
          <w:lang w:eastAsia="ja-JP"/>
        </w:rPr>
      </w:r>
    </w:p>
    <w:p>
      <w:pPr>
        <w:pStyle w:val="951"/>
        <w:pBdr/>
        <w:tabs>
          <w:tab w:val="left" w:leader="none" w:pos="868"/>
        </w:tabs>
        <w:spacing w:line="268" w:lineRule="auto"/>
        <w:ind w:right="1228" w:hanging="708" w:left="868"/>
        <w:rPr>
          <w:rFonts w:ascii="Tw Cen MT" w:hAnsi="Tw Cen MT" w:cs="Arial" w:eastAsiaTheme="minorEastAsia"/>
          <w:iCs/>
          <w:color w:val="000000"/>
          <w:lang w:eastAsia="ja-JP"/>
        </w:rPr>
      </w:pPr>
      <w:r>
        <w:rPr>
          <w:rFonts w:ascii="Tw Cen MT" w:hAnsi="Tw Cen MT" w:cs="Arial" w:eastAsiaTheme="minorEastAsia"/>
          <w:iCs/>
          <w:color w:val="000000"/>
          <w:lang w:eastAsia="ja-JP"/>
        </w:rPr>
        <w:t xml:space="preserve">SO 2.</w:t>
      </w:r>
      <w:r>
        <w:rPr>
          <w:rFonts w:ascii="Tw Cen MT" w:hAnsi="Tw Cen MT" w:cs="Arial" w:eastAsiaTheme="minorEastAsia"/>
          <w:iCs/>
          <w:color w:val="000000"/>
          <w:lang w:eastAsia="ja-JP"/>
        </w:rPr>
        <w:tab/>
        <w:t xml:space="preserve">The governance of the financial sector, the legal and regulatory framework for enhancing investments, with a specific focus on the green and digital sectors, is reinforced;</w:t>
      </w:r>
      <w:r>
        <w:rPr>
          <w:rFonts w:ascii="Tw Cen MT" w:hAnsi="Tw Cen MT" w:cs="Arial" w:eastAsiaTheme="minorEastAsia"/>
          <w:iCs/>
          <w:color w:val="000000"/>
          <w:lang w:eastAsia="ja-JP"/>
        </w:rPr>
      </w:r>
    </w:p>
    <w:p>
      <w:pPr>
        <w:pStyle w:val="951"/>
        <w:pBdr/>
        <w:tabs>
          <w:tab w:val="left" w:leader="none" w:pos="868"/>
        </w:tabs>
        <w:spacing w:line="268" w:lineRule="exact"/>
        <w:ind w:left="160"/>
        <w:rPr>
          <w:rFonts w:ascii="Tw Cen MT" w:hAnsi="Tw Cen MT" w:cs="Arial" w:eastAsiaTheme="minorEastAsia"/>
          <w:iCs/>
          <w:color w:val="000000"/>
          <w:lang w:eastAsia="ja-JP"/>
        </w:rPr>
      </w:pPr>
      <w:r>
        <w:rPr>
          <w:rFonts w:ascii="Tw Cen MT" w:hAnsi="Tw Cen MT" w:cs="Arial" w:eastAsiaTheme="minorEastAsia"/>
          <w:iCs/>
          <w:color w:val="000000"/>
          <w:lang w:eastAsia="ja-JP"/>
        </w:rPr>
        <w:t xml:space="preserve">SO 3.</w:t>
      </w:r>
      <w:r>
        <w:rPr>
          <w:rFonts w:ascii="Tw Cen MT" w:hAnsi="Tw Cen MT" w:cs="Arial" w:eastAsiaTheme="minorEastAsia"/>
          <w:iCs/>
          <w:color w:val="000000"/>
          <w:lang w:eastAsia="ja-JP"/>
        </w:rPr>
        <w:tab/>
        <w:t xml:space="preserve">Entrepreneurship, financial inclusion and green and digital innovation are enhanced.</w:t>
      </w:r>
      <w:r>
        <w:rPr>
          <w:rFonts w:ascii="Tw Cen MT" w:hAnsi="Tw Cen MT" w:cs="Arial" w:eastAsiaTheme="minorEastAsia"/>
          <w:iCs/>
          <w:color w:val="000000"/>
          <w:lang w:eastAsia="ja-JP"/>
        </w:rPr>
      </w:r>
    </w:p>
    <w:p>
      <w:pPr>
        <w:pBdr/>
        <w:spacing/>
        <w:ind/>
        <w:rPr>
          <w:lang w:val="en-US"/>
        </w:rPr>
      </w:pPr>
      <w:r>
        <w:rPr>
          <w:lang w:val="en-US"/>
        </w:rPr>
      </w:r>
      <w:r>
        <w:rPr>
          <w:lang w:val="en-US"/>
        </w:rPr>
      </w:r>
    </w:p>
    <w:p>
      <w:pPr>
        <w:pStyle w:val="863"/>
        <w:pBdr/>
        <w:spacing/>
        <w:ind/>
        <w:rPr/>
      </w:pPr>
      <w:r>
        <w:rPr>
          <w:rStyle w:val="947"/>
          <w:b w:val="0"/>
          <w:bCs w:val="0"/>
        </w:rPr>
        <w:t xml:space="preserve">Purpose</w:t>
      </w:r>
      <w:r>
        <w:rPr>
          <w:rStyle w:val="947"/>
          <w:b w:val="0"/>
          <w:bCs w:val="0"/>
        </w:rPr>
        <w:t xml:space="preserve"> of the Mission</w:t>
      </w:r>
      <w:r/>
    </w:p>
    <w:p>
      <w:pPr>
        <w:pStyle w:val="898"/>
        <w:pBdr/>
        <w:spacing/>
        <w:ind/>
        <w:rPr>
          <w:rFonts w:ascii="Tw Cen MT" w:hAnsi="Tw Cen MT"/>
          <w:lang w:val="en-US"/>
        </w:rPr>
      </w:pPr>
      <w:r>
        <w:rPr>
          <w:rFonts w:ascii="Tw Cen MT" w:hAnsi="Tw Cen MT"/>
          <w:lang w:val="en-US"/>
        </w:rPr>
        <w:t xml:space="preserve">The inception-phase assessment constitutes the </w:t>
      </w:r>
      <w:r>
        <w:rPr>
          <w:rStyle w:val="947"/>
          <w:rFonts w:ascii="Tw Cen MT" w:hAnsi="Tw Cen MT"/>
          <w:lang w:val="en-US"/>
        </w:rPr>
        <w:t xml:space="preserve">analytical nucleus and strategic inflection point</w:t>
      </w:r>
      <w:r>
        <w:rPr>
          <w:rFonts w:ascii="Tw Cen MT" w:hAnsi="Tw Cen MT"/>
          <w:lang w:val="en-US"/>
        </w:rPr>
        <w:t xml:space="preserve"> of the </w:t>
      </w:r>
      <w:r>
        <w:rPr>
          <w:rStyle w:val="956"/>
          <w:rFonts w:ascii="Tw Cen MT" w:hAnsi="Tw Cen MT"/>
          <w:lang w:val="en-US"/>
        </w:rPr>
        <w:t xml:space="preserve">INVEST4Libya</w:t>
      </w:r>
      <w:r>
        <w:rPr>
          <w:rFonts w:ascii="Tw Cen MT" w:hAnsi="Tw Cen MT"/>
          <w:lang w:val="en-US"/>
        </w:rPr>
        <w:t xml:space="preserve"> </w:t>
      </w:r>
      <w:r>
        <w:rPr>
          <w:rFonts w:ascii="Tw Cen MT" w:hAnsi="Tw Cen MT"/>
          <w:lang w:val="en-US"/>
        </w:rPr>
        <w:t xml:space="preserve">programme</w:t>
      </w:r>
      <w:r>
        <w:rPr>
          <w:rFonts w:ascii="Tw Cen MT" w:hAnsi="Tw Cen MT"/>
          <w:lang w:val="en-US"/>
        </w:rPr>
        <w:t xml:space="preserve">. Its purpose is to subject the project’s entire architecture—its Theory of Change, logical framework, and reform delivery design—to a </w:t>
      </w:r>
      <w:r>
        <w:rPr>
          <w:rStyle w:val="947"/>
          <w:rFonts w:ascii="Tw Cen MT" w:hAnsi="Tw Cen MT"/>
          <w:lang w:val="en-US"/>
        </w:rPr>
        <w:t xml:space="preserve">scientific, methodologically defensible examination</w:t>
      </w:r>
      <w:r>
        <w:rPr>
          <w:rFonts w:ascii="Tw Cen MT" w:hAnsi="Tw Cen MT"/>
          <w:lang w:val="en-US"/>
        </w:rPr>
        <w:t xml:space="preserve"> anchored in internationally </w:t>
      </w:r>
      <w:r>
        <w:rPr>
          <w:rFonts w:ascii="Tw Cen MT" w:hAnsi="Tw Cen MT"/>
          <w:lang w:val="en-US"/>
        </w:rPr>
        <w:t xml:space="preserve">recognised</w:t>
      </w:r>
      <w:r>
        <w:rPr>
          <w:rFonts w:ascii="Tw Cen MT" w:hAnsi="Tw Cen MT"/>
          <w:lang w:val="en-US"/>
        </w:rPr>
        <w:t xml:space="preserve"> standards.</w:t>
      </w:r>
      <w:r>
        <w:rPr>
          <w:rFonts w:ascii="Tw Cen MT" w:hAnsi="Tw Cen MT"/>
          <w:lang w:val="en-US"/>
        </w:rPr>
      </w:r>
    </w:p>
    <w:p>
      <w:pPr>
        <w:pStyle w:val="898"/>
        <w:pBdr/>
        <w:spacing/>
        <w:ind/>
        <w:rPr>
          <w:rFonts w:ascii="Tw Cen MT" w:hAnsi="Tw Cen MT"/>
          <w:lang w:val="en-US"/>
        </w:rPr>
      </w:pPr>
      <w:r>
        <w:rPr>
          <w:rFonts w:ascii="Tw Cen MT" w:hAnsi="Tw Cen MT"/>
          <w:lang w:val="en-US"/>
        </w:rPr>
        <w:t xml:space="preserve">Over six months (January–June 2026), a </w:t>
      </w:r>
      <w:r>
        <w:rPr>
          <w:rStyle w:val="947"/>
          <w:rFonts w:ascii="Tw Cen MT" w:hAnsi="Tw Cen MT"/>
          <w:lang w:val="en-US"/>
        </w:rPr>
        <w:t xml:space="preserve">senior, multidisciplinary team of experts</w:t>
      </w:r>
      <w:r>
        <w:rPr>
          <w:rFonts w:ascii="Tw Cen MT" w:hAnsi="Tw Cen MT"/>
          <w:lang w:val="en-US"/>
        </w:rPr>
        <w:t xml:space="preserve"> will conduct a </w:t>
      </w:r>
      <w:r>
        <w:rPr>
          <w:rStyle w:val="947"/>
          <w:rFonts w:ascii="Tw Cen MT" w:hAnsi="Tw Cen MT"/>
          <w:lang w:val="en-US"/>
        </w:rPr>
        <w:t xml:space="preserve">PEFA-informed, IMF- and WBG-aligned diagnostic</w:t>
      </w:r>
      <w:r>
        <w:rPr>
          <w:rFonts w:ascii="Tw Cen MT" w:hAnsi="Tw Cen MT"/>
          <w:lang w:val="en-US"/>
        </w:rPr>
        <w:t xml:space="preserve"> across Libya’s macro-fiscal, financial-governance, and enterprise-development systems. The assessment’s mandate is not descriptive but </w:t>
      </w:r>
      <w:r>
        <w:rPr>
          <w:rStyle w:val="956"/>
          <w:rFonts w:ascii="Tw Cen MT" w:hAnsi="Tw Cen MT"/>
          <w:lang w:val="en-US"/>
        </w:rPr>
        <w:t xml:space="preserve">determinant</w:t>
      </w:r>
      <w:r>
        <w:rPr>
          <w:rFonts w:ascii="Tw Cen MT" w:hAnsi="Tw Cen MT"/>
          <w:lang w:val="en-US"/>
        </w:rPr>
        <w:t xml:space="preserve">: to establish the empirical and institutional foundations upon which all subsequent implementation will rest, and to ensure that every reform measure under </w:t>
      </w:r>
      <w:r>
        <w:rPr>
          <w:rStyle w:val="956"/>
          <w:rFonts w:ascii="Tw Cen MT" w:hAnsi="Tw Cen MT"/>
          <w:lang w:val="en-US"/>
        </w:rPr>
        <w:t xml:space="preserve">INVEST4Libya</w:t>
      </w:r>
      <w:r>
        <w:rPr>
          <w:rFonts w:ascii="Tw Cen MT" w:hAnsi="Tw Cen MT"/>
          <w:lang w:val="en-US"/>
        </w:rPr>
        <w:t xml:space="preserve"> is </w:t>
      </w:r>
      <w:r>
        <w:rPr>
          <w:rStyle w:val="947"/>
          <w:rFonts w:ascii="Tw Cen MT" w:hAnsi="Tw Cen MT"/>
          <w:lang w:val="en-US"/>
        </w:rPr>
        <w:t xml:space="preserve">credible, feasible, and sequenced within Libya’s political-economy constraints</w:t>
      </w:r>
      <w:r>
        <w:rPr>
          <w:rFonts w:ascii="Tw Cen MT" w:hAnsi="Tw Cen MT"/>
          <w:lang w:val="en-US"/>
        </w:rPr>
        <w:t xml:space="preserve">.</w:t>
      </w:r>
      <w:r>
        <w:rPr>
          <w:rFonts w:ascii="Tw Cen MT" w:hAnsi="Tw Cen MT"/>
          <w:lang w:val="en-US"/>
        </w:rPr>
      </w:r>
    </w:p>
    <w:p>
      <w:pPr>
        <w:pStyle w:val="863"/>
        <w:pBdr/>
        <w:spacing/>
        <w:ind/>
        <w:rPr/>
      </w:pPr>
      <w:r>
        <w:rPr>
          <w:rStyle w:val="947"/>
          <w:b w:val="0"/>
          <w:bCs w:val="0"/>
        </w:rPr>
        <w:t xml:space="preserve">Strategic </w:t>
      </w:r>
      <w:r>
        <w:rPr>
          <w:rStyle w:val="947"/>
          <w:b w:val="0"/>
          <w:bCs w:val="0"/>
        </w:rPr>
        <w:t xml:space="preserve">Context</w:t>
      </w:r>
      <w:r/>
    </w:p>
    <w:p>
      <w:pPr>
        <w:pStyle w:val="898"/>
        <w:pBdr/>
        <w:spacing/>
        <w:ind/>
        <w:rPr>
          <w:rFonts w:ascii="Tw Cen MT" w:hAnsi="Tw Cen MT"/>
          <w:lang w:val="en-US"/>
        </w:rPr>
      </w:pPr>
      <w:r>
        <w:rPr>
          <w:rFonts w:ascii="Tw Cen MT" w:hAnsi="Tw Cen MT"/>
          <w:lang w:val="en-US"/>
        </w:rPr>
        <w:t xml:space="preserve">Libya’s reform trajectory stands at a </w:t>
      </w:r>
      <w:r>
        <w:rPr>
          <w:rStyle w:val="947"/>
          <w:rFonts w:ascii="Tw Cen MT" w:hAnsi="Tw Cen MT"/>
          <w:lang w:val="en-US"/>
        </w:rPr>
        <w:t xml:space="preserve">systemic crossroads</w:t>
      </w:r>
      <w:r>
        <w:rPr>
          <w:rFonts w:ascii="Tw Cen MT" w:hAnsi="Tw Cen MT"/>
          <w:lang w:val="en-US"/>
        </w:rPr>
        <w:t xml:space="preserve">, defined by structur</w:t>
      </w:r>
      <w:r>
        <w:rPr>
          <w:rFonts w:ascii="Tw Cen MT" w:hAnsi="Tw Cen MT"/>
          <w:lang w:val="en-US"/>
        </w:rPr>
        <w:t xml:space="preserve">al dependence on hydrocarbons, recurrent fiscal shocks, and the fragmentation of public-sector authority. The volatility of oil revenues, the duplication of institutions, and the erosion of fiscal discipline have created a macro-economic environment where </w:t>
      </w:r>
      <w:r>
        <w:rPr>
          <w:rStyle w:val="947"/>
          <w:rFonts w:ascii="Tw Cen MT" w:hAnsi="Tw Cen MT"/>
          <w:lang w:val="en-US"/>
        </w:rPr>
        <w:t xml:space="preserve">public finance, monetary policy, and investment regulation operate in isolation rather than synergy</w:t>
      </w:r>
      <w:r>
        <w:rPr>
          <w:rFonts w:ascii="Tw Cen MT" w:hAnsi="Tw Cen MT"/>
          <w:lang w:val="en-US"/>
        </w:rPr>
        <w:t xml:space="preserve">.</w:t>
      </w:r>
      <w:r>
        <w:rPr>
          <w:rFonts w:ascii="Tw Cen MT" w:hAnsi="Tw Cen MT"/>
          <w:lang w:val="en-US"/>
        </w:rPr>
      </w:r>
    </w:p>
    <w:p>
      <w:pPr>
        <w:pStyle w:val="898"/>
        <w:pBdr/>
        <w:spacing/>
        <w:ind/>
        <w:rPr>
          <w:rFonts w:ascii="Tw Cen MT" w:hAnsi="Tw Cen MT"/>
          <w:lang w:val="en-US"/>
        </w:rPr>
      </w:pPr>
      <w:r>
        <w:rPr>
          <w:rFonts w:ascii="Tw Cen MT" w:hAnsi="Tw Cen MT"/>
          <w:lang w:val="en-US"/>
        </w:rPr>
        <w:t xml:space="preserve">In this context, </w:t>
      </w:r>
      <w:r>
        <w:rPr>
          <w:rStyle w:val="956"/>
          <w:rFonts w:ascii="Tw Cen MT" w:hAnsi="Tw Cen MT"/>
          <w:lang w:val="en-US"/>
        </w:rPr>
        <w:t xml:space="preserve">INVEST4Libya</w:t>
      </w:r>
      <w:r>
        <w:rPr>
          <w:rFonts w:ascii="Tw Cen MT" w:hAnsi="Tw Cen MT"/>
          <w:lang w:val="en-US"/>
        </w:rPr>
        <w:t xml:space="preserve"> operates as a </w:t>
      </w:r>
      <w:r>
        <w:rPr>
          <w:rStyle w:val="947"/>
          <w:rFonts w:ascii="Tw Cen MT" w:hAnsi="Tw Cen MT"/>
          <w:lang w:val="en-US"/>
        </w:rPr>
        <w:t xml:space="preserve">strategic convergence platform</w:t>
      </w:r>
      <w:r>
        <w:rPr>
          <w:rFonts w:ascii="Tw Cen MT" w:hAnsi="Tw Cen MT"/>
          <w:lang w:val="en-US"/>
        </w:rPr>
        <w:t xml:space="preserve">—a mechanism through which fiscal credibility, financial-sector governance, and private-sector dynamism can be realigned into a coherent national development pathway. The inception assessment is therefore conceived not as a baseline study but as a </w:t>
      </w:r>
      <w:r>
        <w:rPr>
          <w:rStyle w:val="947"/>
          <w:rFonts w:ascii="Tw Cen MT" w:hAnsi="Tw Cen MT"/>
          <w:lang w:val="en-US"/>
        </w:rPr>
        <w:t xml:space="preserve">sovereign-scale diagnostic</w:t>
      </w:r>
      <w:r>
        <w:rPr>
          <w:rFonts w:ascii="Tw Cen MT" w:hAnsi="Tw Cen MT"/>
          <w:lang w:val="en-US"/>
        </w:rPr>
        <w:t xml:space="preserve">, designed to:</w:t>
      </w:r>
      <w:r>
        <w:rPr>
          <w:rFonts w:ascii="Tw Cen MT" w:hAnsi="Tw Cen MT"/>
          <w:lang w:val="en-US"/>
        </w:rPr>
      </w:r>
    </w:p>
    <w:p>
      <w:pPr>
        <w:pStyle w:val="898"/>
        <w:numPr>
          <w:ilvl w:val="0"/>
          <w:numId w:val="10"/>
        </w:numPr>
        <w:pBdr/>
        <w:tabs>
          <w:tab w:val="clear" w:leader="none" w:pos="9923"/>
        </w:tabs>
        <w:spacing/>
        <w:ind/>
        <w:rPr>
          <w:rFonts w:ascii="Tw Cen MT" w:hAnsi="Tw Cen MT"/>
          <w:lang w:val="en-US"/>
        </w:rPr>
      </w:pPr>
      <w:r>
        <w:rPr>
          <w:rFonts w:ascii="Tw Cen MT" w:hAnsi="Tw Cen MT"/>
          <w:lang w:val="en-US"/>
        </w:rPr>
        <w:t xml:space="preserve">Identify and </w:t>
      </w:r>
      <w:r>
        <w:rPr>
          <w:rFonts w:ascii="Tw Cen MT" w:hAnsi="Tw Cen MT"/>
          <w:lang w:val="en-US"/>
        </w:rPr>
        <w:t xml:space="preserve">prioritise</w:t>
      </w:r>
      <w:r>
        <w:rPr>
          <w:rFonts w:ascii="Tw Cen MT" w:hAnsi="Tw Cen MT"/>
          <w:lang w:val="en-US"/>
        </w:rPr>
        <w:t xml:space="preserve"> fiscal and financial reforms that can deliver early, confidence-building results without </w:t>
      </w:r>
      <w:r>
        <w:rPr>
          <w:rFonts w:ascii="Tw Cen MT" w:hAnsi="Tw Cen MT"/>
          <w:lang w:val="en-US"/>
        </w:rPr>
        <w:t xml:space="preserve">destabilising</w:t>
      </w:r>
      <w:r>
        <w:rPr>
          <w:rFonts w:ascii="Tw Cen MT" w:hAnsi="Tw Cen MT"/>
          <w:lang w:val="en-US"/>
        </w:rPr>
        <w:t xml:space="preserve"> macroeconomic balances;</w:t>
      </w:r>
      <w:r>
        <w:rPr>
          <w:rFonts w:ascii="Tw Cen MT" w:hAnsi="Tw Cen MT"/>
          <w:lang w:val="en-US"/>
        </w:rPr>
      </w:r>
    </w:p>
    <w:p>
      <w:pPr>
        <w:pStyle w:val="898"/>
        <w:numPr>
          <w:ilvl w:val="0"/>
          <w:numId w:val="10"/>
        </w:numPr>
        <w:pBdr/>
        <w:tabs>
          <w:tab w:val="clear" w:leader="none" w:pos="9923"/>
        </w:tabs>
        <w:spacing/>
        <w:ind/>
        <w:rPr>
          <w:rFonts w:ascii="Tw Cen MT" w:hAnsi="Tw Cen MT"/>
          <w:lang w:val="en-US"/>
        </w:rPr>
      </w:pPr>
      <w:r>
        <w:rPr>
          <w:rFonts w:ascii="Tw Cen MT" w:hAnsi="Tw Cen MT"/>
          <w:lang w:val="en-US"/>
        </w:rPr>
        <w:t xml:space="preserve">Evaluate institutional interdependencies among the </w:t>
      </w:r>
      <w:r>
        <w:rPr>
          <w:rStyle w:val="947"/>
          <w:rFonts w:ascii="Tw Cen MT" w:hAnsi="Tw Cen MT"/>
          <w:lang w:val="en-US"/>
        </w:rPr>
        <w:t xml:space="preserve">Ministry of Finance (</w:t>
      </w:r>
      <w:r>
        <w:rPr>
          <w:rStyle w:val="947"/>
          <w:rFonts w:ascii="Tw Cen MT" w:hAnsi="Tw Cen MT"/>
          <w:lang w:val="en-US"/>
        </w:rPr>
        <w:t xml:space="preserve">MoF</w:t>
      </w:r>
      <w:r>
        <w:rPr>
          <w:rStyle w:val="947"/>
          <w:rFonts w:ascii="Tw Cen MT" w:hAnsi="Tw Cen MT"/>
          <w:lang w:val="en-US"/>
        </w:rPr>
        <w:t xml:space="preserve">)</w:t>
      </w:r>
      <w:r>
        <w:rPr>
          <w:rFonts w:ascii="Tw Cen MT" w:hAnsi="Tw Cen MT"/>
          <w:lang w:val="en-US"/>
        </w:rPr>
        <w:t xml:space="preserve">, </w:t>
      </w:r>
      <w:r>
        <w:rPr>
          <w:rStyle w:val="947"/>
          <w:rFonts w:ascii="Tw Cen MT" w:hAnsi="Tw Cen MT"/>
          <w:lang w:val="en-US"/>
        </w:rPr>
        <w:t xml:space="preserve">Central Bank of Libya (CBL)</w:t>
      </w:r>
      <w:r>
        <w:rPr>
          <w:rFonts w:ascii="Tw Cen MT" w:hAnsi="Tw Cen MT"/>
          <w:lang w:val="en-US"/>
        </w:rPr>
        <w:t xml:space="preserve">, </w:t>
      </w:r>
      <w:r>
        <w:rPr>
          <w:rStyle w:val="947"/>
          <w:rFonts w:ascii="Tw Cen MT" w:hAnsi="Tw Cen MT"/>
          <w:lang w:val="en-US"/>
        </w:rPr>
        <w:t xml:space="preserve">Audit Bureau</w:t>
      </w:r>
      <w:r>
        <w:rPr>
          <w:rFonts w:ascii="Tw Cen MT" w:hAnsi="Tw Cen MT"/>
          <w:lang w:val="en-US"/>
        </w:rPr>
        <w:t xml:space="preserve">, </w:t>
      </w:r>
      <w:r>
        <w:rPr>
          <w:rStyle w:val="947"/>
          <w:rFonts w:ascii="Tw Cen MT" w:hAnsi="Tw Cen MT"/>
          <w:lang w:val="en-US"/>
        </w:rPr>
        <w:t xml:space="preserve">Ministry of Economy and Trade (</w:t>
      </w:r>
      <w:r>
        <w:rPr>
          <w:rStyle w:val="947"/>
          <w:rFonts w:ascii="Tw Cen MT" w:hAnsi="Tw Cen MT"/>
          <w:lang w:val="en-US"/>
        </w:rPr>
        <w:t xml:space="preserve">MoE</w:t>
      </w:r>
      <w:r>
        <w:rPr>
          <w:rStyle w:val="947"/>
          <w:rFonts w:ascii="Tw Cen MT" w:hAnsi="Tw Cen MT"/>
          <w:lang w:val="en-US"/>
        </w:rPr>
        <w:t xml:space="preserve">)</w:t>
      </w:r>
      <w:r>
        <w:rPr>
          <w:rFonts w:ascii="Tw Cen MT" w:hAnsi="Tw Cen MT"/>
          <w:lang w:val="en-US"/>
        </w:rPr>
        <w:t xml:space="preserve">, and </w:t>
      </w:r>
      <w:r>
        <w:rPr>
          <w:rStyle w:val="947"/>
          <w:rFonts w:ascii="Tw Cen MT" w:hAnsi="Tw Cen MT"/>
          <w:lang w:val="en-US"/>
        </w:rPr>
        <w:t xml:space="preserve">Privatisation</w:t>
      </w:r>
      <w:r>
        <w:rPr>
          <w:rStyle w:val="947"/>
          <w:rFonts w:ascii="Tw Cen MT" w:hAnsi="Tw Cen MT"/>
          <w:lang w:val="en-US"/>
        </w:rPr>
        <w:t xml:space="preserve"> and Investment Board (PIB)</w:t>
      </w:r>
      <w:r>
        <w:rPr>
          <w:rFonts w:ascii="Tw Cen MT" w:hAnsi="Tw Cen MT"/>
          <w:lang w:val="en-US"/>
        </w:rPr>
        <w:t xml:space="preserve">—the limited but decisive set of actors whose coordination determines systemic coherence; and</w:t>
      </w:r>
      <w:r>
        <w:rPr>
          <w:rFonts w:ascii="Tw Cen MT" w:hAnsi="Tw Cen MT"/>
          <w:lang w:val="en-US"/>
        </w:rPr>
      </w:r>
    </w:p>
    <w:p>
      <w:pPr>
        <w:pStyle w:val="898"/>
        <w:numPr>
          <w:ilvl w:val="0"/>
          <w:numId w:val="10"/>
        </w:numPr>
        <w:pBdr/>
        <w:tabs>
          <w:tab w:val="clear" w:leader="none" w:pos="9923"/>
        </w:tabs>
        <w:spacing/>
        <w:ind/>
        <w:rPr>
          <w:rFonts w:ascii="Tw Cen MT" w:hAnsi="Tw Cen MT"/>
          <w:lang w:val="en-US"/>
        </w:rPr>
      </w:pPr>
      <w:r>
        <w:rPr>
          <w:rFonts w:ascii="Tw Cen MT" w:hAnsi="Tw Cen MT"/>
          <w:lang w:val="en-US"/>
        </w:rPr>
        <w:t xml:space="preserve">Establish the analytical foundations for a </w:t>
      </w:r>
      <w:r>
        <w:rPr>
          <w:rStyle w:val="947"/>
          <w:rFonts w:ascii="Tw Cen MT" w:hAnsi="Tw Cen MT"/>
          <w:lang w:val="en-US"/>
        </w:rPr>
        <w:t xml:space="preserve">sequenced reform roadmap</w:t>
      </w:r>
      <w:r>
        <w:rPr>
          <w:rFonts w:ascii="Tw Cen MT" w:hAnsi="Tw Cen MT"/>
          <w:lang w:val="en-US"/>
        </w:rPr>
        <w:t xml:space="preserve">, linking fiscal transparency to financial governance and to the investment ecosystem required for entrepreneurship, innovation, and sustainable growth.</w:t>
      </w:r>
      <w:r>
        <w:rPr>
          <w:rFonts w:ascii="Tw Cen MT" w:hAnsi="Tw Cen MT"/>
          <w:lang w:val="en-US"/>
        </w:rPr>
      </w:r>
    </w:p>
    <w:p>
      <w:pPr>
        <w:pStyle w:val="898"/>
        <w:pBdr/>
        <w:spacing/>
        <w:ind/>
        <w:rPr>
          <w:rFonts w:ascii="Tw Cen MT" w:hAnsi="Tw Cen MT"/>
          <w:lang w:val="en-US"/>
        </w:rPr>
      </w:pPr>
      <w:r>
        <w:rPr>
          <w:rFonts w:ascii="Tw Cen MT" w:hAnsi="Tw Cen MT"/>
          <w:lang w:val="en-US"/>
        </w:rPr>
        <w:t xml:space="preserve">The </w:t>
      </w:r>
      <w:r>
        <w:rPr>
          <w:rStyle w:val="947"/>
          <w:rFonts w:ascii="Tw Cen MT" w:hAnsi="Tw Cen MT"/>
          <w:lang w:val="en-US"/>
        </w:rPr>
        <w:t xml:space="preserve">Stakeholder Network Analysis</w:t>
      </w:r>
      <w:r>
        <w:rPr>
          <w:rFonts w:ascii="Tw Cen MT" w:hAnsi="Tw Cen MT"/>
          <w:lang w:val="en-US"/>
        </w:rPr>
        <w:t xml:space="preserve"> highlights that reform feasibility in Libya depends less on formal mandates than on </w:t>
      </w:r>
      <w:r>
        <w:rPr>
          <w:rStyle w:val="947"/>
          <w:rFonts w:ascii="Tw Cen MT" w:hAnsi="Tw Cen MT"/>
          <w:lang w:val="en-US"/>
        </w:rPr>
        <w:t xml:space="preserve">institutional alignment and </w:t>
      </w:r>
      <w:r>
        <w:rPr>
          <w:rStyle w:val="947"/>
          <w:rFonts w:ascii="Tw Cen MT" w:hAnsi="Tw Cen MT"/>
          <w:lang w:val="en-US"/>
        </w:rPr>
        <w:t xml:space="preserve">signalling</w:t>
      </w:r>
      <w:r>
        <w:rPr>
          <w:rFonts w:ascii="Tw Cen MT" w:hAnsi="Tw Cen MT"/>
          <w:lang w:val="en-US"/>
        </w:rPr>
        <w:t xml:space="preserve">. Progress in one node—budget reliability or payments transparency—reverberates across the system, creating </w:t>
      </w:r>
      <w:r>
        <w:rPr>
          <w:rStyle w:val="956"/>
          <w:rFonts w:ascii="Tw Cen MT" w:hAnsi="Tw Cen MT"/>
          <w:lang w:val="en-US"/>
        </w:rPr>
        <w:t xml:space="preserve">credibility loops</w:t>
      </w:r>
      <w:r>
        <w:rPr>
          <w:rFonts w:ascii="Tw Cen MT" w:hAnsi="Tw Cen MT"/>
          <w:lang w:val="en-US"/>
        </w:rPr>
        <w:t xml:space="preserve"> that attract investment and consolidate reform momentum. Conversely, failure in a critical institution can cascade through the network, eroding trust and policy traction.</w:t>
      </w:r>
      <w:r>
        <w:rPr>
          <w:rFonts w:ascii="Tw Cen MT" w:hAnsi="Tw Cen MT"/>
          <w:lang w:val="en-US"/>
        </w:rPr>
      </w:r>
    </w:p>
    <w:p>
      <w:pPr>
        <w:pStyle w:val="898"/>
        <w:pBdr/>
        <w:spacing/>
        <w:ind/>
        <w:rPr>
          <w:rFonts w:ascii="Tw Cen MT" w:hAnsi="Tw Cen MT"/>
          <w:lang w:val="en-US"/>
        </w:rPr>
      </w:pPr>
      <w:r>
        <w:rPr>
          <w:rFonts w:ascii="Tw Cen MT" w:hAnsi="Tw Cen MT"/>
          <w:lang w:val="en-US"/>
        </w:rPr>
        <w:t xml:space="preserve">The inception assessment must therefore operate at a </w:t>
      </w:r>
      <w:r>
        <w:rPr>
          <w:rStyle w:val="947"/>
          <w:rFonts w:ascii="Tw Cen MT" w:hAnsi="Tw Cen MT"/>
          <w:lang w:val="en-US"/>
        </w:rPr>
        <w:t xml:space="preserve">strategic altitude</w:t>
      </w:r>
      <w:r>
        <w:rPr>
          <w:rFonts w:ascii="Tw Cen MT" w:hAnsi="Tw Cen MT"/>
          <w:lang w:val="en-US"/>
        </w:rPr>
        <w:t xml:space="preserve">: mapping incentives, constraints, and interdependencies with a level of analytical depth comparable to that of </w:t>
      </w:r>
      <w:r>
        <w:rPr>
          <w:rStyle w:val="947"/>
          <w:rFonts w:ascii="Tw Cen MT" w:hAnsi="Tw Cen MT"/>
          <w:lang w:val="en-US"/>
        </w:rPr>
        <w:t xml:space="preserve">IMF Article IV Consultations</w:t>
      </w:r>
      <w:r>
        <w:rPr>
          <w:rFonts w:ascii="Tw Cen MT" w:hAnsi="Tw Cen MT"/>
          <w:lang w:val="en-US"/>
        </w:rPr>
        <w:t xml:space="preserve"> or </w:t>
      </w:r>
      <w:r>
        <w:rPr>
          <w:rStyle w:val="947"/>
          <w:rFonts w:ascii="Tw Cen MT" w:hAnsi="Tw Cen MT"/>
          <w:lang w:val="en-US"/>
        </w:rPr>
        <w:t xml:space="preserve">World Bank Financial Sector Reviews</w:t>
      </w:r>
      <w:r>
        <w:rPr>
          <w:rFonts w:ascii="Tw Cen MT" w:hAnsi="Tw Cen MT"/>
          <w:lang w:val="en-US"/>
        </w:rPr>
        <w:t xml:space="preserve">. It must blend </w:t>
      </w:r>
      <w:r>
        <w:rPr>
          <w:rStyle w:val="947"/>
          <w:rFonts w:ascii="Tw Cen MT" w:hAnsi="Tw Cen MT"/>
          <w:lang w:val="en-US"/>
        </w:rPr>
        <w:t xml:space="preserve">macroeconomic modelling, institutional diagnostics, and applied political-economy analysis</w:t>
      </w:r>
      <w:r>
        <w:rPr>
          <w:rFonts w:ascii="Tw Cen MT" w:hAnsi="Tw Cen MT"/>
          <w:lang w:val="en-US"/>
        </w:rPr>
        <w:t xml:space="preserve"> into a coherent whole, yielding outputs that can withstand scrutiny by international financial institutions, policymakers, and peer reviewers alike.</w:t>
      </w:r>
      <w:r>
        <w:rPr>
          <w:rFonts w:ascii="Tw Cen MT" w:hAnsi="Tw Cen MT"/>
          <w:lang w:val="en-US"/>
        </w:rPr>
      </w:r>
    </w:p>
    <w:p>
      <w:pPr>
        <w:pStyle w:val="863"/>
        <w:pBdr/>
        <w:spacing/>
        <w:ind/>
        <w:rPr/>
      </w:pPr>
      <w:r>
        <w:rPr>
          <w:rStyle w:val="947"/>
          <w:b w:val="0"/>
          <w:bCs w:val="0"/>
        </w:rPr>
        <w:t xml:space="preserve">Expertise France Strategic </w:t>
      </w:r>
      <w:r>
        <w:rPr>
          <w:rStyle w:val="947"/>
          <w:b w:val="0"/>
          <w:bCs w:val="0"/>
        </w:rPr>
        <w:t xml:space="preserve">Positioning</w:t>
      </w:r>
      <w:r/>
    </w:p>
    <w:p>
      <w:pPr>
        <w:pStyle w:val="898"/>
        <w:pBdr/>
        <w:spacing/>
        <w:ind/>
        <w:rPr>
          <w:rFonts w:ascii="Tw Cen MT" w:hAnsi="Tw Cen MT"/>
          <w:lang w:val="en-US"/>
        </w:rPr>
      </w:pPr>
      <w:r>
        <w:rPr>
          <w:rFonts w:ascii="Tw Cen MT" w:hAnsi="Tw Cen MT"/>
          <w:lang w:val="en-US"/>
        </w:rPr>
        <w:t xml:space="preserve">As the </w:t>
      </w:r>
      <w:r>
        <w:rPr>
          <w:rStyle w:val="947"/>
          <w:rFonts w:ascii="Tw Cen MT" w:hAnsi="Tw Cen MT"/>
          <w:lang w:val="en-US"/>
        </w:rPr>
        <w:t xml:space="preserve">implementing agency</w:t>
      </w:r>
      <w:r>
        <w:rPr>
          <w:rFonts w:ascii="Tw Cen MT" w:hAnsi="Tw Cen MT"/>
          <w:lang w:val="en-US"/>
        </w:rPr>
        <w:t xml:space="preserve"> and lead technical partner of </w:t>
      </w:r>
      <w:r>
        <w:rPr>
          <w:rStyle w:val="956"/>
          <w:rFonts w:ascii="Tw Cen MT" w:hAnsi="Tw Cen MT"/>
          <w:lang w:val="en-US"/>
        </w:rPr>
        <w:t xml:space="preserve">INVEST4Libya</w:t>
      </w:r>
      <w:r>
        <w:rPr>
          <w:rFonts w:ascii="Tw Cen MT" w:hAnsi="Tw Cen MT"/>
          <w:lang w:val="en-US"/>
        </w:rPr>
        <w:t xml:space="preserve">, </w:t>
      </w:r>
      <w:r>
        <w:rPr>
          <w:rStyle w:val="947"/>
          <w:rFonts w:ascii="Tw Cen MT" w:hAnsi="Tw Cen MT"/>
          <w:lang w:val="en-US"/>
        </w:rPr>
        <w:t xml:space="preserve">Expertise France (EF)</w:t>
      </w:r>
      <w:r>
        <w:rPr>
          <w:rFonts w:ascii="Tw Cen MT" w:hAnsi="Tw Cen MT"/>
          <w:lang w:val="en-US"/>
        </w:rPr>
        <w:t xml:space="preserve"> approaches this inception assessment as a </w:t>
      </w:r>
      <w:r>
        <w:rPr>
          <w:rStyle w:val="947"/>
          <w:rFonts w:ascii="Tw Cen MT" w:hAnsi="Tw Cen MT"/>
          <w:lang w:val="en-US"/>
        </w:rPr>
        <w:t xml:space="preserve">demonstration of methodological excellence and institutional credibility</w:t>
      </w:r>
      <w:r>
        <w:rPr>
          <w:rFonts w:ascii="Tw Cen MT" w:hAnsi="Tw Cen MT"/>
          <w:lang w:val="en-US"/>
        </w:rPr>
        <w:t xml:space="preserve">. </w:t>
      </w:r>
      <w:r>
        <w:rPr>
          <w:rFonts w:ascii="Tw Cen MT" w:hAnsi="Tw Cen MT"/>
          <w:lang w:val="en-GB"/>
        </w:rPr>
        <w:t xml:space="preserve">EF’s ambition is to deliver a diagnostic exercise that meets the highest standards of analytical and academic rigour</w:t>
      </w:r>
      <w:r>
        <w:rPr>
          <w:lang w:val="en-GB"/>
        </w:rPr>
        <w:t xml:space="preserve">.</w:t>
      </w:r>
      <w:r>
        <w:rPr>
          <w:rFonts w:ascii="Tw Cen MT" w:hAnsi="Tw Cen MT"/>
          <w:lang w:val="en-US"/>
        </w:rPr>
        <w:t xml:space="preserve"> </w:t>
      </w:r>
      <w:r>
        <w:rPr>
          <w:rFonts w:ascii="Tw Cen MT" w:hAnsi="Tw Cen MT"/>
          <w:lang w:val="en-US"/>
        </w:rPr>
      </w:r>
    </w:p>
    <w:p>
      <w:pPr>
        <w:pStyle w:val="898"/>
        <w:pBdr/>
        <w:spacing/>
        <w:ind/>
        <w:rPr>
          <w:rFonts w:ascii="Tw Cen MT" w:hAnsi="Tw Cen MT"/>
          <w:lang w:val="en-US"/>
        </w:rPr>
      </w:pPr>
      <w:r>
        <w:rPr>
          <w:rFonts w:ascii="Tw Cen MT" w:hAnsi="Tw Cen MT"/>
          <w:lang w:val="en-US"/>
        </w:rPr>
        <w:t xml:space="preserve">This aspiration reflects EF’s dual identity as both a </w:t>
      </w:r>
      <w:r>
        <w:rPr>
          <w:rStyle w:val="947"/>
          <w:rFonts w:ascii="Tw Cen MT" w:hAnsi="Tw Cen MT"/>
          <w:lang w:val="en-US"/>
        </w:rPr>
        <w:t xml:space="preserve">technical cooperation agency</w:t>
      </w:r>
      <w:r>
        <w:rPr>
          <w:rFonts w:ascii="Tw Cen MT" w:hAnsi="Tw Cen MT"/>
          <w:lang w:val="en-US"/>
        </w:rPr>
        <w:t xml:space="preserve"> and a </w:t>
      </w:r>
      <w:r>
        <w:rPr>
          <w:rStyle w:val="947"/>
          <w:rFonts w:ascii="Tw Cen MT" w:hAnsi="Tw Cen MT"/>
          <w:lang w:val="en-US"/>
        </w:rPr>
        <w:t xml:space="preserve">centre</w:t>
      </w:r>
      <w:r>
        <w:rPr>
          <w:rStyle w:val="947"/>
          <w:rFonts w:ascii="Tw Cen MT" w:hAnsi="Tw Cen MT"/>
          <w:lang w:val="en-US"/>
        </w:rPr>
        <w:t xml:space="preserve"> of methodological innovation</w:t>
      </w:r>
      <w:r>
        <w:rPr>
          <w:rFonts w:ascii="Tw Cen MT" w:hAnsi="Tw Cen MT"/>
          <w:lang w:val="en-US"/>
        </w:rPr>
        <w:t xml:space="preserve"> within the French Development ecosystem. The Agency’s added value lies in its capacity to integrate:</w:t>
      </w:r>
      <w:r>
        <w:rPr>
          <w:rFonts w:ascii="Tw Cen MT" w:hAnsi="Tw Cen MT"/>
          <w:lang w:val="en-US"/>
        </w:rPr>
      </w:r>
    </w:p>
    <w:p>
      <w:pPr>
        <w:pStyle w:val="898"/>
        <w:numPr>
          <w:ilvl w:val="0"/>
          <w:numId w:val="11"/>
        </w:numPr>
        <w:pBdr/>
        <w:tabs>
          <w:tab w:val="clear" w:leader="none" w:pos="9923"/>
        </w:tabs>
        <w:spacing/>
        <w:ind/>
        <w:rPr>
          <w:rFonts w:ascii="Tw Cen MT" w:hAnsi="Tw Cen MT"/>
        </w:rPr>
      </w:pPr>
      <w:r>
        <w:rPr>
          <w:rStyle w:val="947"/>
          <w:rFonts w:ascii="Tw Cen MT" w:hAnsi="Tw Cen MT"/>
        </w:rPr>
        <w:t xml:space="preserve">International standards</w:t>
      </w:r>
      <w:r>
        <w:rPr>
          <w:rFonts w:ascii="Tw Cen MT" w:hAnsi="Tw Cen MT"/>
        </w:rPr>
        <w:t xml:space="preserve"> </w:t>
      </w:r>
      <w:r>
        <w:rPr>
          <w:rFonts w:ascii="Tw Cen MT" w:hAnsi="Tw Cen MT"/>
        </w:rPr>
        <w:t xml:space="preserve">with</w:t>
      </w:r>
      <w:r>
        <w:rPr>
          <w:rFonts w:ascii="Tw Cen MT" w:hAnsi="Tw Cen MT"/>
        </w:rPr>
        <w:t xml:space="preserve"> </w:t>
      </w:r>
      <w:r>
        <w:rPr>
          <w:rStyle w:val="947"/>
          <w:rFonts w:ascii="Tw Cen MT" w:hAnsi="Tw Cen MT"/>
        </w:rPr>
        <w:t xml:space="preserve">contextual</w:t>
      </w:r>
      <w:r>
        <w:rPr>
          <w:rStyle w:val="947"/>
          <w:rFonts w:ascii="Tw Cen MT" w:hAnsi="Tw Cen MT"/>
        </w:rPr>
        <w:t xml:space="preserve"> intelligence</w:t>
      </w:r>
      <w:r>
        <w:rPr>
          <w:rFonts w:ascii="Tw Cen MT" w:hAnsi="Tw Cen MT"/>
        </w:rPr>
        <w:t xml:space="preserve">,</w:t>
      </w:r>
      <w:r>
        <w:rPr>
          <w:rFonts w:ascii="Tw Cen MT" w:hAnsi="Tw Cen MT"/>
        </w:rPr>
      </w:r>
    </w:p>
    <w:p>
      <w:pPr>
        <w:pStyle w:val="898"/>
        <w:numPr>
          <w:ilvl w:val="0"/>
          <w:numId w:val="11"/>
        </w:numPr>
        <w:pBdr/>
        <w:tabs>
          <w:tab w:val="clear" w:leader="none" w:pos="9923"/>
        </w:tabs>
        <w:spacing/>
        <w:ind/>
        <w:rPr>
          <w:rFonts w:ascii="Tw Cen MT" w:hAnsi="Tw Cen MT"/>
          <w:lang w:val="en-US"/>
        </w:rPr>
      </w:pPr>
      <w:r>
        <w:rPr>
          <w:rStyle w:val="947"/>
          <w:rFonts w:ascii="Tw Cen MT" w:hAnsi="Tw Cen MT"/>
          <w:lang w:val="en-US"/>
        </w:rPr>
        <w:t xml:space="preserve">Empirical analysis</w:t>
      </w:r>
      <w:r>
        <w:rPr>
          <w:rFonts w:ascii="Tw Cen MT" w:hAnsi="Tw Cen MT"/>
          <w:lang w:val="en-US"/>
        </w:rPr>
        <w:t xml:space="preserve"> with </w:t>
      </w:r>
      <w:r>
        <w:rPr>
          <w:rStyle w:val="947"/>
          <w:rFonts w:ascii="Tw Cen MT" w:hAnsi="Tw Cen MT"/>
          <w:lang w:val="en-US"/>
        </w:rPr>
        <w:t xml:space="preserve">political-economy reasoning</w:t>
      </w:r>
      <w:r>
        <w:rPr>
          <w:rFonts w:ascii="Tw Cen MT" w:hAnsi="Tw Cen MT"/>
          <w:lang w:val="en-US"/>
        </w:rPr>
        <w:t xml:space="preserve">, and</w:t>
      </w:r>
      <w:r>
        <w:rPr>
          <w:rFonts w:ascii="Tw Cen MT" w:hAnsi="Tw Cen MT"/>
          <w:lang w:val="en-US"/>
        </w:rPr>
      </w:r>
    </w:p>
    <w:p>
      <w:pPr>
        <w:pStyle w:val="898"/>
        <w:numPr>
          <w:ilvl w:val="0"/>
          <w:numId w:val="11"/>
        </w:numPr>
        <w:pBdr/>
        <w:tabs>
          <w:tab w:val="clear" w:leader="none" w:pos="9923"/>
        </w:tabs>
        <w:spacing/>
        <w:ind/>
        <w:rPr>
          <w:rFonts w:ascii="Tw Cen MT" w:hAnsi="Tw Cen MT"/>
          <w:lang w:val="en-US"/>
        </w:rPr>
      </w:pPr>
      <w:r>
        <w:rPr>
          <w:rStyle w:val="947"/>
          <w:rFonts w:ascii="Tw Cen MT" w:hAnsi="Tw Cen MT"/>
          <w:lang w:val="en-US"/>
        </w:rPr>
        <w:t xml:space="preserve">Operational feasibility</w:t>
      </w:r>
      <w:r>
        <w:rPr>
          <w:rFonts w:ascii="Tw Cen MT" w:hAnsi="Tw Cen MT"/>
          <w:lang w:val="en-US"/>
        </w:rPr>
        <w:t xml:space="preserve"> with </w:t>
      </w:r>
      <w:r>
        <w:rPr>
          <w:rStyle w:val="947"/>
          <w:rFonts w:ascii="Tw Cen MT" w:hAnsi="Tw Cen MT"/>
          <w:lang w:val="en-US"/>
        </w:rPr>
        <w:t xml:space="preserve">academic-grade precision</w:t>
      </w:r>
      <w:r>
        <w:rPr>
          <w:rFonts w:ascii="Tw Cen MT" w:hAnsi="Tw Cen MT"/>
          <w:lang w:val="en-US"/>
        </w:rPr>
        <w:t xml:space="preserve">.</w:t>
      </w:r>
      <w:r>
        <w:rPr>
          <w:rFonts w:ascii="Tw Cen MT" w:hAnsi="Tw Cen MT"/>
          <w:lang w:val="en-US"/>
        </w:rPr>
      </w:r>
    </w:p>
    <w:p>
      <w:pPr>
        <w:pStyle w:val="898"/>
        <w:pBdr/>
        <w:spacing/>
        <w:ind/>
        <w:rPr>
          <w:rFonts w:ascii="Tw Cen MT" w:hAnsi="Tw Cen MT"/>
          <w:lang w:val="en-US"/>
        </w:rPr>
      </w:pPr>
      <w:r>
        <w:rPr>
          <w:rFonts w:ascii="Tw Cen MT" w:hAnsi="Tw Cen MT"/>
          <w:lang w:val="en-US"/>
        </w:rPr>
        <w:t xml:space="preserve">Accordingly, the </w:t>
      </w:r>
      <w:r>
        <w:rPr>
          <w:rFonts w:ascii="Tw Cen MT" w:hAnsi="Tw Cen MT"/>
          <w:lang w:val="en-US"/>
        </w:rPr>
        <w:t xml:space="preserve">ToRs</w:t>
      </w:r>
      <w:r>
        <w:rPr>
          <w:rFonts w:ascii="Tw Cen MT" w:hAnsi="Tw Cen MT"/>
          <w:lang w:val="en-US"/>
        </w:rPr>
        <w:t xml:space="preserve"> target only </w:t>
      </w:r>
      <w:r>
        <w:rPr>
          <w:rStyle w:val="947"/>
          <w:rFonts w:ascii="Tw Cen MT" w:hAnsi="Tw Cen MT"/>
          <w:lang w:val="en-US"/>
        </w:rPr>
        <w:t xml:space="preserve">senior, high-</w:t>
      </w:r>
      <w:r>
        <w:rPr>
          <w:rStyle w:val="947"/>
          <w:rFonts w:ascii="Tw Cen MT" w:hAnsi="Tw Cen MT"/>
          <w:lang w:val="en-US"/>
        </w:rPr>
        <w:t xml:space="preserve">calibre</w:t>
      </w:r>
      <w:r>
        <w:rPr>
          <w:rStyle w:val="947"/>
          <w:rFonts w:ascii="Tw Cen MT" w:hAnsi="Tw Cen MT"/>
          <w:lang w:val="en-US"/>
        </w:rPr>
        <w:t xml:space="preserve"> experts</w:t>
      </w:r>
      <w:r>
        <w:rPr>
          <w:rFonts w:ascii="Tw Cen MT" w:hAnsi="Tw Cen MT"/>
          <w:lang w:val="en-US"/>
        </w:rPr>
        <w:t xml:space="preserve"> with demonstrated experience in large-scale fiscal, financial, and institutional reform diagnostics. Entry-level or generalist profiles will not be considered. This mission demands </w:t>
      </w:r>
      <w:r>
        <w:rPr>
          <w:rStyle w:val="947"/>
          <w:rFonts w:ascii="Tw Cen MT" w:hAnsi="Tw Cen MT"/>
          <w:lang w:val="en-US"/>
        </w:rPr>
        <w:t xml:space="preserve">strategic discernment, analytical discipline, and thought leadership</w:t>
      </w:r>
      <w:r>
        <w:rPr>
          <w:rFonts w:ascii="Tw Cen MT" w:hAnsi="Tw Cen MT"/>
          <w:lang w:val="en-US"/>
        </w:rPr>
        <w:t xml:space="preserve"> commensurate with assignments commissioned by the IMF, the World Bank, or the EU at headquarters level.</w:t>
      </w:r>
      <w:r>
        <w:rPr>
          <w:rFonts w:ascii="Tw Cen MT" w:hAnsi="Tw Cen MT"/>
          <w:lang w:val="en-US"/>
        </w:rPr>
      </w:r>
    </w:p>
    <w:p>
      <w:pPr>
        <w:pStyle w:val="898"/>
        <w:pBdr/>
        <w:spacing/>
        <w:ind/>
        <w:rPr>
          <w:rFonts w:ascii="Tw Cen MT" w:hAnsi="Tw Cen MT"/>
          <w:lang w:val="en-US"/>
        </w:rPr>
      </w:pPr>
      <w:r>
        <w:rPr>
          <w:rFonts w:ascii="Tw Cen MT" w:hAnsi="Tw Cen MT"/>
          <w:lang w:val="en-US"/>
        </w:rPr>
        <w:t xml:space="preserve">EF’s approach to this inception phase is therefore twofold:</w:t>
      </w:r>
      <w:r>
        <w:rPr>
          <w:rFonts w:ascii="Tw Cen MT" w:hAnsi="Tw Cen MT"/>
          <w:lang w:val="en-US"/>
        </w:rPr>
      </w:r>
    </w:p>
    <w:p>
      <w:pPr>
        <w:pStyle w:val="898"/>
        <w:numPr>
          <w:ilvl w:val="0"/>
          <w:numId w:val="12"/>
        </w:numPr>
        <w:pBdr/>
        <w:tabs>
          <w:tab w:val="clear" w:leader="none" w:pos="9923"/>
        </w:tabs>
        <w:spacing/>
        <w:ind/>
        <w:rPr>
          <w:rFonts w:ascii="Tw Cen MT" w:hAnsi="Tw Cen MT"/>
          <w:lang w:val="en-US"/>
        </w:rPr>
      </w:pPr>
      <w:r>
        <w:rPr>
          <w:rFonts w:ascii="Tw Cen MT" w:hAnsi="Tw Cen MT"/>
          <w:lang w:val="en-US"/>
        </w:rPr>
        <w:t xml:space="preserve">To ensure that the analytical process and deliverables meet </w:t>
      </w:r>
      <w:r>
        <w:rPr>
          <w:rStyle w:val="947"/>
          <w:rFonts w:ascii="Tw Cen MT" w:hAnsi="Tw Cen MT"/>
          <w:lang w:val="en-US"/>
        </w:rPr>
        <w:t xml:space="preserve">the highest international benchmarks</w:t>
      </w:r>
      <w:r>
        <w:rPr>
          <w:rFonts w:ascii="Tw Cen MT" w:hAnsi="Tw Cen MT"/>
          <w:lang w:val="en-US"/>
        </w:rPr>
        <w:t xml:space="preserve"> of methodological transparency, coherence, and validation; and</w:t>
      </w:r>
      <w:r>
        <w:rPr>
          <w:rFonts w:ascii="Tw Cen MT" w:hAnsi="Tw Cen MT"/>
          <w:lang w:val="en-US"/>
        </w:rPr>
      </w:r>
    </w:p>
    <w:p>
      <w:pPr>
        <w:pStyle w:val="898"/>
        <w:numPr>
          <w:ilvl w:val="0"/>
          <w:numId w:val="12"/>
        </w:numPr>
        <w:pBdr/>
        <w:tabs>
          <w:tab w:val="clear" w:leader="none" w:pos="9923"/>
        </w:tabs>
        <w:spacing/>
        <w:ind/>
        <w:rPr>
          <w:rFonts w:ascii="Tw Cen MT" w:hAnsi="Tw Cen MT"/>
          <w:lang w:val="en-US"/>
        </w:rPr>
      </w:pPr>
      <w:r>
        <w:rPr>
          <w:rFonts w:ascii="Tw Cen MT" w:hAnsi="Tw Cen MT"/>
          <w:lang w:val="en-US"/>
        </w:rPr>
        <w:t xml:space="preserve">To position EF as a </w:t>
      </w:r>
      <w:r>
        <w:rPr>
          <w:rStyle w:val="947"/>
          <w:rFonts w:ascii="Tw Cen MT" w:hAnsi="Tw Cen MT"/>
          <w:lang w:val="en-US"/>
        </w:rPr>
        <w:t xml:space="preserve">trusted technical interlocutor</w:t>
      </w:r>
      <w:r>
        <w:rPr>
          <w:rFonts w:ascii="Tw Cen MT" w:hAnsi="Tw Cen MT"/>
          <w:lang w:val="en-US"/>
        </w:rPr>
        <w:t xml:space="preserve"> capable of translating complex reform diagnostics into actionable, nationally owned strategies for Libya’s sustainable economic transformation.</w:t>
      </w:r>
      <w:r>
        <w:rPr>
          <w:rFonts w:ascii="Tw Cen MT" w:hAnsi="Tw Cen MT"/>
          <w:lang w:val="en-US"/>
        </w:rPr>
      </w:r>
    </w:p>
    <w:p>
      <w:pPr>
        <w:pStyle w:val="898"/>
        <w:pBdr/>
        <w:spacing/>
        <w:ind/>
        <w:rPr>
          <w:rFonts w:ascii="Tw Cen MT" w:hAnsi="Tw Cen MT"/>
          <w:lang w:val="en-US"/>
        </w:rPr>
      </w:pPr>
      <w:r>
        <w:rPr>
          <w:rFonts w:ascii="Tw Cen MT" w:hAnsi="Tw Cen MT"/>
          <w:lang w:val="en-US"/>
        </w:rPr>
        <w:t xml:space="preserve">While the </w:t>
      </w:r>
      <w:r>
        <w:rPr>
          <w:rStyle w:val="947"/>
          <w:rFonts w:ascii="Tw Cen MT" w:hAnsi="Tw Cen MT"/>
          <w:lang w:val="en-US"/>
        </w:rPr>
        <w:t xml:space="preserve">European Union</w:t>
      </w:r>
      <w:r>
        <w:rPr>
          <w:rFonts w:ascii="Tw Cen MT" w:hAnsi="Tw Cen MT"/>
          <w:lang w:val="en-US"/>
        </w:rPr>
        <w:t xml:space="preserve"> remains the </w:t>
      </w:r>
      <w:r>
        <w:rPr>
          <w:rStyle w:val="956"/>
          <w:rFonts w:ascii="Tw Cen MT" w:hAnsi="Tw Cen MT"/>
          <w:lang w:val="en-US"/>
        </w:rPr>
        <w:t xml:space="preserve">donor and contracting authority</w:t>
      </w:r>
      <w:r>
        <w:rPr>
          <w:rFonts w:ascii="Tw Cen MT" w:hAnsi="Tw Cen MT"/>
          <w:lang w:val="en-US"/>
        </w:rPr>
        <w:t xml:space="preserve"> of the action, this inception mission is entrusted to EF precisely because of the Agency’s proven ability to operate at the intersection of </w:t>
      </w:r>
      <w:r>
        <w:rPr>
          <w:rStyle w:val="947"/>
          <w:rFonts w:ascii="Tw Cen MT" w:hAnsi="Tw Cen MT"/>
          <w:lang w:val="en-US"/>
        </w:rPr>
        <w:t xml:space="preserve">academic </w:t>
      </w:r>
      <w:r>
        <w:rPr>
          <w:rStyle w:val="947"/>
          <w:rFonts w:ascii="Tw Cen MT" w:hAnsi="Tw Cen MT"/>
          <w:lang w:val="en-US"/>
        </w:rPr>
        <w:t xml:space="preserve">rigour</w:t>
      </w:r>
      <w:r>
        <w:rPr>
          <w:rStyle w:val="947"/>
          <w:rFonts w:ascii="Tw Cen MT" w:hAnsi="Tw Cen MT"/>
          <w:lang w:val="en-US"/>
        </w:rPr>
        <w:t xml:space="preserve"> and operational diplomacy</w:t>
      </w:r>
      <w:r>
        <w:rPr>
          <w:rFonts w:ascii="Tw Cen MT" w:hAnsi="Tw Cen MT"/>
          <w:lang w:val="en-US"/>
        </w:rPr>
        <w:t xml:space="preserve">—a space where few actors can perform credibly in fragile and politically complex contexts.</w:t>
      </w:r>
      <w:r>
        <w:rPr>
          <w:rFonts w:ascii="Tw Cen MT" w:hAnsi="Tw Cen MT"/>
          <w:lang w:val="en-US"/>
        </w:rPr>
      </w:r>
    </w:p>
    <w:p>
      <w:pPr>
        <w:pStyle w:val="863"/>
        <w:pBdr/>
        <w:spacing/>
        <w:ind/>
        <w:rPr/>
      </w:pPr>
      <w:r>
        <w:rPr>
          <w:rStyle w:val="947"/>
          <w:b w:val="0"/>
          <w:bCs w:val="0"/>
        </w:rPr>
        <w:t xml:space="preserve">Strategic </w:t>
      </w:r>
      <w:r>
        <w:rPr>
          <w:rStyle w:val="947"/>
          <w:b w:val="0"/>
          <w:bCs w:val="0"/>
        </w:rPr>
        <w:t xml:space="preserve">Imperative</w:t>
      </w:r>
      <w:r/>
    </w:p>
    <w:p>
      <w:pPr>
        <w:pStyle w:val="898"/>
        <w:pBdr/>
        <w:spacing/>
        <w:ind/>
        <w:rPr>
          <w:rFonts w:ascii="Tw Cen MT" w:hAnsi="Tw Cen MT"/>
          <w:lang w:val="en-GB"/>
        </w:rPr>
      </w:pPr>
      <w:r>
        <w:rPr>
          <w:rFonts w:ascii="Tw Cen MT" w:hAnsi="Tw Cen MT"/>
          <w:lang w:val="en-US"/>
        </w:rPr>
        <w:t xml:space="preserve">This inception assessment findings will </w:t>
      </w:r>
      <w:r>
        <w:rPr>
          <w:rFonts w:ascii="Tw Cen MT" w:hAnsi="Tw Cen MT"/>
          <w:lang w:val="en-US"/>
        </w:rPr>
        <w:t xml:space="preserve">precise</w:t>
      </w:r>
      <w:r>
        <w:rPr>
          <w:rFonts w:ascii="Tw Cen MT" w:hAnsi="Tw Cen MT"/>
          <w:lang w:val="en-US"/>
        </w:rPr>
        <w:t xml:space="preserve"> the operational </w:t>
      </w:r>
      <w:r>
        <w:rPr>
          <w:rFonts w:ascii="Tw Cen MT" w:hAnsi="Tw Cen MT"/>
          <w:lang w:val="en-US"/>
        </w:rPr>
        <w:t xml:space="preserve">methodology</w:t>
      </w:r>
      <w:r>
        <w:rPr>
          <w:rFonts w:ascii="Tw Cen MT" w:hAnsi="Tw Cen MT"/>
          <w:lang w:val="en-US"/>
        </w:rPr>
        <w:t xml:space="preserve"> of </w:t>
      </w:r>
      <w:r>
        <w:rPr>
          <w:rStyle w:val="956"/>
          <w:rFonts w:ascii="Tw Cen MT" w:hAnsi="Tw Cen MT"/>
          <w:lang w:val="en-US"/>
        </w:rPr>
        <w:t xml:space="preserve">INVEST4Libya</w:t>
      </w:r>
      <w:r>
        <w:rPr>
          <w:rFonts w:ascii="Tw Cen MT" w:hAnsi="Tw Cen MT"/>
          <w:lang w:val="en-US"/>
        </w:rPr>
        <w:t xml:space="preserve">. </w:t>
      </w:r>
      <w:r>
        <w:rPr>
          <w:rFonts w:ascii="Tw Cen MT" w:hAnsi="Tw Cen MT"/>
          <w:lang w:val="en-GB"/>
        </w:rPr>
        <w:t xml:space="preserve">Its success will:</w:t>
      </w:r>
      <w:r>
        <w:rPr>
          <w:rFonts w:ascii="Tw Cen MT" w:hAnsi="Tw Cen MT"/>
          <w:lang w:val="en-GB"/>
        </w:rPr>
      </w:r>
    </w:p>
    <w:p>
      <w:pPr>
        <w:pStyle w:val="898"/>
        <w:numPr>
          <w:ilvl w:val="0"/>
          <w:numId w:val="13"/>
        </w:numPr>
        <w:pBdr/>
        <w:tabs>
          <w:tab w:val="clear" w:leader="none" w:pos="9923"/>
        </w:tabs>
        <w:spacing/>
        <w:ind/>
        <w:rPr>
          <w:rFonts w:ascii="Tw Cen MT" w:hAnsi="Tw Cen MT"/>
          <w:lang w:val="en-US"/>
        </w:rPr>
      </w:pPr>
      <w:r>
        <w:rPr>
          <w:rFonts w:ascii="Tw Cen MT" w:hAnsi="Tw Cen MT"/>
          <w:lang w:val="en-US"/>
        </w:rPr>
        <w:t xml:space="preserve">Establish the empirical baseline for </w:t>
      </w:r>
      <w:r>
        <w:rPr>
          <w:rFonts w:ascii="Tw Cen MT" w:hAnsi="Tw Cen MT"/>
          <w:lang w:val="en-US"/>
        </w:rPr>
        <w:t xml:space="preserve">programme</w:t>
      </w:r>
      <w:r>
        <w:rPr>
          <w:rFonts w:ascii="Tw Cen MT" w:hAnsi="Tw Cen MT"/>
          <w:lang w:val="en-US"/>
        </w:rPr>
        <w:t xml:space="preserve"> implementation and future evaluations;</w:t>
      </w:r>
      <w:r>
        <w:rPr>
          <w:rFonts w:ascii="Tw Cen MT" w:hAnsi="Tw Cen MT"/>
          <w:lang w:val="en-US"/>
        </w:rPr>
      </w:r>
    </w:p>
    <w:p>
      <w:pPr>
        <w:pStyle w:val="898"/>
        <w:numPr>
          <w:ilvl w:val="0"/>
          <w:numId w:val="13"/>
        </w:numPr>
        <w:pBdr/>
        <w:tabs>
          <w:tab w:val="clear" w:leader="none" w:pos="9923"/>
        </w:tabs>
        <w:spacing/>
        <w:ind/>
        <w:rPr>
          <w:rFonts w:ascii="Tw Cen MT" w:hAnsi="Tw Cen MT"/>
          <w:lang w:val="en-US"/>
        </w:rPr>
      </w:pPr>
      <w:r>
        <w:rPr>
          <w:rFonts w:ascii="Tw Cen MT" w:hAnsi="Tw Cen MT"/>
          <w:lang w:val="en-US"/>
        </w:rPr>
        <w:t xml:space="preserve">Provide the analytical foundation for adjusting the Description of Action, Theory of Change, and logical framework; and</w:t>
      </w:r>
      <w:r>
        <w:rPr>
          <w:rFonts w:ascii="Tw Cen MT" w:hAnsi="Tw Cen MT"/>
          <w:lang w:val="en-US"/>
        </w:rPr>
      </w:r>
    </w:p>
    <w:p>
      <w:pPr>
        <w:pStyle w:val="898"/>
        <w:numPr>
          <w:ilvl w:val="0"/>
          <w:numId w:val="13"/>
        </w:numPr>
        <w:pBdr/>
        <w:tabs>
          <w:tab w:val="clear" w:leader="none" w:pos="9923"/>
        </w:tabs>
        <w:spacing/>
        <w:ind/>
        <w:rPr>
          <w:rFonts w:ascii="Tw Cen MT" w:hAnsi="Tw Cen MT"/>
          <w:lang w:val="en-US"/>
        </w:rPr>
      </w:pPr>
      <w:r>
        <w:rPr>
          <w:rFonts w:ascii="Tw Cen MT" w:hAnsi="Tw Cen MT"/>
          <w:lang w:val="en-GB"/>
        </w:rPr>
        <w:t xml:space="preserve">will contribute to the enhancement of methodologies and practices underpinning EF-led diagnostics in fragile and transitional environments.</w:t>
      </w:r>
      <w:r>
        <w:rPr>
          <w:rFonts w:ascii="Tw Cen MT" w:hAnsi="Tw Cen MT"/>
          <w:lang w:val="en-US"/>
        </w:rPr>
        <w:t xml:space="preserve"> </w:t>
      </w:r>
      <w:r>
        <w:rPr>
          <w:rFonts w:ascii="Tw Cen MT" w:hAnsi="Tw Cen MT"/>
          <w:lang w:val="en-US"/>
        </w:rPr>
      </w:r>
    </w:p>
    <w:p>
      <w:pPr>
        <w:pStyle w:val="862"/>
        <w:pBdr/>
        <w:spacing/>
        <w:ind/>
        <w:rPr>
          <w:lang w:val="en-US"/>
        </w:rPr>
      </w:pPr>
      <w:r>
        <w:rPr>
          <w:lang w:val="en-US"/>
        </w:rPr>
        <w:t xml:space="preserve">Objectives and scope WorK</w:t>
      </w:r>
      <w:r>
        <w:rPr>
          <w:lang w:val="en-US"/>
        </w:rPr>
      </w:r>
    </w:p>
    <w:p>
      <w:pPr>
        <w:pBdr/>
        <w:spacing/>
        <w:ind/>
        <w:rPr>
          <w:lang w:val="en-IE"/>
        </w:rPr>
      </w:pPr>
      <w:r>
        <w:rPr>
          <w:lang w:val="en-IE"/>
        </w:rPr>
        <w:t xml:space="preserve">The Senior National Expert will provide </w:t>
      </w:r>
      <w:r>
        <w:rPr>
          <w:rStyle w:val="947"/>
          <w:lang w:val="en-IE"/>
        </w:rPr>
        <w:t xml:space="preserve">high-level institutional facilitation, political-economy insight, and strategic engagement</w:t>
      </w:r>
      <w:r>
        <w:rPr>
          <w:lang w:val="en-IE"/>
        </w:rPr>
        <w:t xml:space="preserve"> to support the inception-phase diagnostic of Libya’s Public Financial Management (PFM) system under INVEST4Libya.</w:t>
      </w:r>
      <w:r>
        <w:rPr>
          <w:lang w:val="en-IE"/>
        </w:rPr>
      </w:r>
    </w:p>
    <w:p>
      <w:pPr>
        <w:pBdr/>
        <w:tabs>
          <w:tab w:val="clear" w:leader="none" w:pos="9923"/>
        </w:tabs>
        <w:spacing w:after="100" w:afterAutospacing="1" w:before="100" w:beforeAutospacing="1"/>
        <w:ind/>
        <w:jc w:val="left"/>
        <w:rPr>
          <w:lang w:val="en-IE"/>
        </w:rPr>
      </w:pPr>
      <w:r>
        <w:rPr>
          <w:lang w:val="en-IE"/>
        </w:rPr>
        <w:t xml:space="preserve">He/She</w:t>
      </w:r>
      <w:r>
        <w:rPr>
          <w:lang w:val="en-IE"/>
        </w:rPr>
        <w:t xml:space="preserve"> will </w:t>
      </w:r>
      <w:r>
        <w:rPr>
          <w:lang w:val="en-IE"/>
        </w:rPr>
        <w:t xml:space="preserve">ensures that the diagnostic is:</w:t>
      </w:r>
      <w:r>
        <w:rPr>
          <w:lang w:val="en-IE"/>
        </w:rPr>
      </w:r>
    </w:p>
    <w:p>
      <w:pPr>
        <w:numPr>
          <w:ilvl w:val="0"/>
          <w:numId w:val="19"/>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Contextually grounded,</w:t>
      </w:r>
      <w:r>
        <w:rPr>
          <w:lang w:val="en-IE"/>
        </w:rPr>
      </w:r>
    </w:p>
    <w:p>
      <w:pPr>
        <w:numPr>
          <w:ilvl w:val="0"/>
          <w:numId w:val="19"/>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Politically feasible,</w:t>
      </w:r>
      <w:r>
        <w:rPr>
          <w:lang w:val="en-IE"/>
        </w:rPr>
      </w:r>
    </w:p>
    <w:p>
      <w:pPr>
        <w:numPr>
          <w:ilvl w:val="0"/>
          <w:numId w:val="19"/>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Institutionally owned, and</w:t>
      </w:r>
      <w:r>
        <w:rPr>
          <w:lang w:val="en-IE"/>
        </w:rPr>
      </w:r>
    </w:p>
    <w:p>
      <w:pPr>
        <w:numPr>
          <w:ilvl w:val="0"/>
          <w:numId w:val="19"/>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Aligned with Libyan administrative realities.</w:t>
      </w:r>
      <w:r>
        <w:rPr>
          <w:lang w:val="en-IE"/>
        </w:rPr>
      </w:r>
    </w:p>
    <w:p>
      <w:pPr>
        <w:pBdr/>
        <w:tabs>
          <w:tab w:val="clear" w:leader="none" w:pos="9923"/>
        </w:tabs>
        <w:spacing w:after="100" w:afterAutospacing="1" w:before="100" w:beforeAutospacing="1"/>
        <w:ind/>
        <w:jc w:val="left"/>
        <w:rPr>
          <w:lang w:val="en-IE"/>
        </w:rPr>
      </w:pPr>
      <w:r>
        <w:rPr>
          <w:lang w:val="en-IE"/>
        </w:rPr>
        <w:t xml:space="preserve">The</w:t>
      </w:r>
      <w:r>
        <w:rPr>
          <w:lang w:val="en-IE"/>
        </w:rPr>
        <w:t xml:space="preserve"> expert acts as the </w:t>
      </w:r>
      <w:r>
        <w:rPr>
          <w:lang w:val="en-IE"/>
        </w:rPr>
        <w:t xml:space="preserve">primary bridge</w:t>
      </w:r>
      <w:r>
        <w:rPr>
          <w:lang w:val="en-IE"/>
        </w:rPr>
        <w:t xml:space="preserve"> between Expertise France and Libyan institutions, ensuring access, legitimacy, and contextual intelligence across the entire inception phase.</w:t>
      </w:r>
      <w:r>
        <w:rPr>
          <w:lang w:val="en-IE"/>
        </w:rPr>
      </w:r>
    </w:p>
    <w:p>
      <w:pPr>
        <w:pBdr/>
        <w:spacing/>
        <w:ind/>
        <w:rPr>
          <w:b/>
          <w:bCs/>
          <w:lang w:val="en-IE"/>
        </w:rPr>
      </w:pPr>
      <w:r>
        <w:rPr>
          <w:b/>
          <w:bCs/>
          <w:lang w:val="en-IE"/>
        </w:rPr>
        <w:t xml:space="preserve">The Senior National Expert will contribute to the following overarching objectives:</w:t>
      </w:r>
      <w:r>
        <w:rPr>
          <w:b/>
          <w:bCs/>
          <w:lang w:val="en-IE"/>
        </w:rPr>
      </w:r>
    </w:p>
    <w:p>
      <w:pPr>
        <w:numPr>
          <w:ilvl w:val="0"/>
          <w:numId w:val="19"/>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Enable smooth institutional engagement with Libya’s PFM institutions (</w:t>
      </w:r>
      <w:r>
        <w:rPr>
          <w:lang w:val="en-IE"/>
        </w:rPr>
        <w:t xml:space="preserve">MoF</w:t>
      </w:r>
      <w:r>
        <w:rPr>
          <w:lang w:val="en-IE"/>
        </w:rPr>
        <w:t xml:space="preserve">, CBL, Audit Bureau, </w:t>
      </w:r>
      <w:r>
        <w:rPr>
          <w:lang w:val="en-IE"/>
        </w:rPr>
        <w:t xml:space="preserve">MoP</w:t>
      </w:r>
      <w:r>
        <w:rPr>
          <w:lang w:val="en-IE"/>
        </w:rPr>
        <w:t xml:space="preserve">, Parliament).</w:t>
      </w:r>
      <w:r>
        <w:rPr>
          <w:lang w:val="en-IE"/>
        </w:rPr>
      </w:r>
    </w:p>
    <w:p>
      <w:pPr>
        <w:numPr>
          <w:ilvl w:val="0"/>
          <w:numId w:val="19"/>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Provide political-economy insight essential to interpreting PFM bottlenecks, reform incentives, and institutional dynamics.</w:t>
      </w:r>
      <w:r>
        <w:rPr>
          <w:lang w:val="en-IE"/>
        </w:rPr>
      </w:r>
    </w:p>
    <w:p>
      <w:pPr>
        <w:numPr>
          <w:ilvl w:val="0"/>
          <w:numId w:val="19"/>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Support the establishment and functioning of the Technical Piloting Committee (TPC), ensuring balanced representation and national ownership.</w:t>
      </w:r>
      <w:r>
        <w:rPr>
          <w:lang w:val="en-IE"/>
        </w:rPr>
      </w:r>
    </w:p>
    <w:p>
      <w:pPr>
        <w:numPr>
          <w:ilvl w:val="0"/>
          <w:numId w:val="19"/>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Contribute to consultations, validation sessions, and the co-creation of the PFM Reform Roadmap, ensuring recommendations are realistic and implementable.</w:t>
      </w:r>
      <w:r>
        <w:rPr>
          <w:lang w:val="en-IE"/>
        </w:rPr>
      </w:r>
    </w:p>
    <w:p>
      <w:pPr>
        <w:numPr>
          <w:ilvl w:val="0"/>
          <w:numId w:val="19"/>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Strengthen institutional buy-in, reducing risk of resistance, fragmentation, or misunderstanding.</w:t>
      </w:r>
      <w:r>
        <w:rPr>
          <w:lang w:val="en-IE"/>
        </w:rPr>
      </w:r>
    </w:p>
    <w:p>
      <w:pPr>
        <w:pBdr/>
        <w:spacing/>
        <w:ind/>
        <w:rPr>
          <w:lang w:val="en-IE"/>
        </w:rPr>
      </w:pPr>
      <w:r>
        <w:rPr>
          <w:lang w:val="en-IE"/>
        </w:rPr>
        <w:t xml:space="preserve">Given the interlinkages between public finance, financial sector regulation, and private-sector development, the expert will ensure systematic coordination with the inception-phase assessments under </w:t>
      </w:r>
      <w:r>
        <w:rPr>
          <w:rStyle w:val="947"/>
          <w:lang w:val="en-IE"/>
        </w:rPr>
        <w:t xml:space="preserve">SO2 (financial sector strengthening)</w:t>
      </w:r>
      <w:r>
        <w:rPr>
          <w:lang w:val="en-IE"/>
        </w:rPr>
        <w:t xml:space="preserve"> and </w:t>
      </w:r>
      <w:r>
        <w:rPr>
          <w:rStyle w:val="947"/>
          <w:lang w:val="en-IE"/>
        </w:rPr>
        <w:t xml:space="preserve">SO3 (entrepreneurship and MSME ecosystem)</w:t>
      </w:r>
      <w:r>
        <w:rPr>
          <w:lang w:val="en-IE"/>
        </w:rPr>
        <w:t xml:space="preserve">, to guarantee methodological coherence and avoid fragmented diagnostics.</w:t>
      </w:r>
      <w:r>
        <w:rPr>
          <w:lang w:val="en-IE"/>
        </w:rPr>
      </w:r>
    </w:p>
    <w:p>
      <w:pPr>
        <w:pBdr/>
        <w:spacing/>
        <w:ind/>
        <w:rPr>
          <w:lang w:val="en-US"/>
        </w:rPr>
      </w:pPr>
      <w:r>
        <w:rPr>
          <w:lang w:val="en-US"/>
        </w:rPr>
        <w:t xml:space="preserve">More specifically the expert will:</w:t>
      </w:r>
      <w:r>
        <w:rPr>
          <w:lang w:val="en-US"/>
        </w:rPr>
      </w:r>
    </w:p>
    <w:p>
      <w:pPr>
        <w:pStyle w:val="878"/>
        <w:numPr>
          <w:ilvl w:val="1"/>
          <w:numId w:val="13"/>
        </w:numPr>
        <w:pBdr/>
        <w:spacing/>
        <w:ind/>
        <w:rPr>
          <w:b/>
          <w:bCs/>
          <w:lang w:val="en-IE"/>
        </w:rPr>
      </w:pPr>
      <w:r>
        <w:rPr>
          <w:b/>
          <w:bCs/>
          <w:lang w:val="en-IE"/>
        </w:rPr>
        <w:t xml:space="preserve">Institutional Engagement &amp; </w:t>
      </w:r>
      <w:r>
        <w:rPr>
          <w:b/>
          <w:bCs/>
          <w:lang w:val="en-IE"/>
        </w:rPr>
        <w:t xml:space="preserve">Access </w:t>
      </w:r>
      <w:r>
        <w:rPr>
          <w:b/>
          <w:bCs/>
          <w:lang w:val="en-IE"/>
        </w:rPr>
        <w:t xml:space="preserve">Facilitation </w:t>
      </w:r>
      <w:r>
        <w:rPr>
          <w:b/>
          <w:bCs/>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Facilitate high-level access to </w:t>
      </w:r>
      <w:r>
        <w:rPr>
          <w:lang w:val="en-IE"/>
        </w:rPr>
        <w:t xml:space="preserve">MoF</w:t>
      </w:r>
      <w:r>
        <w:rPr>
          <w:lang w:val="en-IE"/>
        </w:rPr>
        <w:t xml:space="preserve">, CBL, Audit Bureau, </w:t>
      </w:r>
      <w:r>
        <w:rPr>
          <w:lang w:val="en-IE"/>
        </w:rPr>
        <w:t xml:space="preserve">MoP</w:t>
      </w:r>
      <w:r>
        <w:rPr>
          <w:lang w:val="en-IE"/>
        </w:rPr>
        <w:t xml:space="preserve">, Parliament, and relevant directorates.</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Establish relationships with institutional focal points and ensure timely provision of data and documentation.</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Support EF in engaging both Western and Eastern authorities and ensuring balanced participation.</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Mediate institutional sensitivities and reduce risks of misunderstanding or resistance.</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Maintain continuous communication with institutions to ensure alignment with the analytical process.</w:t>
      </w:r>
      <w:r>
        <w:rPr>
          <w:lang w:val="en-IE"/>
        </w:rPr>
      </w:r>
    </w:p>
    <w:p>
      <w:pPr>
        <w:pStyle w:val="878"/>
        <w:numPr>
          <w:ilvl w:val="1"/>
          <w:numId w:val="13"/>
        </w:numPr>
        <w:pBdr/>
        <w:spacing/>
        <w:ind/>
        <w:rPr>
          <w:b/>
          <w:bCs/>
          <w:lang w:val="en-IE"/>
        </w:rPr>
      </w:pPr>
      <w:r>
        <w:rPr>
          <w:b/>
          <w:bCs/>
          <w:lang w:val="en-IE"/>
        </w:rPr>
        <w:t xml:space="preserve">Contextual and Political-Economy Advisory</w:t>
      </w:r>
      <w:r>
        <w:rPr>
          <w:b/>
          <w:bCs/>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Provide political-economy analysis of PFM reforms, incentives, constraints, and institutional interdependencies.</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Inform EF and the international expert</w:t>
      </w:r>
      <w:r>
        <w:rPr>
          <w:lang w:val="en-IE"/>
        </w:rPr>
        <w:t xml:space="preserve">s</w:t>
      </w:r>
      <w:r>
        <w:rPr>
          <w:lang w:val="en-IE"/>
        </w:rPr>
        <w:t xml:space="preserve"> of emerging political risks or opportunities that affect timelines or methodology.</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Interpret institutional behaviours, informal practices, and decision-making structures relevant to the diagnostic.</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Validate contextual findings (institutional mapping, workflows, bottlenecks) produced by the international expert</w:t>
      </w:r>
      <w:r>
        <w:rPr>
          <w:lang w:val="en-IE"/>
        </w:rPr>
        <w:t xml:space="preserve">s</w:t>
      </w:r>
      <w:r>
        <w:rPr>
          <w:lang w:val="en-IE"/>
        </w:rPr>
        <w:t xml:space="preserve">.</w:t>
      </w:r>
      <w:r>
        <w:rPr>
          <w:lang w:val="en-IE"/>
        </w:rPr>
      </w:r>
    </w:p>
    <w:p>
      <w:pPr>
        <w:pStyle w:val="878"/>
        <w:numPr>
          <w:ilvl w:val="1"/>
          <w:numId w:val="13"/>
        </w:numPr>
        <w:pBdr/>
        <w:spacing/>
        <w:ind/>
        <w:rPr>
          <w:b/>
          <w:bCs/>
          <w:lang w:val="en-IE"/>
        </w:rPr>
      </w:pPr>
      <w:r>
        <w:rPr>
          <w:b/>
          <w:bCs/>
          <w:lang w:val="en-IE"/>
        </w:rPr>
        <w:t xml:space="preserve">Leadership</w:t>
      </w:r>
      <w:r>
        <w:rPr>
          <w:b/>
          <w:bCs/>
          <w:lang w:val="en-IE"/>
        </w:rPr>
        <w:t xml:space="preserve"> in the Establishment and Functioning </w:t>
      </w:r>
      <w:r>
        <w:rPr>
          <w:b/>
          <w:bCs/>
          <w:lang w:val="en-IE"/>
        </w:rPr>
        <w:t xml:space="preserve">of the Technical Piloting Committee (TPC)</w:t>
      </w:r>
      <w:r>
        <w:rPr>
          <w:b/>
          <w:bCs/>
          <w:lang w:val="en-IE"/>
        </w:rPr>
      </w:r>
    </w:p>
    <w:p>
      <w:pPr>
        <w:pBdr/>
        <w:tabs>
          <w:tab w:val="clear" w:leader="none" w:pos="9923"/>
        </w:tabs>
        <w:spacing w:after="100" w:afterAutospacing="1" w:before="100" w:beforeAutospacing="1"/>
        <w:ind w:firstLine="360" w:left="0"/>
        <w:jc w:val="left"/>
        <w:rPr>
          <w:lang w:val="en-IE"/>
        </w:rPr>
      </w:pPr>
      <w:r>
        <w:rPr>
          <w:lang w:val="en-IE"/>
        </w:rPr>
        <w:t xml:space="preserve">The expert will play a central role in designing, formalizing, and operationalizing the TPC, including:</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Identifying relevant institutions and high-level nominees across Western and Eastern administrations (</w:t>
      </w:r>
      <w:r>
        <w:rPr>
          <w:lang w:val="en-IE"/>
        </w:rPr>
        <w:t xml:space="preserve">MoF</w:t>
      </w:r>
      <w:r>
        <w:rPr>
          <w:lang w:val="en-IE"/>
        </w:rPr>
        <w:t xml:space="preserve">, CBL, Audit Bureau, Ministry of Planning, Parliament).</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Conducting political groundwork to secure formal institutional endorsement, signatures, and buy-in for TPC membership.</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Facilitating communication with senior officials to obtain nominations from the appropriate level of authority.</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Supporting EF in preparing and delivering letters, invitations, and follow-up correspondence.</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Assist in organising and chairing the inaugural TPC meeting.</w:t>
      </w:r>
      <w:r>
        <w:rPr>
          <w:lang w:val="en-IE"/>
        </w:rPr>
      </w:r>
    </w:p>
    <w:p>
      <w:pPr>
        <w:numPr>
          <w:ilvl w:val="0"/>
          <w:numId w:val="21"/>
        </w:numPr>
        <w:pBdr/>
        <w:tabs>
          <w:tab w:val="clear" w:leader="none" w:pos="720"/>
          <w:tab w:val="num" w:leader="none" w:pos="1080"/>
          <w:tab w:val="clear" w:leader="none" w:pos="9923"/>
        </w:tabs>
        <w:spacing w:after="0" w:before="100" w:beforeAutospacing="1"/>
        <w:ind w:left="1080"/>
        <w:jc w:val="left"/>
        <w:rPr>
          <w:lang w:val="en-IE"/>
        </w:rPr>
      </w:pPr>
      <w:r>
        <w:rPr>
          <w:lang w:val="en-IE"/>
        </w:rPr>
        <w:t xml:space="preserve">Ensure the TPC becomes a functional, respected mechanism through:</w:t>
      </w:r>
      <w:r>
        <w:rPr>
          <w:lang w:val="en-IE"/>
        </w:rPr>
      </w:r>
    </w:p>
    <w:p>
      <w:pPr>
        <w:numPr>
          <w:ilvl w:val="0"/>
          <w:numId w:val="22"/>
        </w:numPr>
        <w:pBdr/>
        <w:tabs>
          <w:tab w:val="clear" w:leader="none" w:pos="9923"/>
        </w:tabs>
        <w:spacing w:after="0"/>
        <w:ind/>
        <w:jc w:val="left"/>
        <w:rPr>
          <w:lang w:val="en-IE"/>
        </w:rPr>
      </w:pPr>
      <w:r>
        <w:rPr>
          <w:lang w:val="en-IE"/>
        </w:rPr>
        <w:t xml:space="preserve">Regular follow-ups with members</w:t>
      </w:r>
      <w:r>
        <w:rPr>
          <w:lang w:val="en-IE"/>
        </w:rPr>
      </w:r>
    </w:p>
    <w:p>
      <w:pPr>
        <w:numPr>
          <w:ilvl w:val="0"/>
          <w:numId w:val="22"/>
        </w:numPr>
        <w:pBdr/>
        <w:tabs>
          <w:tab w:val="clear" w:leader="none" w:pos="9923"/>
        </w:tabs>
        <w:spacing w:after="0"/>
        <w:ind/>
        <w:jc w:val="left"/>
        <w:rPr>
          <w:lang w:val="en-IE"/>
        </w:rPr>
      </w:pPr>
      <w:r>
        <w:rPr>
          <w:lang w:val="en-IE"/>
        </w:rPr>
        <w:t xml:space="preserve">Tracking commitments and data requests</w:t>
      </w:r>
      <w:r>
        <w:rPr>
          <w:lang w:val="en-IE"/>
        </w:rPr>
      </w:r>
    </w:p>
    <w:p>
      <w:pPr>
        <w:numPr>
          <w:ilvl w:val="0"/>
          <w:numId w:val="22"/>
        </w:numPr>
        <w:pBdr/>
        <w:tabs>
          <w:tab w:val="clear" w:leader="none" w:pos="9923"/>
        </w:tabs>
        <w:spacing w:after="0"/>
        <w:ind/>
        <w:jc w:val="left"/>
        <w:rPr>
          <w:lang w:val="en-IE"/>
        </w:rPr>
      </w:pPr>
      <w:r>
        <w:rPr>
          <w:lang w:val="en-IE"/>
        </w:rPr>
        <w:t xml:space="preserve">Ensuring attendance and participation</w:t>
      </w:r>
      <w:r>
        <w:rPr>
          <w:lang w:val="en-IE"/>
        </w:rPr>
      </w:r>
    </w:p>
    <w:p>
      <w:pPr>
        <w:numPr>
          <w:ilvl w:val="0"/>
          <w:numId w:val="21"/>
        </w:numPr>
        <w:pBdr/>
        <w:tabs>
          <w:tab w:val="clear" w:leader="none" w:pos="720"/>
          <w:tab w:val="num" w:leader="none" w:pos="1080"/>
          <w:tab w:val="clear" w:leader="none" w:pos="9923"/>
        </w:tabs>
        <w:spacing w:after="100" w:afterAutospacing="1"/>
        <w:ind w:left="1080"/>
        <w:jc w:val="left"/>
        <w:rPr>
          <w:lang w:val="en-IE"/>
        </w:rPr>
      </w:pPr>
      <w:r>
        <w:rPr>
          <w:lang w:val="en-IE"/>
        </w:rPr>
        <w:t xml:space="preserve">C</w:t>
      </w:r>
      <w:r>
        <w:rPr>
          <w:lang w:val="en-IE"/>
        </w:rPr>
        <w:t xml:space="preserve">onsolidate TPC feedback during diagnostic and roadmap stages.</w:t>
      </w:r>
      <w:r>
        <w:rPr>
          <w:lang w:val="en-IE"/>
        </w:rPr>
      </w:r>
    </w:p>
    <w:p>
      <w:pPr>
        <w:pStyle w:val="878"/>
        <w:numPr>
          <w:ilvl w:val="1"/>
          <w:numId w:val="13"/>
        </w:numPr>
        <w:pBdr/>
        <w:spacing/>
        <w:ind/>
        <w:rPr>
          <w:b/>
          <w:bCs/>
          <w:lang w:val="en-IE"/>
        </w:rPr>
      </w:pPr>
      <w:r>
        <w:rPr>
          <w:b/>
          <w:bCs/>
          <w:lang w:val="en-IE"/>
        </w:rPr>
        <w:t xml:space="preserve">Contribution to Diagnostics, Consultations &amp; Roadmap </w:t>
      </w:r>
      <w:r>
        <w:rPr>
          <w:b/>
          <w:bCs/>
          <w:lang w:val="en-IE"/>
        </w:rPr>
        <w:t xml:space="preserve">Development</w:t>
      </w:r>
      <w:r>
        <w:rPr>
          <w:b/>
          <w:bCs/>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Participate in structured interviews, focus groups, and consultations with institutions.</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Validate and enrich technical findings by adding contextual insights.</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Ensure that sensitive sections of the diagnostic are appropriately framed for Libyan institutional audiences.</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Participate in interim and final validation workshops.</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Provide feasibility assessments on proposed reforms (risks, institutional capacity, political acceptability).</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Facilitate national endorsement of the final diagnostic and reform roadmap.</w:t>
      </w:r>
      <w:r>
        <w:rPr>
          <w:lang w:val="en-IE"/>
        </w:rPr>
      </w:r>
    </w:p>
    <w:p>
      <w:pPr>
        <w:pStyle w:val="862"/>
        <w:pBdr/>
        <w:spacing/>
        <w:ind/>
        <w:rPr/>
      </w:pPr>
      <w:r>
        <w:t xml:space="preserve">methodology</w:t>
      </w:r>
      <w:r/>
    </w:p>
    <w:p>
      <w:pPr>
        <w:pBdr/>
        <w:spacing w:after="0"/>
        <w:ind w:left="0"/>
        <w:rPr>
          <w:lang w:val="en-IE"/>
        </w:rPr>
      </w:pPr>
      <w:r>
        <w:rPr>
          <w:lang w:val="en-IE"/>
        </w:rPr>
        <w:t xml:space="preserve">The Senior National Expert will apply a methodology that blends </w:t>
      </w:r>
      <w:r>
        <w:rPr>
          <w:b/>
          <w:bCs/>
          <w:lang w:val="en-IE"/>
        </w:rPr>
        <w:t xml:space="preserve">political-economy insight</w:t>
      </w:r>
      <w:r>
        <w:rPr>
          <w:lang w:val="en-IE"/>
        </w:rPr>
        <w:t xml:space="preserve">, </w:t>
      </w:r>
      <w:r>
        <w:rPr>
          <w:b/>
          <w:bCs/>
          <w:lang w:val="en-IE"/>
        </w:rPr>
        <w:t xml:space="preserve">participatory engagement</w:t>
      </w:r>
      <w:r>
        <w:rPr>
          <w:lang w:val="en-IE"/>
        </w:rPr>
        <w:t xml:space="preserve">, and </w:t>
      </w:r>
      <w:r>
        <w:rPr>
          <w:b/>
          <w:bCs/>
          <w:lang w:val="en-IE"/>
        </w:rPr>
        <w:t xml:space="preserve">evidence-based institutional analysis</w:t>
      </w:r>
      <w:r>
        <w:rPr>
          <w:lang w:val="en-IE"/>
        </w:rPr>
        <w:t xml:space="preserve">, consistent with the overall incepti</w:t>
      </w:r>
      <w:r>
        <w:rPr>
          <w:lang w:val="en-IE"/>
        </w:rPr>
        <w:t xml:space="preserve">on phase methodology.</w:t>
      </w:r>
      <w:r>
        <w:rPr>
          <w:lang w:val="en-IE"/>
        </w:rPr>
      </w:r>
    </w:p>
    <w:p>
      <w:pPr>
        <w:pBdr/>
        <w:spacing w:after="0"/>
        <w:ind w:left="0"/>
        <w:rPr>
          <w:lang w:val="en-IE"/>
        </w:rPr>
      </w:pPr>
      <w:r>
        <w:rPr>
          <w:lang w:val="en-IE"/>
        </w:rPr>
      </w:r>
      <w:r>
        <w:rPr>
          <w:lang w:val="en-IE"/>
        </w:rPr>
      </w:r>
    </w:p>
    <w:p>
      <w:pPr>
        <w:pStyle w:val="878"/>
        <w:numPr>
          <w:ilvl w:val="1"/>
          <w:numId w:val="21"/>
        </w:numPr>
        <w:pBdr/>
        <w:spacing w:after="0" w:before="240"/>
        <w:ind/>
        <w:rPr>
          <w:b/>
          <w:bCs/>
          <w:lang w:val="en-IE"/>
        </w:rPr>
      </w:pPr>
      <w:r>
        <w:rPr>
          <w:b/>
          <w:bCs/>
          <w:lang w:val="en-IE"/>
        </w:rPr>
        <w:t xml:space="preserve">Key Methodological Principles</w:t>
      </w:r>
      <w:r>
        <w:rPr>
          <w:b/>
          <w:bCs/>
          <w:lang w:val="en-IE"/>
        </w:rPr>
      </w:r>
    </w:p>
    <w:p>
      <w:pPr>
        <w:numPr>
          <w:ilvl w:val="0"/>
          <w:numId w:val="21"/>
        </w:numPr>
        <w:pBdr/>
        <w:tabs>
          <w:tab w:val="clear" w:leader="none" w:pos="720"/>
          <w:tab w:val="num" w:leader="none" w:pos="1080"/>
          <w:tab w:val="clear" w:leader="none" w:pos="9923"/>
        </w:tabs>
        <w:spacing w:after="100" w:afterAutospacing="1" w:before="240"/>
        <w:ind w:left="1080"/>
        <w:jc w:val="left"/>
        <w:rPr>
          <w:lang w:val="en-IE"/>
        </w:rPr>
      </w:pPr>
      <w:r>
        <w:rPr>
          <w:lang w:val="en-IE"/>
        </w:rPr>
        <w:t xml:space="preserve">Context-driven interpretation of findings</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Continuous institutional engagement</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Sensitivity to political and regional dynamics</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Active participation in the EF-led analytical process</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Systematic coordination with the international PFM expert</w:t>
      </w:r>
      <w:r>
        <w:rPr>
          <w:lang w:val="en-IE"/>
        </w:rPr>
        <w:t xml:space="preserve">s</w:t>
      </w:r>
      <w:r>
        <w:rPr>
          <w:lang w:val="en-IE"/>
        </w:rPr>
        <w:t xml:space="preserve"> and EF team</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Alignment with SO2 and SO3 where institutional mandates intersect</w:t>
      </w:r>
      <w:r>
        <w:rPr>
          <w:lang w:val="en-IE"/>
        </w:rPr>
      </w:r>
    </w:p>
    <w:p>
      <w:pPr>
        <w:pStyle w:val="878"/>
        <w:numPr>
          <w:ilvl w:val="1"/>
          <w:numId w:val="20"/>
        </w:numPr>
        <w:pBdr/>
        <w:spacing w:after="0"/>
        <w:ind/>
        <w:rPr>
          <w:b/>
          <w:bCs/>
          <w:lang w:val="en-IE"/>
        </w:rPr>
      </w:pPr>
      <w:r>
        <w:rPr>
          <w:b/>
          <w:bCs/>
          <w:lang w:val="en-IE"/>
        </w:rPr>
        <w:t xml:space="preserve">Operational Approach</w:t>
      </w:r>
      <w:r>
        <w:rPr>
          <w:b/>
          <w:bCs/>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Weekly coordination meetings with EF </w:t>
      </w:r>
      <w:r>
        <w:rPr>
          <w:lang w:val="en-IE"/>
        </w:rPr>
        <w:t xml:space="preserve">Libya team </w:t>
      </w:r>
      <w:r>
        <w:rPr>
          <w:lang w:val="en-IE"/>
        </w:rPr>
        <w:t xml:space="preserve">and the international expert</w:t>
      </w:r>
      <w:r>
        <w:rPr>
          <w:lang w:val="en-IE"/>
        </w:rPr>
        <w:t xml:space="preserve">s</w:t>
      </w:r>
      <w:r>
        <w:rPr>
          <w:lang w:val="en-IE"/>
        </w:rPr>
        <w:t xml:space="preserve">.</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Continuous interface with the TPC throughout the inception phase.</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Joint preparation and participation in national consultations and validation sessions.</w:t>
      </w:r>
      <w:r>
        <w:rPr>
          <w:lang w:val="en-IE"/>
        </w:rPr>
      </w:r>
    </w:p>
    <w:p>
      <w:pPr>
        <w:numPr>
          <w:ilvl w:val="0"/>
          <w:numId w:val="21"/>
        </w:numPr>
        <w:pBdr/>
        <w:tabs>
          <w:tab w:val="clear" w:leader="none" w:pos="720"/>
          <w:tab w:val="num" w:leader="none" w:pos="1080"/>
          <w:tab w:val="clear" w:leader="none" w:pos="9923"/>
        </w:tabs>
        <w:spacing w:after="100" w:afterAutospacing="1" w:before="100" w:beforeAutospacing="1"/>
        <w:ind w:left="1080"/>
        <w:jc w:val="left"/>
        <w:rPr>
          <w:lang w:val="en-IE"/>
        </w:rPr>
      </w:pPr>
      <w:r>
        <w:rPr>
          <w:lang w:val="en-IE"/>
        </w:rPr>
        <w:t xml:space="preserve">Use of structured templates for engagement logs, political-economy briefs, and TPC follow-up.</w:t>
      </w:r>
      <w:r>
        <w:rPr>
          <w:lang w:val="en-IE"/>
        </w:rPr>
      </w:r>
    </w:p>
    <w:p>
      <w:pPr>
        <w:pBdr/>
        <w:tabs>
          <w:tab w:val="clear" w:leader="none" w:pos="9923"/>
        </w:tabs>
        <w:spacing w:after="100" w:afterAutospacing="1" w:before="100" w:beforeAutospacing="1"/>
        <w:ind w:left="0"/>
        <w:rPr>
          <w:lang w:val="en-IE"/>
        </w:rPr>
      </w:pPr>
      <w:r>
        <w:rPr>
          <w:b/>
          <w:bCs/>
          <w:lang w:val="en-IE"/>
        </w:rPr>
        <w:t xml:space="preserve">Throu</w:t>
      </w:r>
      <w:r>
        <w:rPr>
          <w:b/>
          <w:bCs/>
          <w:lang w:val="en-IE"/>
        </w:rPr>
        <w:t xml:space="preserve">ghout the process, the expert will emphasize capacity transfer by involving Libyan technical counterparts in data collection, analysis, and validation. This ensures the outputs are not only technically sound but also institutionally owned and implementable</w:t>
      </w:r>
      <w:r>
        <w:rPr>
          <w:lang w:val="en-IE"/>
        </w:rPr>
        <w:t xml:space="preserve">.</w:t>
      </w:r>
      <w:r>
        <w:rPr>
          <w:lang w:val="en-IE"/>
        </w:rPr>
      </w:r>
    </w:p>
    <w:p>
      <w:pPr>
        <w:pStyle w:val="862"/>
        <w:pBdr/>
        <w:spacing/>
        <w:ind/>
        <w:rPr/>
      </w:pPr>
      <w:r>
        <w:t xml:space="preserve">Expected </w:t>
      </w:r>
      <w:r>
        <w:t xml:space="preserve">Deliverables</w:t>
      </w:r>
      <w:r>
        <w:t xml:space="preserve"> </w:t>
      </w:r>
      <w:r/>
    </w:p>
    <w:tbl>
      <w:tblPr>
        <w:tblStyle w:val="955"/>
        <w:tblW w:w="7521" w:type="dxa"/>
        <w:tblInd w:w="-5" w:type="dxa"/>
        <w:tblBorders/>
        <w:tblLook w:val="04A0" w:firstRow="1" w:lastRow="0" w:firstColumn="1" w:lastColumn="0" w:noHBand="0" w:noVBand="1"/>
      </w:tblPr>
      <w:tblGrid>
        <w:gridCol w:w="7521"/>
      </w:tblGrid>
      <w:tr>
        <w:trPr>
          <w:trHeight w:val="18"/>
        </w:trPr>
        <w:tc>
          <w:tcPr>
            <w:tcBorders/>
            <w:tcW w:w="7521" w:type="dxa"/>
            <w:vAlign w:val="center"/>
            <w:textDirection w:val="lrTb"/>
            <w:noWrap w:val="false"/>
          </w:tcPr>
          <w:p>
            <w:pPr>
              <w:pBdr/>
              <w:spacing/>
              <w:ind w:left="0"/>
              <w:jc w:val="center"/>
              <w:rPr/>
            </w:pPr>
            <w:r>
              <w:t xml:space="preserve">Deliverables</w:t>
            </w:r>
            <w:r/>
          </w:p>
        </w:tc>
      </w:tr>
      <w:tr>
        <w:trPr>
          <w:trHeight w:val="18"/>
        </w:trPr>
        <w:tc>
          <w:tcPr>
            <w:tcBorders/>
            <w:tcW w:w="7521" w:type="dxa"/>
            <w:vAlign w:val="center"/>
            <w:textDirection w:val="lrTb"/>
            <w:noWrap w:val="false"/>
          </w:tcPr>
          <w:p>
            <w:pPr>
              <w:pStyle w:val="878"/>
              <w:numPr>
                <w:ilvl w:val="0"/>
                <w:numId w:val="23"/>
              </w:numPr>
              <w:pBdr/>
              <w:spacing w:after="0"/>
              <w:ind/>
              <w:rPr>
                <w:lang w:val="en-IE"/>
              </w:rPr>
            </w:pPr>
            <w:r>
              <w:rPr>
                <w:lang w:val="en-IE"/>
              </w:rPr>
              <w:t xml:space="preserve">A Stakeholder Engagement Plan and an updated log of institutional contacts and follow-up actions.</w:t>
            </w:r>
            <w:r>
              <w:rPr>
                <w:lang w:val="en-IE"/>
              </w:rPr>
            </w:r>
          </w:p>
          <w:p>
            <w:pPr>
              <w:pStyle w:val="878"/>
              <w:numPr>
                <w:ilvl w:val="0"/>
                <w:numId w:val="0"/>
              </w:numPr>
              <w:pBdr/>
              <w:spacing w:after="0"/>
              <w:ind w:left="720"/>
              <w:rPr>
                <w:lang w:val="en-IE"/>
              </w:rPr>
            </w:pPr>
            <w:r>
              <w:rPr>
                <w:lang w:val="en-IE"/>
              </w:rPr>
            </w:r>
            <w:r>
              <w:rPr>
                <w:lang w:val="en-IE"/>
              </w:rPr>
            </w:r>
          </w:p>
          <w:p>
            <w:pPr>
              <w:pStyle w:val="878"/>
              <w:numPr>
                <w:ilvl w:val="0"/>
                <w:numId w:val="23"/>
              </w:numPr>
              <w:pBdr/>
              <w:spacing w:after="0"/>
              <w:ind/>
              <w:rPr>
                <w:lang w:val="en-IE"/>
              </w:rPr>
            </w:pPr>
            <w:r>
              <w:rPr>
                <w:lang w:val="en-IE"/>
              </w:rPr>
              <w:t xml:space="preserve">Monthly notes on political-economy developments and institutional engagement progress.</w:t>
            </w:r>
            <w:r>
              <w:rPr>
                <w:lang w:val="en-IE"/>
              </w:rPr>
            </w:r>
          </w:p>
          <w:p>
            <w:pPr>
              <w:pStyle w:val="878"/>
              <w:numPr>
                <w:ilvl w:val="0"/>
                <w:numId w:val="0"/>
              </w:numPr>
              <w:pBdr/>
              <w:spacing/>
              <w:ind w:left="1429"/>
              <w:rPr>
                <w:lang w:val="en-IE"/>
              </w:rPr>
            </w:pPr>
            <w:r>
              <w:rPr>
                <w:lang w:val="en-IE"/>
              </w:rPr>
            </w:r>
            <w:r>
              <w:rPr>
                <w:lang w:val="en-IE"/>
              </w:rPr>
            </w:r>
          </w:p>
          <w:p>
            <w:pPr>
              <w:pStyle w:val="878"/>
              <w:numPr>
                <w:ilvl w:val="0"/>
                <w:numId w:val="23"/>
              </w:numPr>
              <w:pBdr/>
              <w:spacing w:after="0"/>
              <w:ind/>
              <w:rPr>
                <w:lang w:val="en-IE"/>
              </w:rPr>
            </w:pPr>
            <w:r>
              <w:rPr>
                <w:lang w:val="en-IE"/>
              </w:rPr>
              <w:t xml:space="preserve">Contextual inputs to the PFM Context Note and to draft diagnostic findings.</w:t>
            </w:r>
            <w:r>
              <w:rPr>
                <w:lang w:val="en-IE"/>
              </w:rPr>
            </w:r>
          </w:p>
          <w:p>
            <w:pPr>
              <w:pStyle w:val="878"/>
              <w:numPr>
                <w:ilvl w:val="0"/>
                <w:numId w:val="0"/>
              </w:numPr>
              <w:pBdr/>
              <w:spacing/>
              <w:ind w:left="1429"/>
              <w:rPr>
                <w:lang w:val="en-IE"/>
              </w:rPr>
            </w:pPr>
            <w:r>
              <w:rPr>
                <w:lang w:val="en-IE"/>
              </w:rPr>
            </w:r>
            <w:r>
              <w:rPr>
                <w:lang w:val="en-IE"/>
              </w:rPr>
            </w:r>
          </w:p>
          <w:p>
            <w:pPr>
              <w:pStyle w:val="878"/>
              <w:numPr>
                <w:ilvl w:val="0"/>
                <w:numId w:val="23"/>
              </w:numPr>
              <w:pBdr/>
              <w:spacing w:after="0"/>
              <w:ind/>
              <w:rPr>
                <w:lang w:val="en-IE"/>
              </w:rPr>
            </w:pPr>
            <w:r>
              <w:rPr>
                <w:lang w:val="en-IE"/>
              </w:rPr>
              <w:t xml:space="preserve">TPC meeting notes summarizing attendance, key points, and agreed actions.</w:t>
            </w:r>
            <w:r>
              <w:rPr>
                <w:lang w:val="en-IE"/>
              </w:rPr>
            </w:r>
          </w:p>
          <w:p>
            <w:pPr>
              <w:pStyle w:val="878"/>
              <w:numPr>
                <w:ilvl w:val="0"/>
                <w:numId w:val="0"/>
              </w:numPr>
              <w:pBdr/>
              <w:spacing/>
              <w:ind w:left="1429"/>
              <w:rPr>
                <w:lang w:val="en-IE"/>
              </w:rPr>
            </w:pPr>
            <w:r>
              <w:rPr>
                <w:lang w:val="en-IE"/>
              </w:rPr>
            </w:r>
            <w:r>
              <w:rPr>
                <w:lang w:val="en-IE"/>
              </w:rPr>
            </w:r>
          </w:p>
          <w:p>
            <w:pPr>
              <w:pStyle w:val="878"/>
              <w:numPr>
                <w:ilvl w:val="0"/>
                <w:numId w:val="23"/>
              </w:numPr>
              <w:pBdr/>
              <w:spacing w:after="0"/>
              <w:ind/>
              <w:rPr>
                <w:lang w:val="en-IE"/>
              </w:rPr>
            </w:pPr>
            <w:r>
              <w:rPr>
                <w:lang w:val="en-IE"/>
              </w:rPr>
              <w:t xml:space="preserve">Short feasibility inputs on proposed reform options.</w:t>
            </w:r>
            <w:r>
              <w:rPr>
                <w:lang w:val="en-IE"/>
              </w:rPr>
            </w:r>
          </w:p>
          <w:p>
            <w:pPr>
              <w:pStyle w:val="878"/>
              <w:numPr>
                <w:ilvl w:val="0"/>
                <w:numId w:val="0"/>
              </w:numPr>
              <w:pBdr/>
              <w:spacing/>
              <w:ind w:left="1429"/>
              <w:rPr>
                <w:lang w:val="en-IE"/>
              </w:rPr>
            </w:pPr>
            <w:r>
              <w:rPr>
                <w:lang w:val="en-IE"/>
              </w:rPr>
            </w:r>
            <w:r>
              <w:rPr>
                <w:lang w:val="en-IE"/>
              </w:rPr>
            </w:r>
          </w:p>
          <w:p>
            <w:pPr>
              <w:pStyle w:val="878"/>
              <w:numPr>
                <w:ilvl w:val="0"/>
                <w:numId w:val="23"/>
              </w:numPr>
              <w:pBdr/>
              <w:spacing w:after="0"/>
              <w:ind/>
              <w:rPr>
                <w:lang w:val="en-IE"/>
              </w:rPr>
            </w:pPr>
            <w:r>
              <w:rPr>
                <w:lang w:val="en-IE"/>
              </w:rPr>
              <w:t xml:space="preserve">A final summary of national feedback on the diagnostic and roadmap.</w:t>
            </w:r>
            <w:r>
              <w:rPr>
                <w:lang w:val="en-IE"/>
              </w:rPr>
            </w:r>
          </w:p>
          <w:p>
            <w:pPr>
              <w:pBdr/>
              <w:spacing w:after="0"/>
              <w:ind w:left="0"/>
              <w:rPr>
                <w:lang w:val="en-IE"/>
              </w:rPr>
            </w:pPr>
            <w:r>
              <w:rPr>
                <w:lang w:val="en-IE"/>
              </w:rPr>
            </w:r>
            <w:r>
              <w:rPr>
                <w:lang w:val="en-IE"/>
              </w:rPr>
            </w:r>
          </w:p>
        </w:tc>
      </w:tr>
    </w:tbl>
    <w:p>
      <w:pPr>
        <w:pBdr/>
        <w:spacing/>
        <w:ind/>
        <w:rPr>
          <w:lang w:val="en-US"/>
        </w:rPr>
      </w:pPr>
      <w:r>
        <w:rPr>
          <w:lang w:val="en-US"/>
        </w:rPr>
      </w:r>
      <w:r>
        <w:rPr>
          <w:lang w:val="en-US"/>
        </w:rPr>
      </w:r>
    </w:p>
    <w:p>
      <w:pPr>
        <w:pStyle w:val="862"/>
        <w:pBdr/>
        <w:spacing/>
        <w:ind/>
        <w:rPr>
          <w:lang w:val="en-IE"/>
        </w:rPr>
      </w:pPr>
      <w:r>
        <w:rPr>
          <w:lang w:val="en-IE"/>
        </w:rPr>
        <w:t xml:space="preserve">governance </w:t>
      </w:r>
      <w:r>
        <w:rPr>
          <w:lang w:val="en-IE"/>
        </w:rPr>
        <w:t xml:space="preserve">STRUCTURE</w:t>
      </w:r>
      <w:r>
        <w:rPr>
          <w:lang w:val="en-IE"/>
        </w:rPr>
      </w:r>
    </w:p>
    <w:p>
      <w:pPr>
        <w:pStyle w:val="863"/>
        <w:pBdr/>
        <w:spacing/>
        <w:ind/>
        <w:rPr>
          <w:b/>
          <w:bCs/>
        </w:rPr>
      </w:pPr>
      <w:r>
        <w:rPr>
          <w:rStyle w:val="947"/>
        </w:rPr>
        <w:t xml:space="preserve">Governance</w:t>
      </w:r>
      <w:r>
        <w:rPr>
          <w:rStyle w:val="947"/>
        </w:rPr>
        <w:t xml:space="preserve"> </w:t>
      </w:r>
      <w:r>
        <w:rPr>
          <w:rStyle w:val="947"/>
        </w:rPr>
        <w:t xml:space="preserve">Approach</w:t>
      </w:r>
      <w:r>
        <w:rPr>
          <w:b/>
          <w:bCs/>
        </w:rPr>
      </w:r>
    </w:p>
    <w:p>
      <w:pPr>
        <w:pBdr/>
        <w:spacing/>
        <w:ind/>
        <w:rPr>
          <w:lang w:val="en-US"/>
        </w:rPr>
      </w:pPr>
      <w:r>
        <w:rPr>
          <w:lang w:val="en-US"/>
        </w:rPr>
        <w:t xml:space="preserve">The governance and validation architecture of the inception-phase assessment is designed to </w:t>
      </w:r>
      <w:r>
        <w:rPr>
          <w:b/>
          <w:bCs/>
          <w:lang w:val="en-US"/>
        </w:rPr>
        <w:t xml:space="preserve">balance technical independence with institutional legitimacy</w:t>
      </w:r>
      <w:r>
        <w:rPr>
          <w:lang w:val="en-US"/>
        </w:rPr>
        <w:t xml:space="preserve">. Given the strategic sensitivity of Libya’s fiscal and financial domains, the validation process must ensure that analytical findings are </w:t>
      </w:r>
      <w:r>
        <w:rPr>
          <w:b/>
          <w:bCs/>
          <w:lang w:val="en-US"/>
        </w:rPr>
        <w:t xml:space="preserve">credible, nationally anchored, and internationally defensible</w:t>
      </w:r>
      <w:r>
        <w:rPr>
          <w:lang w:val="en-US"/>
        </w:rPr>
        <w:t xml:space="preserve">.</w:t>
      </w:r>
      <w:r>
        <w:rPr>
          <w:lang w:val="en-US"/>
        </w:rPr>
      </w:r>
    </w:p>
    <w:p>
      <w:pPr>
        <w:pBdr/>
        <w:spacing/>
        <w:ind/>
        <w:rPr>
          <w:lang w:val="en-US"/>
        </w:rPr>
      </w:pPr>
      <w:r>
        <w:rPr>
          <w:lang w:val="en-US"/>
        </w:rPr>
        <w:t xml:space="preserve">The governance system rests on three complementary layers:</w:t>
      </w:r>
      <w:r>
        <w:rPr>
          <w:lang w:val="en-US"/>
        </w:rPr>
      </w:r>
    </w:p>
    <w:p>
      <w:pPr>
        <w:numPr>
          <w:ilvl w:val="0"/>
          <w:numId w:val="17"/>
        </w:numPr>
        <w:pBdr/>
        <w:spacing/>
        <w:ind/>
        <w:rPr>
          <w:lang w:val="en-US"/>
        </w:rPr>
      </w:pPr>
      <w:r>
        <w:rPr>
          <w:b/>
          <w:bCs/>
          <w:lang w:val="en-US"/>
        </w:rPr>
        <w:t xml:space="preserve">Expertise France (EF)</w:t>
      </w:r>
      <w:r>
        <w:rPr>
          <w:lang w:val="en-US"/>
        </w:rPr>
        <w:t xml:space="preserve"> – ensuring methodological </w:t>
      </w:r>
      <w:r>
        <w:rPr>
          <w:lang w:val="en-US"/>
        </w:rPr>
        <w:t xml:space="preserve">rigour</w:t>
      </w:r>
      <w:r>
        <w:rPr>
          <w:lang w:val="en-US"/>
        </w:rPr>
        <w:t xml:space="preserve">, operational discipline, and donor compliance;</w:t>
      </w:r>
      <w:r>
        <w:rPr>
          <w:lang w:val="en-US"/>
        </w:rPr>
      </w:r>
    </w:p>
    <w:p>
      <w:pPr>
        <w:numPr>
          <w:ilvl w:val="0"/>
          <w:numId w:val="17"/>
        </w:numPr>
        <w:pBdr/>
        <w:spacing/>
        <w:ind/>
        <w:rPr>
          <w:lang w:val="en-US"/>
        </w:rPr>
      </w:pPr>
      <w:r>
        <w:rPr>
          <w:b/>
          <w:bCs/>
          <w:lang w:val="en-US"/>
        </w:rPr>
        <w:t xml:space="preserve">Libyan Technical Piloting Committee </w:t>
      </w:r>
      <w:r>
        <w:rPr>
          <w:lang w:val="en-US"/>
        </w:rPr>
        <w:t xml:space="preserve">– ensuring political legitimacy, contextual realism, and national ownership;</w:t>
      </w:r>
      <w:r>
        <w:rPr>
          <w:lang w:val="en-US"/>
        </w:rPr>
      </w:r>
    </w:p>
    <w:p>
      <w:pPr>
        <w:numPr>
          <w:ilvl w:val="0"/>
          <w:numId w:val="17"/>
        </w:numPr>
        <w:pBdr/>
        <w:spacing/>
        <w:ind/>
        <w:rPr>
          <w:lang w:val="en-US"/>
        </w:rPr>
      </w:pPr>
      <w:r>
        <w:rPr>
          <w:b/>
          <w:bCs/>
          <w:lang w:val="en-US"/>
        </w:rPr>
        <w:t xml:space="preserve">European Union Delegation</w:t>
      </w:r>
      <w:r>
        <w:rPr>
          <w:lang w:val="en-US"/>
        </w:rPr>
        <w:t xml:space="preserve"> – ensuring policy alignment, coherence with the EU Special Measure 2024, and donor visibility.</w:t>
      </w:r>
      <w:r>
        <w:rPr>
          <w:lang w:val="en-US"/>
        </w:rPr>
      </w:r>
    </w:p>
    <w:p>
      <w:pPr>
        <w:pStyle w:val="863"/>
        <w:pBdr/>
        <w:spacing/>
        <w:ind/>
        <w:rPr>
          <w:rStyle w:val="947"/>
          <w:b w:val="0"/>
          <w:bCs w:val="0"/>
        </w:rPr>
      </w:pPr>
      <w:r>
        <w:rPr>
          <w:rStyle w:val="947"/>
          <w:b w:val="0"/>
          <w:bCs w:val="0"/>
        </w:rPr>
        <w:t xml:space="preserve">Institutional</w:t>
      </w:r>
      <w:r>
        <w:rPr>
          <w:rStyle w:val="947"/>
          <w:b w:val="0"/>
          <w:bCs w:val="0"/>
        </w:rPr>
        <w:t xml:space="preserve"> Configuration</w:t>
      </w:r>
      <w:r>
        <w:rPr>
          <w:rStyle w:val="947"/>
          <w:b w:val="0"/>
          <w:bCs w:val="0"/>
        </w:rPr>
      </w:r>
    </w:p>
    <w:p>
      <w:pPr>
        <w:pBdr/>
        <w:spacing/>
        <w:ind/>
        <w:rPr>
          <w:lang w:val="en-US"/>
        </w:rPr>
      </w:pPr>
      <w:r>
        <w:rPr>
          <w:lang w:val="en-US"/>
        </w:rPr>
        <w:t xml:space="preserve">The assessment’s governance structure will operate through a </w:t>
      </w:r>
      <w:r>
        <w:rPr>
          <w:b/>
          <w:bCs/>
          <w:lang w:val="en-US"/>
        </w:rPr>
        <w:t xml:space="preserve">dual-validation mechanism</w:t>
      </w:r>
      <w:r>
        <w:rPr>
          <w:lang w:val="en-US"/>
        </w:rPr>
        <w:t xml:space="preserve"> between </w:t>
      </w:r>
      <w:r>
        <w:rPr>
          <w:b/>
          <w:bCs/>
          <w:lang w:val="en-US"/>
        </w:rPr>
        <w:t xml:space="preserve">Expertise France</w:t>
      </w:r>
      <w:r>
        <w:rPr>
          <w:lang w:val="en-US"/>
        </w:rPr>
        <w:t xml:space="preserve"> and the </w:t>
      </w:r>
      <w:r>
        <w:rPr>
          <w:b/>
          <w:bCs/>
          <w:lang w:val="en-US"/>
        </w:rPr>
        <w:t xml:space="preserve">Libyan Technical Piloting Committee</w:t>
      </w:r>
      <w:r>
        <w:rPr>
          <w:lang w:val="en-US"/>
        </w:rPr>
        <w:t xml:space="preserve">, supported by structured communication with the </w:t>
      </w:r>
      <w:r>
        <w:rPr>
          <w:b/>
          <w:bCs/>
          <w:lang w:val="en-US"/>
        </w:rPr>
        <w:t xml:space="preserve">EU Delegation</w:t>
      </w:r>
      <w:r>
        <w:rPr>
          <w:lang w:val="en-US"/>
        </w:rPr>
        <w:t xml:space="preserve"> and </w:t>
      </w:r>
      <w:r>
        <w:rPr>
          <w:b/>
          <w:bCs/>
          <w:lang w:val="en-US"/>
        </w:rPr>
        <w:t xml:space="preserve">EF Headquarters (Paris)</w:t>
      </w:r>
      <w:r>
        <w:rPr>
          <w:lang w:val="en-US"/>
        </w:rPr>
        <w:t xml:space="preserve">.</w:t>
      </w:r>
      <w:r>
        <w:rPr>
          <w:lang w:val="en-US"/>
        </w:rPr>
      </w:r>
    </w:p>
    <w:p>
      <w:pPr>
        <w:pBdr/>
        <w:spacing/>
        <w:ind/>
        <w:rPr>
          <w:lang w:val="en-US"/>
        </w:rPr>
      </w:pPr>
      <w:r>
        <w:rPr>
          <w:lang w:val="en-US"/>
        </w:rPr>
        <w:t xml:space="preserve">This configuration ensures that validation is both </w:t>
      </w:r>
      <w:r>
        <w:rPr>
          <w:b/>
          <w:bCs/>
          <w:lang w:val="en-US"/>
        </w:rPr>
        <w:t xml:space="preserve">technically robust</w:t>
      </w:r>
      <w:r>
        <w:rPr>
          <w:lang w:val="en-US"/>
        </w:rPr>
        <w:t xml:space="preserve"> and </w:t>
      </w:r>
      <w:r>
        <w:rPr>
          <w:b/>
          <w:bCs/>
          <w:lang w:val="en-US"/>
        </w:rPr>
        <w:t xml:space="preserve">politically grounded</w:t>
      </w:r>
      <w:r>
        <w:rPr>
          <w:lang w:val="en-US"/>
        </w:rPr>
        <w:t xml:space="preserve">, maintaining a clear chain of accountability while preserving EF’s analytical autonomy.</w:t>
      </w:r>
      <w:r>
        <w:rPr>
          <w:lang w:val="en-US"/>
        </w:rPr>
      </w:r>
    </w:p>
    <w:p>
      <w:pPr>
        <w:pStyle w:val="862"/>
        <w:pBdr/>
        <w:spacing/>
        <w:ind/>
        <w:rPr>
          <w:lang w:val="en-IE"/>
        </w:rPr>
      </w:pPr>
      <w:r>
        <w:rPr>
          <w:lang w:val="en-IE"/>
        </w:rPr>
        <w:t xml:space="preserve">Profile and Expertise Required </w:t>
      </w:r>
      <w:r>
        <w:rPr>
          <w:lang w:val="en-IE"/>
        </w:rPr>
      </w:r>
    </w:p>
    <w:p>
      <w:pPr>
        <w:pBdr/>
        <w:spacing/>
        <w:ind/>
        <w:rPr>
          <w:lang w:val="en-IE"/>
        </w:rPr>
      </w:pPr>
      <w:r>
        <w:rPr>
          <w:rFonts w:eastAsia="Times New Roman" w:cs="Times New Roman"/>
          <w:lang w:val="en-US" w:eastAsia="fr-FR"/>
        </w:rPr>
        <w:t xml:space="preserve">The Senior N</w:t>
      </w:r>
      <w:r>
        <w:rPr>
          <w:rFonts w:eastAsia="Times New Roman" w:cs="Times New Roman"/>
          <w:lang w:val="en-US" w:eastAsia="fr-FR"/>
        </w:rPr>
        <w:t xml:space="preserve">ational Expert should bring substantial experience in Libya’s public sector and demonstrate the credibility, networks, and institutional understanding necessary to engage effectively with high-level authorities and support a complex PFM diagnostic process.</w:t>
      </w:r>
      <w:r>
        <w:rPr>
          <w:rFonts w:eastAsia="Times New Roman" w:cs="Times New Roman"/>
          <w:lang w:val="en-US" w:eastAsia="fr-FR"/>
        </w:rPr>
        <w:t xml:space="preserve"> </w:t>
      </w:r>
      <w:r>
        <w:rPr>
          <w:lang w:val="en-IE"/>
        </w:rPr>
        <w:t xml:space="preserve">Minimum requirements include:</w:t>
      </w:r>
      <w:r>
        <w:rPr>
          <w:lang w:val="en-IE"/>
        </w:rPr>
      </w:r>
    </w:p>
    <w:p>
      <w:pPr>
        <w:pStyle w:val="936"/>
        <w:pBdr/>
        <w:tabs>
          <w:tab w:val="clear" w:leader="none" w:pos="360"/>
          <w:tab w:val="num" w:leader="none" w:pos="720"/>
          <w:tab w:val="clear" w:leader="none" w:pos="9923"/>
        </w:tabs>
        <w:spacing w:after="200" w:line="276" w:lineRule="auto"/>
        <w:ind w:left="720"/>
        <w:rPr>
          <w:lang w:val="en-US"/>
        </w:rPr>
      </w:pPr>
      <w:r>
        <w:rPr>
          <w:lang w:val="en-US"/>
        </w:rPr>
        <w:t xml:space="preserve">Advanced degree (Master’s or PhD) in Public Finance, Economics, Accounting, Public Policy, or related discipline.</w:t>
      </w:r>
      <w:r>
        <w:rPr>
          <w:lang w:val="en-US"/>
        </w:rPr>
      </w:r>
    </w:p>
    <w:p>
      <w:pPr>
        <w:pStyle w:val="936"/>
        <w:pBdr/>
        <w:tabs>
          <w:tab w:val="clear" w:leader="none" w:pos="360"/>
          <w:tab w:val="num" w:leader="none" w:pos="720"/>
          <w:tab w:val="clear" w:leader="none" w:pos="9923"/>
        </w:tabs>
        <w:spacing w:after="200" w:line="276" w:lineRule="auto"/>
        <w:ind w:left="720"/>
        <w:rPr>
          <w:lang w:val="en-US"/>
        </w:rPr>
      </w:pPr>
      <w:r>
        <w:rPr>
          <w:lang w:val="en-US"/>
        </w:rPr>
        <w:t xml:space="preserve">At least 1</w:t>
      </w:r>
      <w:r>
        <w:rPr>
          <w:lang w:val="en-US"/>
        </w:rPr>
        <w:t xml:space="preserve">5 years of progressively responsible experience in PFM reforms, fiscal transparency, expenditure management, and budget reform.</w:t>
      </w:r>
      <w:r>
        <w:rPr>
          <w:lang w:val="en-US"/>
        </w:rPr>
      </w:r>
    </w:p>
    <w:p>
      <w:pPr>
        <w:pStyle w:val="936"/>
        <w:pBdr/>
        <w:tabs>
          <w:tab w:val="clear" w:leader="none" w:pos="360"/>
          <w:tab w:val="num" w:leader="none" w:pos="720"/>
          <w:tab w:val="clear" w:leader="none" w:pos="9923"/>
        </w:tabs>
        <w:spacing w:after="200" w:line="276" w:lineRule="auto"/>
        <w:ind w:left="720"/>
        <w:rPr>
          <w:lang w:val="en-US"/>
        </w:rPr>
      </w:pPr>
      <w:r>
        <w:rPr>
          <w:lang w:val="en-US"/>
        </w:rPr>
        <w:t xml:space="preserve">Strong f</w:t>
      </w:r>
      <w:r>
        <w:rPr>
          <w:lang w:val="en-US"/>
        </w:rPr>
        <w:t xml:space="preserve">amiliarity with Libyan institutions (Ministry of Finance, Central Bank of Libya, Audit Bureau, Tax &amp; Customs Authority).</w:t>
      </w:r>
      <w:r>
        <w:rPr>
          <w:lang w:val="en-US"/>
        </w:rPr>
      </w:r>
    </w:p>
    <w:p>
      <w:pPr>
        <w:pStyle w:val="936"/>
        <w:pBdr/>
        <w:tabs>
          <w:tab w:val="clear" w:leader="none" w:pos="360"/>
          <w:tab w:val="num" w:leader="none" w:pos="720"/>
          <w:tab w:val="clear" w:leader="none" w:pos="9923"/>
        </w:tabs>
        <w:spacing w:after="200" w:line="276" w:lineRule="auto"/>
        <w:ind w:left="720"/>
        <w:rPr>
          <w:lang w:val="en-US"/>
        </w:rPr>
      </w:pPr>
      <w:r>
        <w:rPr>
          <w:lang w:val="en-US"/>
        </w:rPr>
        <w:t xml:space="preserve">Expertise in fiscal governance and its linkages with financial sector regulation and investment climate reforms.</w:t>
      </w:r>
      <w:r>
        <w:rPr>
          <w:lang w:val="en-US"/>
        </w:rPr>
      </w:r>
    </w:p>
    <w:p>
      <w:pPr>
        <w:pStyle w:val="936"/>
        <w:pBdr/>
        <w:tabs>
          <w:tab w:val="clear" w:leader="none" w:pos="360"/>
          <w:tab w:val="num" w:leader="none" w:pos="720"/>
          <w:tab w:val="clear" w:leader="none" w:pos="9923"/>
        </w:tabs>
        <w:spacing w:after="200" w:line="276" w:lineRule="auto"/>
        <w:ind w:left="720"/>
        <w:rPr>
          <w:lang w:val="en-US"/>
        </w:rPr>
      </w:pPr>
      <w:r>
        <w:rPr>
          <w:lang w:val="en-US"/>
        </w:rPr>
        <w:t xml:space="preserve">Experience in facilitating structured policy dialogue with government institutions, civil society, and international donors.</w:t>
      </w:r>
      <w:r>
        <w:rPr>
          <w:lang w:val="en-US"/>
        </w:rPr>
      </w:r>
    </w:p>
    <w:p>
      <w:pPr>
        <w:pStyle w:val="936"/>
        <w:pBdr/>
        <w:tabs>
          <w:tab w:val="clear" w:leader="none" w:pos="360"/>
          <w:tab w:val="num" w:leader="none" w:pos="720"/>
          <w:tab w:val="clear" w:leader="none" w:pos="9923"/>
        </w:tabs>
        <w:spacing w:after="200" w:line="276" w:lineRule="auto"/>
        <w:ind w:left="720"/>
        <w:rPr>
          <w:lang w:val="en-US"/>
        </w:rPr>
      </w:pPr>
      <w:r>
        <w:rPr>
          <w:lang w:val="en-US"/>
        </w:rPr>
        <w:t xml:space="preserve">Strong knowledge of international PFM best practices and tools, including IMF FAD methodologies, PEFA, and WB frameworks.</w:t>
      </w:r>
      <w:r>
        <w:rPr>
          <w:lang w:val="en-US"/>
        </w:rPr>
      </w:r>
    </w:p>
    <w:p>
      <w:pPr>
        <w:pStyle w:val="936"/>
        <w:pBdr/>
        <w:tabs>
          <w:tab w:val="clear" w:leader="none" w:pos="360"/>
          <w:tab w:val="num" w:leader="none" w:pos="720"/>
          <w:tab w:val="clear" w:leader="none" w:pos="9923"/>
        </w:tabs>
        <w:spacing w:after="100" w:afterAutospacing="1" w:before="100" w:beforeAutospacing="1" w:line="276" w:lineRule="auto"/>
        <w:ind w:left="720"/>
        <w:rPr>
          <w:rFonts w:eastAsia="Times New Roman" w:cs="Times New Roman"/>
          <w:lang w:val="en-US" w:eastAsia="fr-FR"/>
        </w:rPr>
      </w:pPr>
      <w:r>
        <w:rPr>
          <w:lang w:val="en-US"/>
        </w:rPr>
        <w:t xml:space="preserve">Excellent interpersonal and communication skills, with fluency in</w:t>
      </w:r>
      <w:r>
        <w:rPr>
          <w:lang w:val="en-US"/>
        </w:rPr>
        <w:t xml:space="preserve"> Arabic and</w:t>
      </w:r>
      <w:r>
        <w:rPr>
          <w:lang w:val="en-US"/>
        </w:rPr>
        <w:t xml:space="preserve"> English.</w:t>
      </w:r>
      <w:r>
        <w:rPr>
          <w:rFonts w:eastAsia="Times New Roman" w:cs="Times New Roman"/>
          <w:lang w:val="en-US" w:eastAsia="fr-FR"/>
        </w:rPr>
      </w:r>
    </w:p>
    <w:p>
      <w:pPr>
        <w:pStyle w:val="936"/>
        <w:numPr>
          <w:ilvl w:val="0"/>
          <w:numId w:val="0"/>
        </w:numPr>
        <w:pBdr/>
        <w:tabs>
          <w:tab w:val="clear" w:leader="none" w:pos="9923"/>
        </w:tabs>
        <w:spacing w:after="100" w:afterAutospacing="1" w:before="100" w:beforeAutospacing="1" w:line="276" w:lineRule="auto"/>
        <w:ind w:left="360"/>
        <w:rPr>
          <w:lang w:val="en-US"/>
        </w:rPr>
      </w:pPr>
      <w:r>
        <w:rPr>
          <w:lang w:val="en-US"/>
        </w:rPr>
      </w:r>
      <w:r>
        <w:rPr>
          <w:lang w:val="en-US"/>
        </w:rPr>
      </w:r>
    </w:p>
    <w:p>
      <w:pPr>
        <w:pStyle w:val="862"/>
        <w:pBdr/>
        <w:spacing/>
        <w:ind/>
        <w:rPr>
          <w:lang w:val="en-IE"/>
        </w:rPr>
      </w:pPr>
      <w:r>
        <w:rPr>
          <w:lang w:val="en-IE"/>
        </w:rPr>
        <w:t xml:space="preserve">DURATION AND WORKLOAD</w:t>
      </w:r>
      <w:r>
        <w:rPr>
          <w:lang w:val="en-IE"/>
        </w:rPr>
      </w:r>
    </w:p>
    <w:p>
      <w:pPr>
        <w:pBdr/>
        <w:spacing/>
        <w:ind/>
        <w:rPr>
          <w:lang w:val="en-IE"/>
        </w:rPr>
      </w:pPr>
      <w:r>
        <w:rPr>
          <w:lang w:val="en-IE"/>
        </w:rPr>
        <w:t xml:space="preserve">The estimated workload</w:t>
      </w:r>
      <w:r>
        <w:rPr>
          <w:lang w:val="en-IE"/>
        </w:rPr>
        <w:t xml:space="preserve"> for delivering this assignment is </w:t>
      </w:r>
      <w:r>
        <w:rPr>
          <w:b/>
          <w:bCs/>
          <w:lang w:val="en-IE"/>
        </w:rPr>
        <w:t xml:space="preserve">20</w:t>
      </w:r>
      <w:r>
        <w:rPr>
          <w:b/>
          <w:bCs/>
          <w:lang w:val="en-IE"/>
        </w:rPr>
        <w:t xml:space="preserve"> man/days</w:t>
      </w:r>
      <w:r>
        <w:rPr>
          <w:lang w:val="en-IE"/>
        </w:rPr>
        <w:t xml:space="preserve">,</w:t>
      </w:r>
      <w:r>
        <w:rPr>
          <w:lang w:val="en-IE"/>
        </w:rPr>
        <w:t xml:space="preserve"> </w:t>
      </w:r>
      <w:r>
        <w:rPr>
          <w:b/>
          <w:bCs/>
          <w:lang w:val="en-IE"/>
        </w:rPr>
        <w:t xml:space="preserve">to be implemented over the period January to June </w:t>
      </w:r>
      <w:r>
        <w:rPr>
          <w:b/>
          <w:bCs/>
          <w:lang w:val="en-IE"/>
        </w:rPr>
        <w:t xml:space="preserve">2026</w:t>
      </w:r>
      <w:r>
        <w:rPr>
          <w:lang w:val="en-IE"/>
        </w:rPr>
        <w:t xml:space="preserve">.</w:t>
      </w:r>
      <w:r>
        <w:rPr>
          <w:lang w:val="en-IE"/>
        </w:rPr>
        <w:t xml:space="preserve">.</w:t>
      </w:r>
      <w:r>
        <w:rPr>
          <w:lang w:val="en-IE"/>
        </w:rPr>
      </w:r>
    </w:p>
    <w:p>
      <w:pPr>
        <w:pStyle w:val="862"/>
        <w:pBdr/>
        <w:spacing/>
        <w:ind/>
        <w:rPr>
          <w:lang w:val="en-IE"/>
        </w:rPr>
      </w:pPr>
      <w:r>
        <w:rPr>
          <w:lang w:val="en-IE"/>
        </w:rPr>
        <w:t xml:space="preserve">Ethical Standards, Confidentiality, and Data Protection</w:t>
      </w:r>
      <w:r>
        <w:rPr>
          <w:lang w:val="en-IE"/>
        </w:rPr>
      </w:r>
    </w:p>
    <w:p>
      <w:pPr>
        <w:pBdr/>
        <w:spacing/>
        <w:ind/>
        <w:rPr>
          <w:lang w:val="en-US" w:eastAsia="fr-FR"/>
        </w:rPr>
      </w:pPr>
      <w:r>
        <w:rPr>
          <w:lang w:val="en-US" w:eastAsia="fr-FR"/>
        </w:rPr>
        <w:t xml:space="preserve">All activities undertaken within the framework of this inception-phase mission must strictly adhere to the </w:t>
      </w:r>
      <w:r>
        <w:rPr>
          <w:b/>
          <w:bCs/>
          <w:lang w:val="en-US" w:eastAsia="fr-FR"/>
        </w:rPr>
        <w:t xml:space="preserve">ethical standards and professional conduct principles</w:t>
      </w:r>
      <w:r>
        <w:rPr>
          <w:lang w:val="en-US" w:eastAsia="fr-FR"/>
        </w:rPr>
        <w:t xml:space="preserve"> established by </w:t>
      </w:r>
      <w:r>
        <w:rPr>
          <w:b/>
          <w:bCs/>
          <w:lang w:val="en-US" w:eastAsia="fr-FR"/>
        </w:rPr>
        <w:t xml:space="preserve">Expertise France (EF)</w:t>
      </w:r>
      <w:r>
        <w:rPr>
          <w:lang w:val="en-US" w:eastAsia="fr-FR"/>
        </w:rPr>
        <w:t xml:space="preserve"> and the </w:t>
      </w:r>
      <w:r>
        <w:rPr>
          <w:b/>
          <w:bCs/>
          <w:lang w:val="en-US" w:eastAsia="fr-FR"/>
        </w:rPr>
        <w:t xml:space="preserve">European Union</w:t>
      </w:r>
      <w:r>
        <w:rPr>
          <w:lang w:val="en-US" w:eastAsia="fr-FR"/>
        </w:rPr>
        <w:t xml:space="preserve">. The expert team shall uphold the highest standards of </w:t>
      </w:r>
      <w:r>
        <w:rPr>
          <w:b/>
          <w:bCs/>
          <w:lang w:val="en-US" w:eastAsia="fr-FR"/>
        </w:rPr>
        <w:t xml:space="preserve">integrity, impartiality, and accountability</w:t>
      </w:r>
      <w:r>
        <w:rPr>
          <w:lang w:val="en-US" w:eastAsia="fr-FR"/>
        </w:rPr>
        <w:t xml:space="preserve">, ensuring that no action or decision compromises the credibility, neutrality, or independence of the assessment process.</w:t>
      </w:r>
      <w:r>
        <w:rPr>
          <w:lang w:val="en-US" w:eastAsia="fr-FR"/>
        </w:rPr>
      </w:r>
    </w:p>
    <w:p>
      <w:pPr>
        <w:pBdr/>
        <w:spacing/>
        <w:ind/>
        <w:rPr>
          <w:lang w:val="en-US" w:eastAsia="fr-FR"/>
        </w:rPr>
      </w:pPr>
      <w:r>
        <w:rPr>
          <w:lang w:val="en-US" w:eastAsia="fr-FR"/>
        </w:rPr>
        <w:t xml:space="preserve">All experts must maintain </w:t>
      </w:r>
      <w:r>
        <w:rPr>
          <w:b/>
          <w:bCs/>
          <w:lang w:val="en-US" w:eastAsia="fr-FR"/>
        </w:rPr>
        <w:t xml:space="preserve">strict confidentiality</w:t>
      </w:r>
      <w:r>
        <w:rPr>
          <w:lang w:val="en-US" w:eastAsia="fr-FR"/>
        </w:rPr>
        <w:t xml:space="preserve"> regarding any information, data, or documentation obtained during the course of the mission. This obligation applies to all forms of communication — written, verbal, and digital — and remains in force even after the completion of the assignment.</w:t>
      </w:r>
      <w:r>
        <w:rPr>
          <w:lang w:val="en-US" w:eastAsia="fr-FR"/>
        </w:rPr>
        <w:br/>
        <w:t xml:space="preserve">Sensitive or classified data related to public finance, financial institutions, or national strategies must be handled with particular caution and shared exclusively through channels </w:t>
      </w:r>
      <w:r>
        <w:rPr>
          <w:lang w:val="en-US" w:eastAsia="fr-FR"/>
        </w:rPr>
        <w:t xml:space="preserve">authorised</w:t>
      </w:r>
      <w:r>
        <w:rPr>
          <w:lang w:val="en-US" w:eastAsia="fr-FR"/>
        </w:rPr>
        <w:t xml:space="preserve"> by Expertise France.</w:t>
      </w:r>
      <w:r>
        <w:rPr>
          <w:lang w:val="en-US" w:eastAsia="fr-FR"/>
        </w:rPr>
      </w:r>
    </w:p>
    <w:p>
      <w:pPr>
        <w:numPr>
          <w:ilvl w:val="0"/>
          <w:numId w:val="12"/>
        </w:numPr>
        <w:pBdr/>
        <w:tabs>
          <w:tab w:val="clear" w:leader="none" w:pos="720"/>
          <w:tab w:val="num" w:leader="none" w:pos="1080"/>
          <w:tab w:val="clear" w:leader="none" w:pos="9923"/>
        </w:tabs>
        <w:spacing w:after="100" w:afterAutospacing="1" w:before="100" w:beforeAutospacing="1"/>
        <w:ind w:left="1080"/>
        <w:jc w:val="left"/>
        <w:rPr>
          <w:lang w:val="en-US" w:eastAsia="fr-FR"/>
        </w:rPr>
      </w:pPr>
      <w:r>
        <w:rPr>
          <w:lang w:val="en-US" w:eastAsia="fr-FR"/>
        </w:rPr>
        <w:t xml:space="preserve">In accordance with the </w:t>
      </w:r>
      <w:r>
        <w:rPr>
          <w:b/>
          <w:bCs/>
          <w:lang w:val="en-US" w:eastAsia="fr-FR"/>
        </w:rPr>
        <w:t xml:space="preserve">European Union Gener</w:t>
      </w:r>
      <w:r>
        <w:rPr>
          <w:lang w:val="en-IE"/>
        </w:rPr>
        <w:t xml:space="preserve">al Data Protect</w:t>
      </w:r>
      <w:r>
        <w:rPr>
          <w:b/>
          <w:bCs/>
          <w:lang w:val="en-US" w:eastAsia="fr-FR"/>
        </w:rPr>
        <w:t xml:space="preserve">ion Regulation (EU-GDPR 2016/679)</w:t>
      </w:r>
      <w:r>
        <w:rPr>
          <w:lang w:val="en-US" w:eastAsia="fr-FR"/>
        </w:rPr>
        <w:t xml:space="preserve">, all data collection, processing, storage, and transmission carried out by the experts shall comply with EU data-protection principles, including </w:t>
      </w:r>
      <w:r>
        <w:rPr>
          <w:b/>
          <w:bCs/>
          <w:lang w:val="en-US" w:eastAsia="fr-FR"/>
        </w:rPr>
        <w:t xml:space="preserve">lawfulness, purpose limitation, data </w:t>
      </w:r>
      <w:r>
        <w:rPr>
          <w:b/>
          <w:bCs/>
          <w:lang w:val="en-US" w:eastAsia="fr-FR"/>
        </w:rPr>
        <w:t xml:space="preserve">minimisation</w:t>
      </w:r>
      <w:r>
        <w:rPr>
          <w:b/>
          <w:bCs/>
          <w:lang w:val="en-US" w:eastAsia="fr-FR"/>
        </w:rPr>
        <w:t xml:space="preserve">, accuracy, integrity, and confidentiality</w:t>
      </w:r>
      <w:r>
        <w:rPr>
          <w:lang w:val="en-US" w:eastAsia="fr-FR"/>
        </w:rPr>
        <w:t xml:space="preserve">.</w:t>
      </w:r>
      <w:r>
        <w:rPr>
          <w:lang w:val="en-US" w:eastAsia="fr-FR"/>
        </w:rPr>
        <w:t xml:space="preserve"> No personal or institutional data may be reproduced, stored, or transferred to third parties without the prior written </w:t>
      </w:r>
      <w:r>
        <w:rPr>
          <w:lang w:val="en-US" w:eastAsia="fr-FR"/>
        </w:rPr>
        <w:t xml:space="preserve">authorisation</w:t>
      </w:r>
      <w:r>
        <w:rPr>
          <w:lang w:val="en-US" w:eastAsia="fr-FR"/>
        </w:rPr>
        <w:t xml:space="preserve"> of Expertise France.</w:t>
      </w:r>
      <w:r>
        <w:rPr>
          <w:lang w:val="en-US" w:eastAsia="fr-FR"/>
        </w:rPr>
      </w:r>
    </w:p>
    <w:p>
      <w:pPr>
        <w:pBdr/>
        <w:spacing/>
        <w:ind/>
        <w:rPr>
          <w:lang w:val="en-US" w:eastAsia="fr-FR"/>
        </w:rPr>
      </w:pPr>
      <w:r>
        <w:rPr>
          <w:lang w:val="en-US" w:eastAsia="fr-FR"/>
        </w:rPr>
        <w:t xml:space="preserve">All team members must also comply with </w:t>
      </w:r>
      <w:r>
        <w:rPr>
          <w:b/>
          <w:bCs/>
          <w:lang w:val="en-US" w:eastAsia="fr-FR"/>
        </w:rPr>
        <w:t xml:space="preserve">EF’s internal Code of Ethics</w:t>
      </w:r>
      <w:r>
        <w:rPr>
          <w:lang w:val="en-US" w:eastAsia="fr-FR"/>
        </w:rPr>
        <w:t xml:space="preserve">, which mandates the prevention of conflicts of interest, non-discrimination, respect for human rights, and the responsible use of information. Any breach of ethical or data-protection obligations will result in </w:t>
      </w:r>
      <w:r>
        <w:rPr>
          <w:b/>
          <w:bCs/>
          <w:lang w:val="en-US" w:eastAsia="fr-FR"/>
        </w:rPr>
        <w:t xml:space="preserve">immediate contractual sanctions and disqualification</w:t>
      </w:r>
      <w:r>
        <w:rPr>
          <w:lang w:val="en-US" w:eastAsia="fr-FR"/>
        </w:rPr>
        <w:t xml:space="preserve">.</w:t>
      </w:r>
      <w:r>
        <w:rPr>
          <w:lang w:val="en-US" w:eastAsia="fr-FR"/>
        </w:rPr>
      </w:r>
    </w:p>
    <w:p>
      <w:pPr>
        <w:pBdr/>
        <w:spacing/>
        <w:ind/>
        <w:rPr>
          <w:lang w:val="en-US" w:eastAsia="fr-FR"/>
        </w:rPr>
      </w:pPr>
      <w:r>
        <w:rPr>
          <w:lang w:val="en-US" w:eastAsia="fr-FR"/>
        </w:rPr>
        <w:t xml:space="preserve">This mission shall operate under a </w:t>
      </w:r>
      <w:r>
        <w:rPr>
          <w:b/>
          <w:bCs/>
          <w:lang w:val="en-US" w:eastAsia="fr-FR"/>
        </w:rPr>
        <w:t xml:space="preserve">zero-tolerance policy</w:t>
      </w:r>
      <w:r>
        <w:rPr>
          <w:lang w:val="en-US" w:eastAsia="fr-FR"/>
        </w:rPr>
        <w:t xml:space="preserve"> toward misconduct, ensuring that all actions reflect the integrity and trust that underpin EU-funded cooperation.</w:t>
      </w:r>
      <w:r>
        <w:rPr>
          <w:lang w:val="en-US" w:eastAsia="fr-FR"/>
        </w:rPr>
      </w:r>
    </w:p>
    <w:p>
      <w:pPr>
        <w:pStyle w:val="862"/>
        <w:pBdr/>
        <w:spacing/>
        <w:ind/>
        <w:rPr>
          <w:lang w:val="en-IE"/>
        </w:rPr>
      </w:pPr>
      <w:r>
        <w:rPr>
          <w:lang w:val="en-IE"/>
        </w:rPr>
        <w:t xml:space="preserve">REPOrting and Communication Protocols</w:t>
      </w:r>
      <w:r>
        <w:rPr>
          <w:lang w:val="en-IE"/>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The expert team will maintain a </w:t>
      </w:r>
      <w:r>
        <w:rPr>
          <w:rFonts w:eastAsia="Times New Roman" w:cs="Times New Roman"/>
          <w:b/>
          <w:bCs/>
          <w:lang w:val="en-US" w:eastAsia="fr-FR"/>
        </w:rPr>
        <w:t xml:space="preserve">structured and transparent communication framework</w:t>
      </w:r>
      <w:r>
        <w:rPr>
          <w:rFonts w:eastAsia="Times New Roman" w:cs="Times New Roman"/>
          <w:lang w:val="en-US" w:eastAsia="fr-FR"/>
        </w:rPr>
        <w:t xml:space="preserve"> with Expertise France (EF) throughout the inception mission. All exchanges, deliverables, and coordination notes must be transmitted in </w:t>
      </w:r>
      <w:r>
        <w:rPr>
          <w:rFonts w:eastAsia="Times New Roman" w:cs="Times New Roman"/>
          <w:b/>
          <w:bCs/>
          <w:lang w:val="en-US" w:eastAsia="fr-FR"/>
        </w:rPr>
        <w:t xml:space="preserve">English</w:t>
      </w:r>
      <w:r>
        <w:rPr>
          <w:rFonts w:eastAsia="Times New Roman" w:cs="Times New Roman"/>
          <w:lang w:val="en-US" w:eastAsia="fr-FR"/>
        </w:rPr>
        <w:t xml:space="preserve">, the sole working language of this assignment.</w:t>
      </w:r>
      <w:r>
        <w:rPr>
          <w:rFonts w:eastAsia="Times New Roman" w:cs="Times New Roman"/>
          <w:lang w:val="en-US" w:eastAsia="fr-FR"/>
        </w:rPr>
      </w:r>
    </w:p>
    <w:p>
      <w:pPr>
        <w:pStyle w:val="878"/>
        <w:numPr>
          <w:ilvl w:val="1"/>
          <w:numId w:val="9"/>
        </w:numPr>
        <w:pBdr/>
        <w:shd w:val="clear" w:color="auto" w:fill="95b3d7" w:themeFill="accent1" w:themeFillTint="99"/>
        <w:spacing w:line="300" w:lineRule="atLeast"/>
        <w:ind/>
        <w:outlineLvl w:val="1"/>
        <w:rPr>
          <w:color w:val="ffffff" w:themeColor="background1"/>
        </w:rPr>
      </w:pPr>
      <w:r>
        <w:rPr>
          <w:b/>
          <w:bCs/>
          <w:color w:val="ffffff" w:themeColor="background1"/>
        </w:rPr>
        <w:t xml:space="preserve">R</w:t>
      </w:r>
      <w:r>
        <w:rPr>
          <w:b/>
          <w:bCs/>
          <w:color w:val="ffffff" w:themeColor="background1"/>
        </w:rPr>
        <w:t xml:space="preserve">eporting</w:t>
      </w:r>
      <w:r>
        <w:rPr>
          <w:b/>
          <w:bCs/>
          <w:color w:val="ffffff" w:themeColor="background1"/>
        </w:rPr>
        <w:t xml:space="preserve"> Structure</w:t>
      </w:r>
      <w:r>
        <w:rPr>
          <w:color w:val="ffffff" w:themeColor="background1"/>
        </w:rPr>
      </w:r>
    </w:p>
    <w:p>
      <w:pPr>
        <w:numPr>
          <w:ilvl w:val="0"/>
          <w:numId w:val="14"/>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lang w:val="en-US" w:eastAsia="fr-FR"/>
        </w:rPr>
        <w:t xml:space="preserve">All official deliverables (reports, notes, briefs, presentations) shall be submitted to the </w:t>
      </w:r>
      <w:r>
        <w:rPr>
          <w:rFonts w:eastAsia="Times New Roman" w:cs="Times New Roman"/>
          <w:b/>
          <w:bCs/>
          <w:lang w:val="en-US" w:eastAsia="fr-FR"/>
        </w:rPr>
        <w:t xml:space="preserve">Programme</w:t>
      </w:r>
      <w:r>
        <w:rPr>
          <w:rFonts w:eastAsia="Times New Roman" w:cs="Times New Roman"/>
          <w:b/>
          <w:bCs/>
          <w:lang w:val="en-US" w:eastAsia="fr-FR"/>
        </w:rPr>
        <w:t xml:space="preserve"> Manager of INVEST4Libya</w:t>
      </w:r>
      <w:r>
        <w:rPr>
          <w:rFonts w:eastAsia="Times New Roman" w:cs="Times New Roman"/>
          <w:lang w:val="en-US" w:eastAsia="fr-FR"/>
        </w:rPr>
        <w:t xml:space="preserve">, with copies to the </w:t>
      </w:r>
      <w:r>
        <w:rPr>
          <w:rFonts w:eastAsia="Times New Roman" w:cs="Times New Roman"/>
          <w:b/>
          <w:bCs/>
          <w:lang w:val="en-US" w:eastAsia="fr-FR"/>
        </w:rPr>
        <w:t xml:space="preserve">Head of </w:t>
      </w:r>
      <w:r>
        <w:rPr>
          <w:rFonts w:eastAsia="Times New Roman" w:cs="Times New Roman"/>
          <w:b/>
          <w:bCs/>
          <w:lang w:val="en-US" w:eastAsia="fr-FR"/>
        </w:rPr>
        <w:t xml:space="preserve">Programmes</w:t>
      </w:r>
      <w:r>
        <w:rPr>
          <w:rFonts w:eastAsia="Times New Roman" w:cs="Times New Roman"/>
          <w:lang w:val="en-US" w:eastAsia="fr-FR"/>
        </w:rPr>
        <w:t xml:space="preserve">, </w:t>
      </w:r>
      <w:r>
        <w:rPr>
          <w:rFonts w:eastAsia="Times New Roman" w:cs="Times New Roman"/>
          <w:b/>
          <w:bCs/>
          <w:lang w:val="en-US" w:eastAsia="fr-FR"/>
        </w:rPr>
        <w:t xml:space="preserve">Deputy Head of </w:t>
      </w:r>
      <w:r>
        <w:rPr>
          <w:rFonts w:eastAsia="Times New Roman" w:cs="Times New Roman"/>
          <w:b/>
          <w:bCs/>
          <w:lang w:val="en-US" w:eastAsia="fr-FR"/>
        </w:rPr>
        <w:t xml:space="preserve">Programmes</w:t>
      </w:r>
      <w:r>
        <w:rPr>
          <w:rFonts w:eastAsia="Times New Roman" w:cs="Times New Roman"/>
          <w:lang w:val="en-US" w:eastAsia="fr-FR"/>
        </w:rPr>
        <w:t xml:space="preserve">, and the </w:t>
      </w:r>
      <w:r>
        <w:rPr>
          <w:rFonts w:eastAsia="Times New Roman" w:cs="Times New Roman"/>
          <w:b/>
          <w:bCs/>
          <w:lang w:val="en-US" w:eastAsia="fr-FR"/>
        </w:rPr>
        <w:t xml:space="preserve">DMEAL &amp; </w:t>
      </w:r>
      <w:r>
        <w:rPr>
          <w:rFonts w:eastAsia="Times New Roman" w:cs="Times New Roman"/>
          <w:b/>
          <w:bCs/>
          <w:lang w:val="en-US" w:eastAsia="fr-FR"/>
        </w:rPr>
        <w:t xml:space="preserve">Programme</w:t>
      </w:r>
      <w:r>
        <w:rPr>
          <w:rFonts w:eastAsia="Times New Roman" w:cs="Times New Roman"/>
          <w:b/>
          <w:bCs/>
          <w:lang w:val="en-US" w:eastAsia="fr-FR"/>
        </w:rPr>
        <w:t xml:space="preserve"> Quality Manager</w:t>
      </w:r>
      <w:r>
        <w:rPr>
          <w:rFonts w:eastAsia="Times New Roman" w:cs="Times New Roman"/>
          <w:lang w:val="en-US" w:eastAsia="fr-FR"/>
        </w:rPr>
        <w:t xml:space="preserve">.</w:t>
      </w:r>
      <w:r>
        <w:rPr>
          <w:rFonts w:eastAsia="Times New Roman" w:cs="Times New Roman"/>
          <w:lang w:val="en-US" w:eastAsia="fr-FR"/>
        </w:rPr>
      </w:r>
    </w:p>
    <w:p>
      <w:pPr>
        <w:numPr>
          <w:ilvl w:val="0"/>
          <w:numId w:val="14"/>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lang w:val="en-US" w:eastAsia="fr-FR"/>
        </w:rPr>
        <w:t xml:space="preserve">The expert shall provide:</w:t>
      </w:r>
      <w:r>
        <w:rPr>
          <w:rFonts w:eastAsia="Times New Roman" w:cs="Times New Roman"/>
          <w:lang w:val="en-US" w:eastAsia="fr-FR"/>
        </w:rPr>
      </w:r>
    </w:p>
    <w:p>
      <w:pPr>
        <w:numPr>
          <w:ilvl w:val="1"/>
          <w:numId w:val="14"/>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b/>
          <w:bCs/>
          <w:lang w:val="en-US" w:eastAsia="fr-FR"/>
        </w:rPr>
        <w:t xml:space="preserve">Weekly coordination updates</w:t>
      </w:r>
      <w:r>
        <w:rPr>
          <w:rFonts w:eastAsia="Times New Roman" w:cs="Times New Roman"/>
          <w:lang w:val="en-US" w:eastAsia="fr-FR"/>
        </w:rPr>
        <w:t xml:space="preserve"> (email or brief memo, 1–2 pages).</w:t>
      </w:r>
      <w:r>
        <w:rPr>
          <w:rFonts w:eastAsia="Times New Roman" w:cs="Times New Roman"/>
          <w:lang w:val="en-US" w:eastAsia="fr-FR"/>
        </w:rPr>
      </w:r>
    </w:p>
    <w:p>
      <w:pPr>
        <w:numPr>
          <w:ilvl w:val="1"/>
          <w:numId w:val="14"/>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b/>
          <w:bCs/>
          <w:lang w:val="en-US" w:eastAsia="fr-FR"/>
        </w:rPr>
        <w:t xml:space="preserve">Bi-weekly technical progress notes</w:t>
      </w:r>
      <w:r>
        <w:rPr>
          <w:rFonts w:eastAsia="Times New Roman" w:cs="Times New Roman"/>
          <w:lang w:val="en-US" w:eastAsia="fr-FR"/>
        </w:rPr>
        <w:t xml:space="preserve">, </w:t>
      </w:r>
      <w:r>
        <w:rPr>
          <w:rFonts w:eastAsia="Times New Roman" w:cs="Times New Roman"/>
          <w:lang w:val="en-US" w:eastAsia="fr-FR"/>
        </w:rPr>
        <w:t xml:space="preserve">summarising</w:t>
      </w:r>
      <w:r>
        <w:rPr>
          <w:rFonts w:eastAsia="Times New Roman" w:cs="Times New Roman"/>
          <w:lang w:val="en-US" w:eastAsia="fr-FR"/>
        </w:rPr>
        <w:t xml:space="preserve"> key analytical developments, challenges, and next steps.</w:t>
      </w:r>
      <w:r>
        <w:rPr>
          <w:rFonts w:eastAsia="Times New Roman" w:cs="Times New Roman"/>
          <w:lang w:val="en-US" w:eastAsia="fr-FR"/>
        </w:rPr>
      </w:r>
    </w:p>
    <w:p>
      <w:pPr>
        <w:numPr>
          <w:ilvl w:val="1"/>
          <w:numId w:val="14"/>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b/>
          <w:bCs/>
          <w:lang w:val="en-US" w:eastAsia="fr-FR"/>
        </w:rPr>
        <w:t xml:space="preserve">Formal deliverables</w:t>
      </w:r>
      <w:r>
        <w:rPr>
          <w:rFonts w:eastAsia="Times New Roman" w:cs="Times New Roman"/>
          <w:lang w:val="en-US" w:eastAsia="fr-FR"/>
        </w:rPr>
        <w:t xml:space="preserve"> accord</w:t>
      </w:r>
      <w:r>
        <w:rPr>
          <w:rFonts w:eastAsia="Times New Roman" w:cs="Times New Roman"/>
          <w:lang w:val="en-US" w:eastAsia="fr-FR"/>
        </w:rPr>
        <w:t xml:space="preserve">ing to the timeline in Section 4</w:t>
      </w:r>
      <w:r>
        <w:rPr>
          <w:rFonts w:eastAsia="Times New Roman" w:cs="Times New Roman"/>
          <w:lang w:val="en-US" w:eastAsia="fr-FR"/>
        </w:rPr>
        <w:t xml:space="preserve">.</w:t>
      </w:r>
      <w:r>
        <w:rPr>
          <w:rFonts w:eastAsia="Times New Roman" w:cs="Times New Roman"/>
          <w:lang w:val="en-US" w:eastAsia="fr-FR"/>
        </w:rPr>
      </w:r>
    </w:p>
    <w:p>
      <w:pPr>
        <w:numPr>
          <w:ilvl w:val="0"/>
          <w:numId w:val="14"/>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lang w:val="en-US" w:eastAsia="fr-FR"/>
        </w:rPr>
        <w:t xml:space="preserve">All meetings with the </w:t>
      </w:r>
      <w:r>
        <w:rPr>
          <w:rFonts w:eastAsia="Times New Roman" w:cs="Times New Roman"/>
          <w:b/>
          <w:bCs/>
          <w:lang w:val="en-US" w:eastAsia="fr-FR"/>
        </w:rPr>
        <w:t xml:space="preserve">EU Delegation</w:t>
      </w:r>
      <w:r>
        <w:rPr>
          <w:rFonts w:eastAsia="Times New Roman" w:cs="Times New Roman"/>
          <w:lang w:val="en-US" w:eastAsia="fr-FR"/>
        </w:rPr>
        <w:t xml:space="preserve"> or </w:t>
      </w:r>
      <w:r>
        <w:rPr>
          <w:rFonts w:eastAsia="Times New Roman" w:cs="Times New Roman"/>
          <w:b/>
          <w:bCs/>
          <w:lang w:val="en-US" w:eastAsia="fr-FR"/>
        </w:rPr>
        <w:t xml:space="preserve">Libyan stakeholders</w:t>
      </w:r>
      <w:r>
        <w:rPr>
          <w:rFonts w:eastAsia="Times New Roman" w:cs="Times New Roman"/>
          <w:lang w:val="en-US" w:eastAsia="fr-FR"/>
        </w:rPr>
        <w:t xml:space="preserve"> must be pre-approved and jointly attended with EF, ensuring unified communication and institutional coherence.</w:t>
      </w:r>
      <w:r>
        <w:rPr>
          <w:rFonts w:eastAsia="Times New Roman" w:cs="Times New Roman"/>
          <w:lang w:val="en-US" w:eastAsia="fr-FR"/>
        </w:rPr>
      </w:r>
    </w:p>
    <w:p>
      <w:pPr>
        <w:pStyle w:val="878"/>
        <w:numPr>
          <w:ilvl w:val="1"/>
          <w:numId w:val="9"/>
        </w:numPr>
        <w:pBdr/>
        <w:shd w:val="clear" w:color="auto" w:fill="95b3d7" w:themeFill="accent1" w:themeFillTint="99"/>
        <w:spacing w:line="300" w:lineRule="atLeast"/>
        <w:ind/>
        <w:outlineLvl w:val="1"/>
        <w:rPr>
          <w:color w:val="ffffff" w:themeColor="background1"/>
        </w:rPr>
      </w:pPr>
      <w:r>
        <w:rPr>
          <w:b/>
          <w:bCs/>
          <w:color w:val="ffffff" w:themeColor="background1"/>
        </w:rPr>
        <w:t xml:space="preserve">F</w:t>
      </w:r>
      <w:r>
        <w:rPr>
          <w:b/>
          <w:bCs/>
          <w:color w:val="ffffff" w:themeColor="background1"/>
        </w:rPr>
        <w:t xml:space="preserve">ormat and </w:t>
      </w:r>
      <w:r>
        <w:rPr>
          <w:b/>
          <w:bCs/>
          <w:color w:val="ffffff" w:themeColor="background1"/>
        </w:rPr>
        <w:t xml:space="preserve">Branding</w:t>
      </w:r>
      <w:r>
        <w:rPr>
          <w:color w:val="ffffff" w:themeColor="background1"/>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All reports must follow EF’s standard format (Word/PDF, A4, EF and EU logos) and include:</w:t>
      </w:r>
      <w:r>
        <w:rPr>
          <w:rFonts w:eastAsia="Times New Roman" w:cs="Times New Roman"/>
          <w:lang w:val="en-US" w:eastAsia="fr-FR"/>
        </w:rPr>
      </w:r>
    </w:p>
    <w:p>
      <w:pPr>
        <w:numPr>
          <w:ilvl w:val="0"/>
          <w:numId w:val="15"/>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lang w:val="en-US" w:eastAsia="fr-FR"/>
        </w:rPr>
        <w:t xml:space="preserve">Cover page with title, mission name, and date;</w:t>
      </w:r>
      <w:r>
        <w:rPr>
          <w:rFonts w:eastAsia="Times New Roman" w:cs="Times New Roman"/>
          <w:lang w:val="en-US" w:eastAsia="fr-FR"/>
        </w:rPr>
      </w:r>
    </w:p>
    <w:p>
      <w:pPr>
        <w:numPr>
          <w:ilvl w:val="0"/>
          <w:numId w:val="15"/>
        </w:numPr>
        <w:pBdr/>
        <w:tabs>
          <w:tab w:val="clear" w:leader="none" w:pos="9923"/>
        </w:tabs>
        <w:spacing w:after="100" w:afterAutospacing="1" w:before="100" w:beforeAutospacing="1"/>
        <w:ind/>
        <w:jc w:val="left"/>
        <w:rPr>
          <w:rFonts w:eastAsia="Times New Roman" w:cs="Times New Roman"/>
          <w:lang w:eastAsia="fr-FR"/>
        </w:rPr>
      </w:pPr>
      <w:r>
        <w:rPr>
          <w:rFonts w:eastAsia="Times New Roman" w:cs="Times New Roman"/>
          <w:lang w:eastAsia="fr-FR"/>
        </w:rPr>
        <w:t xml:space="preserve">Executive</w:t>
      </w:r>
      <w:r>
        <w:rPr>
          <w:rFonts w:eastAsia="Times New Roman" w:cs="Times New Roman"/>
          <w:lang w:eastAsia="fr-FR"/>
        </w:rPr>
        <w:t xml:space="preserve"> </w:t>
      </w:r>
      <w:r>
        <w:rPr>
          <w:rFonts w:eastAsia="Times New Roman" w:cs="Times New Roman"/>
          <w:lang w:eastAsia="fr-FR"/>
        </w:rPr>
        <w:t xml:space="preserve">summary</w:t>
      </w:r>
      <w:r>
        <w:rPr>
          <w:rFonts w:eastAsia="Times New Roman" w:cs="Times New Roman"/>
          <w:lang w:eastAsia="fr-FR"/>
        </w:rPr>
        <w:t xml:space="preserve"> (max. 2 pages);</w:t>
      </w:r>
      <w:r>
        <w:rPr>
          <w:rFonts w:eastAsia="Times New Roman" w:cs="Times New Roman"/>
          <w:lang w:eastAsia="fr-FR"/>
        </w:rPr>
      </w:r>
    </w:p>
    <w:p>
      <w:pPr>
        <w:numPr>
          <w:ilvl w:val="0"/>
          <w:numId w:val="15"/>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lang w:val="en-US" w:eastAsia="fr-FR"/>
        </w:rPr>
        <w:t xml:space="preserve">Main body structured by analytical pillar;</w:t>
      </w:r>
      <w:r>
        <w:rPr>
          <w:rFonts w:eastAsia="Times New Roman" w:cs="Times New Roman"/>
          <w:lang w:val="en-US" w:eastAsia="fr-FR"/>
        </w:rPr>
      </w:r>
    </w:p>
    <w:p>
      <w:pPr>
        <w:numPr>
          <w:ilvl w:val="0"/>
          <w:numId w:val="15"/>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lang w:val="en-US" w:eastAsia="fr-FR"/>
        </w:rPr>
        <w:t xml:space="preserve">Annexes (data sources, references, validation records).</w:t>
      </w:r>
      <w:r>
        <w:rPr>
          <w:rFonts w:eastAsia="Times New Roman" w:cs="Times New Roman"/>
          <w:lang w:val="en-US" w:eastAsia="fr-FR"/>
        </w:rPr>
        <w:br/>
        <w:t xml:space="preserve">All outputs must include the following </w:t>
      </w:r>
      <w:r>
        <w:rPr>
          <w:rFonts w:eastAsia="Times New Roman" w:cs="Times New Roman"/>
          <w:b/>
          <w:bCs/>
          <w:lang w:val="en-US" w:eastAsia="fr-FR"/>
        </w:rPr>
        <w:t xml:space="preserve">disclaimer</w:t>
      </w:r>
      <w:r>
        <w:rPr>
          <w:rFonts w:eastAsia="Times New Roman" w:cs="Times New Roman"/>
          <w:lang w:val="en-US" w:eastAsia="fr-FR"/>
        </w:rPr>
        <w:t xml:space="preserve">:</w:t>
      </w:r>
      <w:r>
        <w:rPr>
          <w:rFonts w:eastAsia="Times New Roman" w:cs="Times New Roman"/>
          <w:lang w:val="en-US" w:eastAsia="fr-FR"/>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“This document was produced with the financial support of the European Union. Its contents are the sole responsibility of Expertise France and do not necessarily reflect the views of the European Union.”</w:t>
      </w:r>
      <w:r>
        <w:rPr>
          <w:rFonts w:eastAsia="Times New Roman" w:cs="Times New Roman"/>
          <w:lang w:val="en-US" w:eastAsia="fr-FR"/>
        </w:rPr>
      </w:r>
    </w:p>
    <w:p>
      <w:pPr>
        <w:pStyle w:val="878"/>
        <w:numPr>
          <w:ilvl w:val="1"/>
          <w:numId w:val="9"/>
        </w:numPr>
        <w:pBdr/>
        <w:shd w:val="clear" w:color="auto" w:fill="95b3d7" w:themeFill="accent1" w:themeFillTint="99"/>
        <w:spacing w:line="300" w:lineRule="atLeast"/>
        <w:ind/>
        <w:outlineLvl w:val="1"/>
        <w:rPr>
          <w:b/>
          <w:bCs/>
          <w:color w:val="ffffff" w:themeColor="background1"/>
        </w:rPr>
      </w:pPr>
      <w:r>
        <w:rPr>
          <w:b/>
          <w:bCs/>
          <w:color w:val="ffffff" w:themeColor="background1"/>
        </w:rPr>
        <w:t xml:space="preserve">Confidentiality</w:t>
      </w:r>
      <w:r>
        <w:rPr>
          <w:b/>
          <w:bCs/>
          <w:color w:val="ffffff" w:themeColor="background1"/>
        </w:rPr>
        <w:t xml:space="preserve"> and Communication </w:t>
      </w:r>
      <w:r>
        <w:rPr>
          <w:b/>
          <w:bCs/>
          <w:color w:val="ffffff" w:themeColor="background1"/>
        </w:rPr>
        <w:t xml:space="preserve">Ethics</w:t>
      </w:r>
      <w:r>
        <w:rPr>
          <w:b/>
          <w:bCs/>
          <w:color w:val="ffffff" w:themeColor="background1"/>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All public or external communications (including presentations, interviews, or citations) must receive </w:t>
      </w:r>
      <w:r>
        <w:rPr>
          <w:rFonts w:eastAsia="Times New Roman" w:cs="Times New Roman"/>
          <w:b/>
          <w:bCs/>
          <w:lang w:val="en-US" w:eastAsia="fr-FR"/>
        </w:rPr>
        <w:t xml:space="preserve">prior written </w:t>
      </w:r>
      <w:r>
        <w:rPr>
          <w:rFonts w:eastAsia="Times New Roman" w:cs="Times New Roman"/>
          <w:b/>
          <w:bCs/>
          <w:lang w:val="en-US" w:eastAsia="fr-FR"/>
        </w:rPr>
        <w:t xml:space="preserve">authorisation</w:t>
      </w:r>
      <w:r>
        <w:rPr>
          <w:rFonts w:eastAsia="Times New Roman" w:cs="Times New Roman"/>
          <w:b/>
          <w:bCs/>
          <w:lang w:val="en-US" w:eastAsia="fr-FR"/>
        </w:rPr>
        <w:t xml:space="preserve"> from Expertise France</w:t>
      </w:r>
      <w:r>
        <w:rPr>
          <w:rFonts w:eastAsia="Times New Roman" w:cs="Times New Roman"/>
          <w:lang w:val="en-US" w:eastAsia="fr-FR"/>
        </w:rPr>
        <w:t xml:space="preserve">. No information collected during the mission may be disclosed without EF’s explicit consent.</w:t>
      </w:r>
      <w:r>
        <w:rPr>
          <w:rFonts w:eastAsia="Times New Roman" w:cs="Times New Roman"/>
          <w:lang w:val="en-US" w:eastAsia="fr-FR"/>
        </w:rPr>
      </w:r>
    </w:p>
    <w:p>
      <w:pPr>
        <w:pStyle w:val="862"/>
        <w:pBdr/>
        <w:spacing/>
        <w:ind/>
        <w:rPr>
          <w:lang w:val="en-IE"/>
        </w:rPr>
      </w:pPr>
      <w:r>
        <w:rPr>
          <w:lang w:val="en-IE"/>
        </w:rPr>
        <w:t xml:space="preserve">Administrative and Logistical Arrangements</w:t>
      </w:r>
      <w:r>
        <w:rPr>
          <w:lang w:val="en-IE"/>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The inception mission will be managed operationally by </w:t>
      </w:r>
      <w:r>
        <w:rPr>
          <w:rFonts w:eastAsia="Times New Roman" w:cs="Times New Roman"/>
          <w:b/>
          <w:bCs/>
          <w:lang w:val="en-US" w:eastAsia="fr-FR"/>
        </w:rPr>
        <w:t xml:space="preserve">Expertise France – Libya Office</w:t>
      </w:r>
      <w:r>
        <w:rPr>
          <w:rFonts w:eastAsia="Times New Roman" w:cs="Times New Roman"/>
          <w:lang w:val="en-US" w:eastAsia="fr-FR"/>
        </w:rPr>
        <w:t xml:space="preserve">, with coordination from the </w:t>
      </w:r>
      <w:r>
        <w:rPr>
          <w:rFonts w:eastAsia="Times New Roman" w:cs="Times New Roman"/>
          <w:b/>
          <w:bCs/>
          <w:lang w:val="en-US" w:eastAsia="fr-FR"/>
        </w:rPr>
        <w:t xml:space="preserve">Programme</w:t>
      </w:r>
      <w:r>
        <w:rPr>
          <w:rFonts w:eastAsia="Times New Roman" w:cs="Times New Roman"/>
          <w:b/>
          <w:bCs/>
          <w:lang w:val="en-US" w:eastAsia="fr-FR"/>
        </w:rPr>
        <w:t xml:space="preserve"> Manager</w:t>
      </w:r>
      <w:r>
        <w:rPr>
          <w:rFonts w:eastAsia="Times New Roman" w:cs="Times New Roman"/>
          <w:lang w:val="en-US" w:eastAsia="fr-FR"/>
        </w:rPr>
        <w:t xml:space="preserve"> and support from the </w:t>
      </w:r>
      <w:r>
        <w:rPr>
          <w:rFonts w:eastAsia="Times New Roman" w:cs="Times New Roman"/>
          <w:b/>
          <w:bCs/>
          <w:lang w:val="en-US" w:eastAsia="fr-FR"/>
        </w:rPr>
        <w:t xml:space="preserve">Tunis-based EF support unit</w:t>
      </w:r>
      <w:r>
        <w:rPr>
          <w:rFonts w:eastAsia="Times New Roman" w:cs="Times New Roman"/>
          <w:lang w:val="en-US" w:eastAsia="fr-FR"/>
        </w:rPr>
        <w:t xml:space="preserve">.</w:t>
      </w:r>
      <w:r>
        <w:rPr>
          <w:rFonts w:eastAsia="Times New Roman" w:cs="Times New Roman"/>
          <w:lang w:val="en-US" w:eastAsia="fr-FR"/>
        </w:rPr>
      </w:r>
    </w:p>
    <w:p>
      <w:pPr>
        <w:keepNext w:val="true"/>
        <w:keepLines w:val="true"/>
        <w:pBdr/>
        <w:spacing w:after="0" w:before="40"/>
        <w:ind/>
        <w:outlineLvl w:val="3"/>
        <w:rPr>
          <w:rFonts w:asciiTheme="majorHAnsi" w:hAnsiTheme="majorHAnsi" w:eastAsiaTheme="majorEastAsia" w:cstheme="majorBidi"/>
          <w:b/>
          <w:bCs/>
          <w:i/>
          <w:iCs w:val="0"/>
          <w:color w:val="365f91" w:themeColor="accent1" w:themeShade="BF"/>
          <w:lang w:val="en-US"/>
        </w:rPr>
      </w:pPr>
      <w:r>
        <w:rPr>
          <w:rFonts w:eastAsiaTheme="majorEastAsia" w:cstheme="majorBidi"/>
          <w:b/>
          <w:bCs/>
          <w:i/>
          <w:iCs w:val="0"/>
          <w:color w:val="365f91" w:themeColor="accent1" w:themeShade="BF"/>
          <w:lang w:val="en-US"/>
        </w:rPr>
        <w:t xml:space="preserve">Mission Base and Mobility</w:t>
      </w:r>
      <w:r>
        <w:rPr>
          <w:rFonts w:asciiTheme="majorHAnsi" w:hAnsiTheme="majorHAnsi" w:eastAsiaTheme="majorEastAsia" w:cstheme="majorBidi"/>
          <w:b/>
          <w:bCs/>
          <w:i/>
          <w:iCs w:val="0"/>
          <w:color w:val="365f91" w:themeColor="accent1" w:themeShade="BF"/>
          <w:lang w:val="en-US"/>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The expert team will operate primarily from </w:t>
      </w:r>
      <w:r>
        <w:rPr>
          <w:rFonts w:eastAsia="Times New Roman" w:cs="Times New Roman"/>
          <w:b/>
          <w:bCs/>
          <w:lang w:val="en-US" w:eastAsia="fr-FR"/>
        </w:rPr>
        <w:t xml:space="preserve">Tunis</w:t>
      </w:r>
      <w:r>
        <w:rPr>
          <w:rFonts w:eastAsia="Times New Roman" w:cs="Times New Roman"/>
          <w:lang w:val="en-US" w:eastAsia="fr-FR"/>
        </w:rPr>
        <w:t xml:space="preserve"> and </w:t>
      </w:r>
      <w:r>
        <w:rPr>
          <w:rFonts w:eastAsia="Times New Roman" w:cs="Times New Roman"/>
          <w:b/>
          <w:bCs/>
          <w:lang w:val="en-US" w:eastAsia="fr-FR"/>
        </w:rPr>
        <w:t xml:space="preserve">Tripoli</w:t>
      </w:r>
      <w:r>
        <w:rPr>
          <w:rFonts w:eastAsia="Times New Roman" w:cs="Times New Roman"/>
          <w:lang w:val="en-US" w:eastAsia="fr-FR"/>
        </w:rPr>
        <w:t xml:space="preserve">, depending on sec</w:t>
      </w:r>
      <w:r>
        <w:rPr>
          <w:rFonts w:eastAsia="Times New Roman" w:cs="Times New Roman"/>
          <w:lang w:val="en-US" w:eastAsia="fr-FR"/>
        </w:rPr>
        <w:t xml:space="preserve">urity conditions and access permissions. Short-term missions to Libya will be planned and approved by EF based on feasibility, visa issuance, and safety advisories. Remote collaboration mechanisms will be established when physical presence is not possible.</w:t>
      </w:r>
      <w:r>
        <w:rPr>
          <w:rFonts w:eastAsia="Times New Roman" w:cs="Times New Roman"/>
          <w:lang w:val="en-US" w:eastAsia="fr-FR"/>
        </w:rPr>
      </w:r>
    </w:p>
    <w:p>
      <w:pPr>
        <w:keepNext w:val="true"/>
        <w:keepLines w:val="true"/>
        <w:pBdr/>
        <w:spacing w:after="0" w:before="40"/>
        <w:ind/>
        <w:outlineLvl w:val="3"/>
        <w:rPr>
          <w:rFonts w:asciiTheme="majorHAnsi" w:hAnsiTheme="majorHAnsi" w:eastAsiaTheme="majorEastAsia" w:cstheme="majorBidi"/>
          <w:b/>
          <w:bCs/>
          <w:i/>
          <w:iCs w:val="0"/>
          <w:color w:val="365f91" w:themeColor="accent1" w:themeShade="BF"/>
          <w:lang w:val="en-US"/>
        </w:rPr>
      </w:pPr>
      <w:r>
        <w:rPr>
          <w:rFonts w:eastAsiaTheme="majorEastAsia" w:cstheme="majorBidi"/>
          <w:b/>
          <w:bCs/>
          <w:i/>
          <w:iCs w:val="0"/>
          <w:color w:val="365f91" w:themeColor="accent1" w:themeShade="BF"/>
          <w:lang w:val="en-US"/>
        </w:rPr>
        <w:t xml:space="preserve">Travel and Security</w:t>
      </w:r>
      <w:r>
        <w:rPr>
          <w:rFonts w:asciiTheme="majorHAnsi" w:hAnsiTheme="majorHAnsi" w:eastAsiaTheme="majorEastAsia" w:cstheme="majorBidi"/>
          <w:b/>
          <w:bCs/>
          <w:i/>
          <w:iCs w:val="0"/>
          <w:color w:val="365f91" w:themeColor="accent1" w:themeShade="BF"/>
          <w:lang w:val="en-US"/>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All international and domestic travel must comply with </w:t>
      </w:r>
      <w:r>
        <w:rPr>
          <w:rFonts w:eastAsia="Times New Roman" w:cs="Times New Roman"/>
          <w:b/>
          <w:bCs/>
          <w:lang w:val="en-US" w:eastAsia="fr-FR"/>
        </w:rPr>
        <w:t xml:space="preserve">EF’s security and travel protocols for service providers</w:t>
      </w:r>
      <w:r>
        <w:rPr>
          <w:rFonts w:eastAsia="Times New Roman" w:cs="Times New Roman"/>
          <w:lang w:val="en-US" w:eastAsia="fr-FR"/>
        </w:rPr>
        <w:t xml:space="preserve">. Experts will receive a </w:t>
      </w:r>
      <w:r>
        <w:rPr>
          <w:rFonts w:eastAsia="Times New Roman" w:cs="Times New Roman"/>
          <w:b/>
          <w:bCs/>
          <w:lang w:val="en-US" w:eastAsia="fr-FR"/>
        </w:rPr>
        <w:t xml:space="preserve">security briefing and clearance</w:t>
      </w:r>
      <w:r>
        <w:rPr>
          <w:rFonts w:eastAsia="Times New Roman" w:cs="Times New Roman"/>
          <w:lang w:val="en-US" w:eastAsia="fr-FR"/>
        </w:rPr>
        <w:t xml:space="preserve"> prior to deployment in Libya. Travel arrangements, accommodation, and on-ground logistics will be coordinated by EF Libya’s Administration and Operations Unit.</w:t>
      </w:r>
      <w:r>
        <w:rPr>
          <w:rFonts w:eastAsia="Times New Roman" w:cs="Times New Roman"/>
          <w:lang w:val="en-US" w:eastAsia="fr-FR"/>
        </w:rPr>
      </w:r>
    </w:p>
    <w:p>
      <w:pPr>
        <w:keepNext w:val="true"/>
        <w:keepLines w:val="true"/>
        <w:pBdr/>
        <w:spacing w:after="0" w:before="40"/>
        <w:ind/>
        <w:outlineLvl w:val="3"/>
        <w:rPr>
          <w:rFonts w:asciiTheme="majorHAnsi" w:hAnsiTheme="majorHAnsi" w:eastAsiaTheme="majorEastAsia" w:cstheme="majorBidi"/>
          <w:b/>
          <w:bCs/>
          <w:i/>
          <w:iCs w:val="0"/>
          <w:color w:val="365f91" w:themeColor="accent1" w:themeShade="BF"/>
          <w:lang w:val="en-US"/>
        </w:rPr>
      </w:pPr>
      <w:r>
        <w:rPr>
          <w:rFonts w:eastAsiaTheme="majorEastAsia" w:cstheme="majorBidi"/>
          <w:b/>
          <w:bCs/>
          <w:i/>
          <w:iCs w:val="0"/>
          <w:color w:val="365f91" w:themeColor="accent1" w:themeShade="BF"/>
          <w:lang w:val="en-US"/>
        </w:rPr>
        <w:t xml:space="preserve">Administrative Coordination</w:t>
      </w:r>
      <w:r>
        <w:rPr>
          <w:rFonts w:asciiTheme="majorHAnsi" w:hAnsiTheme="majorHAnsi" w:eastAsiaTheme="majorEastAsia" w:cstheme="majorBidi"/>
          <w:b/>
          <w:bCs/>
          <w:i/>
          <w:iCs w:val="0"/>
          <w:color w:val="365f91" w:themeColor="accent1" w:themeShade="BF"/>
          <w:lang w:val="en-US"/>
        </w:rPr>
      </w:r>
    </w:p>
    <w:p>
      <w:pPr>
        <w:pBdr/>
        <w:spacing w:after="100" w:afterAutospacing="1" w:before="100" w:beforeAutospacing="1"/>
        <w:ind/>
        <w:rPr>
          <w:rFonts w:eastAsia="Times New Roman" w:cs="Times New Roman"/>
          <w:lang w:val="en-IE" w:eastAsia="fr-FR"/>
        </w:rPr>
      </w:pPr>
      <w:r>
        <w:rPr>
          <w:rFonts w:eastAsia="Times New Roman" w:cs="Times New Roman"/>
          <w:lang w:val="en-IE" w:eastAsia="fr-FR"/>
        </w:rPr>
        <w:t xml:space="preserve">EF Libya will facilitate:</w:t>
      </w:r>
      <w:r>
        <w:rPr>
          <w:rFonts w:eastAsia="Times New Roman" w:cs="Times New Roman"/>
          <w:lang w:val="en-IE" w:eastAsia="fr-FR"/>
        </w:rPr>
      </w:r>
    </w:p>
    <w:p>
      <w:pPr>
        <w:numPr>
          <w:ilvl w:val="0"/>
          <w:numId w:val="16"/>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b/>
          <w:bCs/>
          <w:lang w:val="en-US" w:eastAsia="fr-FR"/>
        </w:rPr>
        <w:t xml:space="preserve">Visa requests and administrative clearances</w:t>
      </w:r>
      <w:r>
        <w:rPr>
          <w:rFonts w:eastAsia="Times New Roman" w:cs="Times New Roman"/>
          <w:lang w:val="en-US" w:eastAsia="fr-FR"/>
        </w:rPr>
        <w:t xml:space="preserve">, in coordination with national authorities;</w:t>
      </w:r>
      <w:r>
        <w:rPr>
          <w:rFonts w:eastAsia="Times New Roman" w:cs="Times New Roman"/>
          <w:lang w:val="en-US" w:eastAsia="fr-FR"/>
        </w:rPr>
      </w:r>
    </w:p>
    <w:p>
      <w:pPr>
        <w:numPr>
          <w:ilvl w:val="0"/>
          <w:numId w:val="16"/>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b/>
          <w:bCs/>
          <w:lang w:val="en-US" w:eastAsia="fr-FR"/>
        </w:rPr>
        <w:t xml:space="preserve">Office access and local transportation</w:t>
      </w:r>
      <w:r>
        <w:rPr>
          <w:rFonts w:eastAsia="Times New Roman" w:cs="Times New Roman"/>
          <w:lang w:val="en-US" w:eastAsia="fr-FR"/>
        </w:rPr>
        <w:t xml:space="preserve"> during in-country missions;</w:t>
      </w:r>
      <w:r>
        <w:rPr>
          <w:rFonts w:eastAsia="Times New Roman" w:cs="Times New Roman"/>
          <w:lang w:val="en-US" w:eastAsia="fr-FR"/>
        </w:rPr>
      </w:r>
    </w:p>
    <w:p>
      <w:pPr>
        <w:pBdr/>
        <w:tabs>
          <w:tab w:val="clear" w:leader="none" w:pos="9923"/>
        </w:tabs>
        <w:spacing w:after="100" w:afterAutospacing="1" w:before="100" w:beforeAutospacing="1"/>
        <w:ind w:left="720"/>
        <w:jc w:val="left"/>
        <w:rPr>
          <w:rFonts w:eastAsia="Times New Roman" w:cs="Times New Roman"/>
          <w:lang w:val="en-US" w:eastAsia="fr-FR"/>
        </w:rPr>
      </w:pPr>
      <w:r>
        <w:rPr>
          <w:rFonts w:eastAsia="Times New Roman" w:cs="Times New Roman"/>
          <w:lang w:val="en-US" w:eastAsia="fr-FR"/>
        </w:rPr>
      </w:r>
      <w:r>
        <w:rPr>
          <w:rFonts w:eastAsia="Times New Roman" w:cs="Times New Roman"/>
          <w:lang w:val="en-US" w:eastAsia="fr-FR"/>
        </w:rPr>
      </w:r>
    </w:p>
    <w:p>
      <w:pPr>
        <w:keepNext w:val="true"/>
        <w:keepLines w:val="true"/>
        <w:pBdr/>
        <w:spacing w:after="0" w:before="40"/>
        <w:ind/>
        <w:outlineLvl w:val="3"/>
        <w:rPr>
          <w:rFonts w:asciiTheme="majorHAnsi" w:hAnsiTheme="majorHAnsi" w:eastAsiaTheme="majorEastAsia" w:cstheme="majorBidi"/>
          <w:b/>
          <w:bCs/>
          <w:i/>
          <w:iCs w:val="0"/>
          <w:color w:val="365f91" w:themeColor="accent1" w:themeShade="BF"/>
          <w:lang w:val="en-US"/>
        </w:rPr>
      </w:pPr>
      <w:r>
        <w:rPr>
          <w:rFonts w:eastAsiaTheme="majorEastAsia" w:cstheme="majorBidi"/>
          <w:b/>
          <w:bCs/>
          <w:i/>
          <w:iCs w:val="0"/>
          <w:color w:val="365f91" w:themeColor="accent1" w:themeShade="BF"/>
          <w:lang w:val="en-US"/>
        </w:rPr>
        <w:t xml:space="preserve">Working Modalities</w:t>
      </w:r>
      <w:r>
        <w:rPr>
          <w:rFonts w:asciiTheme="majorHAnsi" w:hAnsiTheme="majorHAnsi" w:eastAsiaTheme="majorEastAsia" w:cstheme="majorBidi"/>
          <w:b/>
          <w:bCs/>
          <w:i/>
          <w:iCs w:val="0"/>
          <w:color w:val="365f91" w:themeColor="accent1" w:themeShade="BF"/>
          <w:lang w:val="en-US"/>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Experts are expected to work both </w:t>
      </w:r>
      <w:r>
        <w:rPr>
          <w:rFonts w:eastAsia="Times New Roman" w:cs="Times New Roman"/>
          <w:b/>
          <w:bCs/>
          <w:lang w:val="en-US" w:eastAsia="fr-FR"/>
        </w:rPr>
        <w:t xml:space="preserve">on-site and remotely</w:t>
      </w:r>
      <w:r>
        <w:rPr>
          <w:rFonts w:eastAsia="Times New Roman" w:cs="Times New Roman"/>
          <w:lang w:val="en-US" w:eastAsia="fr-FR"/>
        </w:rPr>
        <w:t xml:space="preserve">, maintaining continuous communication with EF. All mission costs (travel, accommodation, per diem) will be managed in accordance with </w:t>
      </w:r>
      <w:r>
        <w:rPr>
          <w:rFonts w:eastAsia="Times New Roman" w:cs="Times New Roman"/>
          <w:b/>
          <w:bCs/>
          <w:lang w:val="en-US" w:eastAsia="fr-FR"/>
        </w:rPr>
        <w:t xml:space="preserve">EF’s financial regulations</w:t>
      </w:r>
      <w:r>
        <w:rPr>
          <w:rFonts w:eastAsia="Times New Roman" w:cs="Times New Roman"/>
          <w:lang w:val="en-US" w:eastAsia="fr-FR"/>
        </w:rPr>
        <w:t xml:space="preserve"> and </w:t>
      </w:r>
      <w:r>
        <w:rPr>
          <w:rFonts w:eastAsia="Times New Roman" w:cs="Times New Roman"/>
          <w:b/>
          <w:bCs/>
          <w:lang w:val="en-US" w:eastAsia="fr-FR"/>
        </w:rPr>
        <w:t xml:space="preserve">EU contractual procedures</w:t>
      </w:r>
      <w:r>
        <w:rPr>
          <w:rFonts w:eastAsia="Times New Roman" w:cs="Times New Roman"/>
          <w:lang w:val="en-US" w:eastAsia="fr-FR"/>
        </w:rPr>
        <w:t xml:space="preserve">.</w:t>
      </w:r>
      <w:r>
        <w:rPr>
          <w:rFonts w:eastAsia="Times New Roman" w:cs="Times New Roman"/>
          <w:lang w:val="en-US" w:eastAsia="fr-FR"/>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The expert team must ensure </w:t>
      </w:r>
      <w:r>
        <w:rPr>
          <w:rFonts w:eastAsia="Times New Roman" w:cs="Times New Roman"/>
          <w:b/>
          <w:bCs/>
          <w:lang w:val="en-US" w:eastAsia="fr-FR"/>
        </w:rPr>
        <w:t xml:space="preserve">availability, adaptability, and operational discipline</w:t>
      </w:r>
      <w:r>
        <w:rPr>
          <w:rFonts w:eastAsia="Times New Roman" w:cs="Times New Roman"/>
          <w:lang w:val="en-US" w:eastAsia="fr-FR"/>
        </w:rPr>
        <w:t xml:space="preserve"> to deliver high-quality outputs within the agreed timeline and under EF’s supervision.</w:t>
      </w:r>
      <w:r>
        <w:rPr>
          <w:rFonts w:eastAsia="Times New Roman" w:cs="Times New Roman"/>
          <w:lang w:val="en-US" w:eastAsia="fr-FR"/>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r>
      <w:r>
        <w:rPr>
          <w:rFonts w:eastAsia="Times New Roman" w:cs="Times New Roman"/>
          <w:lang w:val="en-US" w:eastAsia="fr-FR"/>
        </w:rPr>
      </w:r>
    </w:p>
    <w:p>
      <w:pPr>
        <w:pBdr/>
        <w:spacing/>
        <w:ind/>
        <w:rPr>
          <w:lang w:val="en-US"/>
        </w:rPr>
      </w:pPr>
      <w:r>
        <w:rPr>
          <w:lang w:val="en-US"/>
        </w:rPr>
      </w:r>
      <w:r>
        <w:rPr>
          <w:lang w:val="en-US"/>
        </w:rPr>
      </w:r>
    </w:p>
    <w:p>
      <w:pPr>
        <w:pBdr/>
        <w:spacing/>
        <w:ind/>
        <w:rPr>
          <w:lang w:val="en-US"/>
        </w:rPr>
      </w:pPr>
      <w:r>
        <w:rPr>
          <w:lang w:val="en-US"/>
        </w:rPr>
      </w:r>
      <w:r>
        <w:rPr>
          <w:lang w:val="en-US"/>
        </w:rPr>
      </w:r>
    </w:p>
    <w:p>
      <w:pPr>
        <w:pBdr/>
        <w:spacing/>
        <w:ind/>
        <w:rPr>
          <w:lang w:val="en-US"/>
        </w:rPr>
      </w:pPr>
      <w:r>
        <w:rPr>
          <w:lang w:val="en-US"/>
        </w:rPr>
      </w:r>
      <w:r>
        <w:rPr>
          <w:lang w:val="en-US"/>
        </w:rPr>
      </w:r>
    </w:p>
    <w:p>
      <w:pPr>
        <w:pBdr/>
        <w:spacing/>
        <w:ind/>
        <w:rPr>
          <w:lang w:val="en-US"/>
        </w:rPr>
      </w:pPr>
      <w:r>
        <w:rPr>
          <w:lang w:val="en-US"/>
        </w:rPr>
      </w:r>
      <w:r>
        <w:rPr>
          <w:lang w:val="en-US"/>
        </w:rPr>
      </w:r>
    </w:p>
    <w:sectPr>
      <w:headerReference w:type="default" r:id="rId9"/>
      <w:footerReference w:type="default" r:id="rId10"/>
      <w:footerReference w:type="even" r:id="rId11"/>
      <w:footnotePr/>
      <w:endnotePr/>
      <w:type w:val="nextPage"/>
      <w:pgSz w:h="16840" w:orient="portrait" w:w="11900"/>
      <w:pgMar w:top="1134" w:right="1127" w:bottom="1134" w:left="1276" w:header="709" w:footer="59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p>
      <w:pPr>
        <w:pBdr/>
        <w:spacing/>
        <w:ind/>
        <w:rPr/>
      </w:pPr>
      <w:r/>
      <w:r/>
    </w:p>
  </w:endnote>
  <w:endnote w:type="continuationSeparator" w:id="0">
    <w:p>
      <w:pPr>
        <w:pBdr/>
        <w:spacing/>
        <w:ind/>
        <w:rPr/>
      </w:pPr>
      <w:r>
        <w:continuationSeparator/>
      </w:r>
      <w:r/>
    </w:p>
    <w:p>
      <w:pPr>
        <w:pBdr/>
        <w:spacing/>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Wingdings">
    <w:panose1 w:val="05000000000000000000"/>
  </w:font>
  <w:font w:name="Symbol">
    <w:panose1 w:val="05010000000000000000"/>
  </w:font>
  <w:font w:name="Calibri">
    <w:panose1 w:val="020F0502020204030204"/>
  </w:font>
  <w:font w:name="Calibri-Italic">
    <w:panose1 w:val="02020702060506020403"/>
  </w:font>
  <w:font w:name="Courier New">
    <w:panose1 w:val="02070309020205020404"/>
  </w:font>
  <w:font w:name="Segoe UI">
    <w:panose1 w:val="020B0502040504020204"/>
  </w:font>
  <w:font w:name="Times New Roman (Corps CS)">
    <w:panose1 w:val="02020603050405020304"/>
  </w:font>
  <w:font w:name="Verdana-Italic">
    <w:panose1 w:val="020B0604030504040204"/>
  </w:font>
  <w:font w:name="MyriadPro-Regular-Identity-H">
    <w:panose1 w:val="02020702060506020403"/>
  </w:font>
  <w:font w:name="Verdana-Bold">
    <w:panose1 w:val="020B0604030504040204"/>
  </w:font>
  <w:font w:name="Times New Roman">
    <w:panose1 w:val="02020603050405020304"/>
  </w:font>
  <w:font w:name="Verdana">
    <w:panose1 w:val="020B0604030504040204"/>
  </w:font>
  <w:font w:name="Tw Cen MT">
    <w:panose1 w:val="020B0603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6"/>
      <w:pBdr/>
      <w:spacing/>
      <w:ind/>
      <w:rPr/>
    </w:pP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57728" behindDoc="1" locked="0" layoutInCell="1" allowOverlap="1">
              <wp:simplePos x="0" y="0"/>
              <wp:positionH relativeFrom="column">
                <wp:posOffset>5456555</wp:posOffset>
              </wp:positionH>
              <wp:positionV relativeFrom="paragraph">
                <wp:posOffset>-116205</wp:posOffset>
              </wp:positionV>
              <wp:extent cx="447040" cy="447040"/>
              <wp:effectExtent l="0" t="0" r="10160" b="10160"/>
              <wp:wrapNone/>
              <wp:docPr id="2" name="Ellipse 26"/>
              <wp:cNvGraphicFramePr/>
              <a:graphic xmlns:a="http://schemas.openxmlformats.org/drawingml/2006/main">
                <a:graphicData uri="http://schemas.microsoft.com/office/word/2010/wordprocessingShape">
                  <wps:wsp>
                    <wps:cNvPr id="0" name=""/>
                    <wps:cNvSpPr/>
                    <wps:spPr bwMode="auto">
                      <a:xfrm>
                        <a:off x="0" y="0"/>
                        <a:ext cx="447040" cy="447040"/>
                      </a:xfrm>
                      <a:prstGeom prst="ellipse">
                        <a:avLst/>
                      </a:prstGeom>
                      <a:solidFill>
                        <a:srgbClr val="E9E4DE"/>
                      </a:solidFill>
                      <a:ln>
                        <a:noFill/>
                      </a:ln>
                      <a:effectLst/>
                    </wps:spPr>
                    <wps:style>
                      <a:lnRef idx="1">
                        <a:schemeClr val="accent1"/>
                      </a:lnRef>
                      <a:fillRef idx="3">
                        <a:schemeClr val="accent1"/>
                      </a:fillRef>
                      <a:effectRef idx="2">
                        <a:schemeClr val="accent1"/>
                      </a:effectRef>
                      <a:fontRef idx="minor">
                        <a:schemeClr val="lt1"/>
                      </a:fontRef>
                    </wps:style>
                    <wps:txbx>
                      <w:txbxContent>
                        <w:p>
                          <w:pPr>
                            <w:pStyle w:val="876"/>
                            <w:pBdr/>
                            <w:spacing/>
                            <w:ind/>
                            <w:rPr>
                              <w:rStyle w:val="879"/>
                              <w:color w:val="004979"/>
                            </w:rPr>
                          </w:pPr>
                          <w:r>
                            <w:rPr>
                              <w:rStyle w:val="879"/>
                              <w:color w:val="004979"/>
                            </w:rPr>
                            <w:fldChar w:fldCharType="begin"/>
                          </w:r>
                          <w:r>
                            <w:rPr>
                              <w:rStyle w:val="879"/>
                              <w:color w:val="004979"/>
                            </w:rPr>
                            <w:instrText xml:space="preserve">PAGE  </w:instrText>
                          </w:r>
                          <w:r>
                            <w:rPr>
                              <w:rStyle w:val="879"/>
                              <w:color w:val="004979"/>
                            </w:rPr>
                            <w:fldChar w:fldCharType="separate"/>
                          </w:r>
                          <w:r>
                            <w:rPr>
                              <w:rStyle w:val="879"/>
                              <w:color w:val="004979"/>
                            </w:rPr>
                            <w:t xml:space="preserve">2</w:t>
                          </w:r>
                          <w:r>
                            <w:rPr>
                              <w:rStyle w:val="879"/>
                              <w:color w:val="004979"/>
                            </w:rPr>
                            <w:fldChar w:fldCharType="end"/>
                          </w:r>
                          <w:r>
                            <w:rPr>
                              <w:rStyle w:val="879"/>
                              <w:color w:val="004979"/>
                            </w:rPr>
                          </w:r>
                        </w:p>
                        <w:p>
                          <w:pPr>
                            <w:pBdr/>
                            <w:spacing/>
                            <w:ind/>
                            <w:rPr/>
                          </w:pPr>
                          <w:r>
                            <w:t xml:space="preserve">1</w:t>
                          </w:r>
                          <w:r>
                            <w:fldChar w:fldCharType="begin"/>
                          </w:r>
                          <w:r>
                            <w:instrText xml:space="preserve">PAGE   \* MERGEFORMAT</w:instrText>
                          </w:r>
                          <w:r>
                            <w:fldChar w:fldCharType="separate"/>
                          </w:r>
                          <w:r>
                            <w:t xml:space="preserve">2</w:t>
                          </w:r>
                          <w:r>
                            <w:fldChar w:fldCharType="end"/>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 o:spid="_x0000_s1" o:spt="3" type="#_x0000_t3" style="position:absolute;z-index:-251657728;o:allowoverlap:true;o:allowincell:true;mso-position-horizontal-relative:text;margin-left:429.65pt;mso-position-horizontal:absolute;mso-position-vertical-relative:text;margin-top:-9.15pt;mso-position-vertical:absolute;width:35.20pt;height:35.20pt;mso-wrap-distance-left:9.00pt;mso-wrap-distance-top:0.00pt;mso-wrap-distance-right:9.00pt;mso-wrap-distance-bottom:0.00pt;v-text-anchor:middle;visibility:visible;" fillcolor="#E9E4DE" stroked="f" strokeweight="0.75pt">
              <v:stroke dashstyle="solid"/>
              <v:textbox inset="0,0,0,0">
                <w:txbxContent>
                  <w:p>
                    <w:pPr>
                      <w:pStyle w:val="876"/>
                      <w:pBdr/>
                      <w:spacing/>
                      <w:ind/>
                      <w:rPr>
                        <w:rStyle w:val="879"/>
                        <w:color w:val="004979"/>
                      </w:rPr>
                    </w:pPr>
                    <w:r>
                      <w:rPr>
                        <w:rStyle w:val="879"/>
                        <w:color w:val="004979"/>
                      </w:rPr>
                      <w:fldChar w:fldCharType="begin"/>
                    </w:r>
                    <w:r>
                      <w:rPr>
                        <w:rStyle w:val="879"/>
                        <w:color w:val="004979"/>
                      </w:rPr>
                      <w:instrText xml:space="preserve">PAGE  </w:instrText>
                    </w:r>
                    <w:r>
                      <w:rPr>
                        <w:rStyle w:val="879"/>
                        <w:color w:val="004979"/>
                      </w:rPr>
                      <w:fldChar w:fldCharType="separate"/>
                    </w:r>
                    <w:r>
                      <w:rPr>
                        <w:rStyle w:val="879"/>
                        <w:color w:val="004979"/>
                      </w:rPr>
                      <w:t xml:space="preserve">2</w:t>
                    </w:r>
                    <w:r>
                      <w:rPr>
                        <w:rStyle w:val="879"/>
                        <w:color w:val="004979"/>
                      </w:rPr>
                      <w:fldChar w:fldCharType="end"/>
                    </w:r>
                    <w:r>
                      <w:rPr>
                        <w:rStyle w:val="879"/>
                        <w:color w:val="004979"/>
                      </w:rPr>
                    </w:r>
                  </w:p>
                  <w:p>
                    <w:pPr>
                      <w:pBdr/>
                      <w:spacing/>
                      <w:ind/>
                      <w:rPr/>
                    </w:pPr>
                    <w:r>
                      <w:t xml:space="preserve">1</w:t>
                    </w:r>
                    <w:r>
                      <w:fldChar w:fldCharType="begin"/>
                    </w:r>
                    <w:r>
                      <w:instrText xml:space="preserve">PAGE   \* MERGEFORMAT</w:instrText>
                    </w:r>
                    <w:r>
                      <w:fldChar w:fldCharType="separate"/>
                    </w:r>
                    <w:r>
                      <w:t xml:space="preserve">2</w:t>
                    </w:r>
                    <w:r>
                      <w:fldChar w:fldCharType="end"/>
                    </w:r>
                    <w:r/>
                  </w:p>
                </w:txbxContent>
              </v:textbox>
            </v:shape>
          </w:pict>
        </mc:Fallback>
      </mc:AlternateContent>
    </w:r>
    <w:r>
      <w:tab/>
    </w:r>
    <w:r>
      <w:tab/>
    </w:r>
    <w:r>
      <w:fldChar w:fldCharType="begin"/>
    </w:r>
    <w:r>
      <w:instrText xml:space="preserve">PAGE   \* MERGEFORMAT</w:instrText>
    </w:r>
    <w:r>
      <w:fldChar w:fldCharType="separate"/>
    </w:r>
    <w:r>
      <w:t xml:space="preserve">2</w:t>
    </w:r>
    <w: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6"/>
      <w:pBdr/>
      <w:spacing/>
      <w:ind/>
      <w:rPr>
        <w:rStyle w:val="879"/>
      </w:rPr>
    </w:pPr>
    <w:r>
      <w:rPr>
        <w:rStyle w:val="879"/>
      </w:rPr>
      <w:fldChar w:fldCharType="begin"/>
    </w:r>
    <w:r>
      <w:rPr>
        <w:rStyle w:val="879"/>
      </w:rPr>
      <w:instrText xml:space="preserve">PAGE  </w:instrText>
    </w:r>
    <w:r>
      <w:rPr>
        <w:rStyle w:val="879"/>
      </w:rPr>
      <w:fldChar w:fldCharType="separate"/>
    </w:r>
    <w:r>
      <w:rPr>
        <w:rStyle w:val="879"/>
      </w:rPr>
      <w:t xml:space="preserve">1</w:t>
    </w:r>
    <w:r>
      <w:rPr>
        <w:rStyle w:val="879"/>
      </w:rPr>
      <w:fldChar w:fldCharType="end"/>
    </w:r>
    <w:r>
      <w:rPr>
        <w:rStyle w:val="879"/>
      </w:rPr>
    </w:r>
  </w:p>
  <w:p>
    <w:pPr>
      <w:pStyle w:val="87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p>
      <w:pPr>
        <w:pBdr/>
        <w:spacing/>
        <w:ind/>
        <w:rPr/>
      </w:pPr>
      <w:r/>
      <w:r/>
    </w:p>
  </w:footnote>
  <w:footnote w:type="continuationSeparator" w:id="0">
    <w:p>
      <w:pPr>
        <w:pBdr/>
        <w:spacing/>
        <w:ind/>
        <w:rPr/>
      </w:pPr>
      <w:r>
        <w:continuationSeparator/>
      </w:r>
      <w:r/>
    </w:p>
    <w:p>
      <w:pPr>
        <w:pBdr/>
        <w:spacing/>
        <w:ind/>
        <w:rPr/>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pBdr/>
      <w:spacing/>
      <w:ind/>
      <w:rPr/>
    </w:pPr>
    <w:r>
      <w:rPr>
        <w:rFonts w:asciiTheme="majorHAnsi" w:hAnsiTheme="majorHAnsi" w:cstheme="majorHAnsi"/>
        <w:b/>
        <w:color w:val="e36c0a" w:themeColor="accent6" w:themeShade="BF"/>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59776" behindDoc="0" locked="0" layoutInCell="1" allowOverlap="1">
              <wp:simplePos x="0" y="0"/>
              <wp:positionH relativeFrom="margin">
                <wp:align>right</wp:align>
              </wp:positionH>
              <wp:positionV relativeFrom="paragraph">
                <wp:posOffset>-316865</wp:posOffset>
              </wp:positionV>
              <wp:extent cx="987425" cy="504825"/>
              <wp:effectExtent l="0" t="0" r="0" b="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xpertise France - Fond transparent.png"/>
                      <pic:cNvPicPr>
                        <a:picLocks noChangeAspect="1"/>
                      </pic:cNvPicPr>
                      <pic:nvPr/>
                    </pic:nvPicPr>
                    <pic:blipFill>
                      <a:blip r:embed="rId1"/>
                      <a:stretch/>
                    </pic:blipFill>
                    <pic:spPr bwMode="auto">
                      <a:xfrm>
                        <a:off x="0" y="0"/>
                        <a:ext cx="987425" cy="50482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776;o:allowoverlap:true;o:allowincell:true;mso-position-horizontal-relative:margin;mso-position-horizontal:right;mso-position-vertical-relative:text;margin-top:-24.95pt;mso-position-vertical:absolute;width:77.75pt;height:39.75pt;mso-wrap-distance-left:9.00pt;mso-wrap-distance-top:0.00pt;mso-wrap-distance-right:9.00pt;mso-wrap-distance-bottom:0.00pt;z-index:1;" stroked="false">
              <w10:wrap type="squar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360"/>
        </w:tabs>
        <w:spacing/>
        <w:ind w:hanging="360" w:left="360"/>
      </w:pPr>
      <w:pStyle w:val="953"/>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val=""/>
      <w:numFmt w:val="bullet"/>
      <w:pPr>
        <w:pBdr/>
        <w:tabs>
          <w:tab w:val="num" w:leader="none" w:pos="360"/>
        </w:tabs>
        <w:spacing/>
        <w:ind w:hanging="360" w:left="360"/>
      </w:pPr>
      <w:pStyle w:val="936"/>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1080"/>
      </w:pPr>
      <w:pStyle w:val="937"/>
      <w:rPr>
        <w:rFonts w:hint="default" w:ascii="Calibri" w:hAnsi="Calibri"/>
        <w:b w:val="0"/>
        <w:i w:val="0"/>
        <w:color w:val="4f81bd" w:themeColor="accent1"/>
        <w:sz w:val="21"/>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2."/>
      <w:numFmt w:val="decimal"/>
      <w:pPr>
        <w:pBdr/>
        <w:spacing/>
        <w:ind w:hanging="360" w:left="720"/>
      </w:pPr>
      <w:rPr>
        <w:rFonts w:hint="default"/>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styleLink w:val="880"/>
    <w:lvl w:ilvl="0">
      <w:isLgl w:val="false"/>
      <w:lvlJc w:val="left"/>
      <w:lvlText w:val="%1."/>
      <w:numFmt w:val="decimal"/>
      <w:pPr>
        <w:pBdr/>
        <w:spacing/>
        <w:ind w:hanging="360" w:left="360"/>
      </w:pPr>
      <w:pStyle w:val="881"/>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7">
    <w:lvl w:ilvl="0">
      <w:isLgl w:val="false"/>
      <w:lvlJc w:val="left"/>
      <w:lvlText w:val=""/>
      <w:numFmt w:val="bullet"/>
      <w:pPr>
        <w:pBdr/>
        <w:tabs>
          <w:tab w:val="num" w:leader="none" w:pos="1440"/>
        </w:tabs>
        <w:spacing/>
        <w:ind w:hanging="360" w:left="1440"/>
      </w:pPr>
      <w:rPr>
        <w:rFonts w:hint="default" w:ascii="Symbol" w:hAnsi="Symbol"/>
        <w:sz w:val="20"/>
      </w:rPr>
      <w:start w:val="1"/>
      <w:suff w:val="tab"/>
    </w:lvl>
    <w:lvl w:ilvl="1">
      <w:isLgl w:val="false"/>
      <w:lvlJc w:val="left"/>
      <w:lvlText w:val="o"/>
      <w:numFmt w:val="bullet"/>
      <w:pPr>
        <w:pBdr/>
        <w:tabs>
          <w:tab w:val="num" w:leader="none" w:pos="2160"/>
        </w:tabs>
        <w:spacing/>
        <w:ind w:hanging="360" w:left="2160"/>
      </w:pPr>
      <w:rPr>
        <w:rFonts w:hint="default" w:ascii="Courier New" w:hAnsi="Courier New"/>
        <w:sz w:val="20"/>
      </w:rPr>
      <w:start w:val="1"/>
      <w:suff w:val="tab"/>
    </w:lvl>
    <w:lvl w:ilvl="2">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3">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4">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5">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6">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7">
      <w:isLgl w:val="false"/>
      <w:lvlJc w:val="left"/>
      <w:lvlText w:val=""/>
      <w:numFmt w:val="bullet"/>
      <w:pPr>
        <w:pBdr/>
        <w:tabs>
          <w:tab w:val="num" w:leader="none" w:pos="6480"/>
        </w:tabs>
        <w:spacing/>
        <w:ind w:hanging="360" w:left="6480"/>
      </w:pPr>
      <w:rPr>
        <w:rFonts w:hint="default" w:ascii="Wingdings" w:hAnsi="Wingdings"/>
        <w:sz w:val="20"/>
      </w:rPr>
      <w:start w:val="1"/>
      <w:suff w:val="tab"/>
    </w:lvl>
    <w:lvl w:ilvl="8">
      <w:isLgl w:val="false"/>
      <w:lvlJc w:val="left"/>
      <w:lvlText w:val=""/>
      <w:numFmt w:val="bullet"/>
      <w:pPr>
        <w:pBdr/>
        <w:tabs>
          <w:tab w:val="num" w:leader="none" w:pos="7200"/>
        </w:tabs>
        <w:spacing/>
        <w:ind w:hanging="360" w:left="7200"/>
      </w:pPr>
      <w:rPr>
        <w:rFonts w:hint="default" w:ascii="Wingdings" w:hAnsi="Wingdings"/>
        <w:sz w:val="20"/>
      </w:rPr>
      <w:start w:val="1"/>
      <w:suff w:val="tab"/>
    </w:lvl>
  </w:abstractNum>
  <w:abstractNum w:abstractNumId="8">
    <w:lvl w:ilvl="0">
      <w:isLgl w:val="false"/>
      <w:lvlJc w:val="left"/>
      <w:lvlText w:val="-"/>
      <w:numFmt w:val="bullet"/>
      <w:pPr>
        <w:pBdr/>
        <w:spacing/>
        <w:ind w:hanging="360" w:left="1080"/>
      </w:pPr>
      <w:rPr>
        <w:rFonts w:hint="default" w:ascii="Open Sans" w:hAnsi="Open Sans" w:cs="Open Sans" w:eastAsiaTheme="minorEastAsia"/>
      </w:rPr>
      <w:start w:val="30"/>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0">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2">
    <w:lvl w:ilvl="0">
      <w:isLgl w:val="false"/>
      <w:lvlJc w:val="left"/>
      <w:lvlText w:val="%1."/>
      <w:numFmt w:val="decimal"/>
      <w:pPr>
        <w:pBdr/>
        <w:spacing/>
        <w:ind w:hanging="360" w:left="720"/>
      </w:pPr>
      <w:rPr>
        <w:rFonts w:hint="default"/>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lvl w:ilvl="0">
      <w:isLgl w:val="false"/>
      <w:lvlJc w:val="left"/>
      <w:lvlText w:val="%1."/>
      <w:numFmt w:val="decimal"/>
      <w:pPr>
        <w:pBdr/>
        <w:spacing/>
        <w:ind w:hanging="360" w:left="360"/>
      </w:pPr>
      <w:rPr>
        <w:rFonts w:hint="default"/>
        <w:b/>
        <w:bCs/>
        <w:i w:val="0"/>
        <w:iCs w:val="0"/>
        <w:color w:val="004979"/>
        <w:sz w:val="32"/>
        <w:szCs w:val="32"/>
        <w:u w:val="none"/>
      </w:rPr>
      <w:start w:val="1"/>
      <w:suff w:val="tab"/>
    </w:lvl>
    <w:lvl w:ilvl="1">
      <w:isLgl w:val="false"/>
      <w:lvlJc w:val="left"/>
      <w:lvlText w:val="%1.%2."/>
      <w:numFmt w:val="decimal"/>
      <w:pPr>
        <w:pBdr/>
        <w:spacing/>
        <w:ind w:hanging="432" w:left="792"/>
      </w:pPr>
      <w:pStyle w:val="882"/>
      <w:rPr>
        <w:rFonts w:hint="default"/>
        <w:b/>
        <w:bCs/>
        <w:i w:val="0"/>
        <w:iCs w:val="0"/>
        <w:color w:val="68b1e6"/>
        <w:sz w:val="24"/>
        <w:szCs w:val="24"/>
      </w:rPr>
      <w:start w:val="1"/>
      <w:suff w:val="tab"/>
    </w:lvl>
    <w:lvl w:ilvl="2">
      <w:isLgl w:val="false"/>
      <w:lvlJc w:val="left"/>
      <w:lvlText w:val="%1.%2.%3."/>
      <w:numFmt w:val="decimal"/>
      <w:pPr>
        <w:pBdr/>
        <w:spacing/>
        <w:ind w:hanging="504" w:left="1224"/>
      </w:pPr>
      <w:rPr>
        <w:rFonts w:hint="default"/>
      </w:rPr>
      <w:start w:val="1"/>
      <w:suff w:val="tab"/>
    </w:lvl>
    <w:lvl w:ilvl="3">
      <w:isLgl w:val="false"/>
      <w:lvlJc w:val="left"/>
      <w:lvlText w:val="%1.%2.%3.%4."/>
      <w:numFmt w:val="decimal"/>
      <w:pPr>
        <w:pBdr/>
        <w:spacing/>
        <w:ind w:hanging="648" w:left="1728"/>
      </w:pPr>
      <w:rPr>
        <w:rFonts w:hint="default"/>
      </w:rPr>
      <w:start w:val="1"/>
      <w:suff w:val="tab"/>
    </w:lvl>
    <w:lvl w:ilvl="4">
      <w:isLgl w:val="false"/>
      <w:lvlJc w:val="left"/>
      <w:lvlText w:val="%1.%2.%3.%4.%5."/>
      <w:numFmt w:val="decimal"/>
      <w:pPr>
        <w:pBdr/>
        <w:spacing/>
        <w:ind w:hanging="792" w:left="2232"/>
      </w:pPr>
      <w:rPr>
        <w:rFonts w:hint="default"/>
      </w:rPr>
      <w:start w:val="1"/>
      <w:suff w:val="tab"/>
    </w:lvl>
    <w:lvl w:ilvl="5">
      <w:isLgl w:val="false"/>
      <w:lvlJc w:val="left"/>
      <w:lvlText w:val="%1.%2.%3.%4.%5.%6."/>
      <w:numFmt w:val="decimal"/>
      <w:pPr>
        <w:pBdr/>
        <w:spacing/>
        <w:ind w:hanging="936" w:left="2736"/>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14">
    <w:lvl w:ilvl="0">
      <w:isLgl w:val="false"/>
      <w:lvlJc w:val="left"/>
      <w:lvlText w:val="-"/>
      <w:numFmt w:val="bullet"/>
      <w:pPr>
        <w:pBdr/>
        <w:spacing/>
        <w:ind w:hanging="360" w:left="1080"/>
      </w:pPr>
      <w:rPr>
        <w:rFonts w:hint="default" w:ascii="Open Sans" w:hAnsi="Open Sans" w:cs="Open Sans" w:eastAsiaTheme="minorEastAsia"/>
      </w:rPr>
      <w:start w:val="30"/>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6">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lvl w:ilvl="0">
      <w:isLgl w:val="false"/>
      <w:lvlJc w:val="left"/>
      <w:lvlText w:val="»"/>
      <w:numFmt w:val="bullet"/>
      <w:pPr>
        <w:pBdr/>
        <w:spacing/>
        <w:ind w:hanging="360" w:left="1429"/>
      </w:pPr>
      <w:pStyle w:val="878"/>
      <w:rPr>
        <w:rFonts w:hint="default" w:ascii="Calibri" w:hAnsi="Calibri"/>
        <w:b w:val="0"/>
        <w:i w:val="0"/>
        <w:color w:val="4f81bd" w:themeColor="accent1"/>
        <w:sz w:val="21"/>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18">
    <w:numStyleLink w:val="880"/>
    <w:lvl w:ilvl="0">
      <w:isLgl w:val="false"/>
      <w:lvlJc w:val="left"/>
      <w:lvlText/>
      <w:numFmt w:val="bullet"/>
      <w:pPr>
        <w:pBdr/>
        <w:spacing/>
        <w:ind/>
      </w:pPr>
      <w:rPr/>
      <w:start w:val="0"/>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0">
    <w:lvl w:ilvl="0">
      <w:isLgl w:val="false"/>
      <w:lvlJc w:val="left"/>
      <w:lvlText w:val="%1"/>
      <w:numFmt w:val="decimal"/>
      <w:pPr>
        <w:pBdr/>
        <w:spacing/>
        <w:ind w:hanging="432" w:left="432"/>
      </w:pPr>
      <w:pStyle w:val="862"/>
      <w:rPr/>
      <w:start w:val="1"/>
      <w:suff w:val="tab"/>
    </w:lvl>
    <w:lvl w:ilvl="1">
      <w:isLgl w:val="false"/>
      <w:lvlJc w:val="left"/>
      <w:lvlText w:val="%1.%2"/>
      <w:numFmt w:val="decimal"/>
      <w:pPr>
        <w:pBdr/>
        <w:spacing/>
        <w:ind w:hanging="576" w:left="1286"/>
      </w:pPr>
      <w:pStyle w:val="863"/>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start w:val="1"/>
      <w:suff w:val="tab"/>
    </w:lvl>
    <w:lvl w:ilvl="2">
      <w:isLgl w:val="false"/>
      <w:lvlJc w:val="left"/>
      <w:lvlText w:val="%1.%2.%3"/>
      <w:numFmt w:val="decimal"/>
      <w:pPr>
        <w:pBdr/>
        <w:spacing/>
        <w:ind w:hanging="720" w:left="720"/>
      </w:pPr>
      <w:pStyle w:val="864"/>
      <w:rPr/>
      <w:start w:val="1"/>
      <w:suff w:val="tab"/>
    </w:lvl>
    <w:lvl w:ilvl="3">
      <w:isLgl w:val="false"/>
      <w:lvlJc w:val="left"/>
      <w:lvlText w:val="%1.%2.%3.%4"/>
      <w:numFmt w:val="decimal"/>
      <w:pPr>
        <w:pBdr/>
        <w:spacing/>
        <w:ind w:hanging="864" w:left="864"/>
      </w:pPr>
      <w:rPr/>
      <w:start w:val="1"/>
      <w:suff w:val="tab"/>
    </w:lvl>
    <w:lvl w:ilvl="4">
      <w:isLgl w:val="false"/>
      <w:lvlJc w:val="left"/>
      <w:lvlText w:val="%1.%2.%3.%4.%5"/>
      <w:numFmt w:val="decimal"/>
      <w:pPr>
        <w:pBdr/>
        <w:spacing/>
        <w:ind w:hanging="1008" w:left="1008"/>
      </w:pPr>
      <w:pStyle w:val="866"/>
      <w:rPr/>
      <w:start w:val="1"/>
      <w:suff w:val="tab"/>
    </w:lvl>
    <w:lvl w:ilvl="5">
      <w:isLgl w:val="false"/>
      <w:lvlJc w:val="left"/>
      <w:lvlText w:val="%1.%2.%3.%4.%5.%6"/>
      <w:numFmt w:val="decimal"/>
      <w:pPr>
        <w:pBdr/>
        <w:spacing/>
        <w:ind w:hanging="1152" w:left="1152"/>
      </w:pPr>
      <w:pStyle w:val="867"/>
      <w:rPr/>
      <w:start w:val="1"/>
      <w:suff w:val="tab"/>
    </w:lvl>
    <w:lvl w:ilvl="6">
      <w:isLgl w:val="false"/>
      <w:lvlJc w:val="left"/>
      <w:lvlText w:val="%1.%2.%3.%4.%5.%6.%7"/>
      <w:numFmt w:val="decimal"/>
      <w:pPr>
        <w:pBdr/>
        <w:spacing/>
        <w:ind w:hanging="1296" w:left="1296"/>
      </w:pPr>
      <w:pStyle w:val="868"/>
      <w:rPr/>
      <w:start w:val="1"/>
      <w:suff w:val="tab"/>
    </w:lvl>
    <w:lvl w:ilvl="7">
      <w:isLgl w:val="false"/>
      <w:lvlJc w:val="left"/>
      <w:lvlText w:val="%1.%2.%3.%4.%5.%6.%7.%8"/>
      <w:numFmt w:val="decimal"/>
      <w:pPr>
        <w:pBdr/>
        <w:spacing/>
        <w:ind w:hanging="1440" w:left="1440"/>
      </w:pPr>
      <w:pStyle w:val="869"/>
      <w:rPr/>
      <w:start w:val="1"/>
      <w:suff w:val="tab"/>
    </w:lvl>
    <w:lvl w:ilvl="8">
      <w:isLgl w:val="false"/>
      <w:lvlJc w:val="left"/>
      <w:lvlText w:val="%1.%2.%3.%4.%5.%6.%7.%8.%9"/>
      <w:numFmt w:val="decimal"/>
      <w:pPr>
        <w:pBdr/>
        <w:spacing/>
        <w:ind w:hanging="1584" w:left="1584"/>
      </w:pPr>
      <w:pStyle w:val="870"/>
      <w:rPr/>
      <w:start w:val="1"/>
      <w:suff w:val="tab"/>
    </w:lvl>
  </w:abstractNum>
  <w:abstractNum w:abstractNumId="2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2."/>
      <w:numFmt w:val="decimal"/>
      <w:pPr>
        <w:pBdr/>
        <w:spacing/>
        <w:ind w:hanging="360" w:left="720"/>
      </w:pPr>
      <w:rPr>
        <w:rFonts w:hint="default"/>
      </w:rPr>
      <w:start w:val="2"/>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2."/>
      <w:numFmt w:val="decimal"/>
      <w:pPr>
        <w:pBdr/>
        <w:spacing/>
        <w:ind w:hanging="360" w:left="720"/>
      </w:pPr>
      <w:rPr>
        <w:rFonts w:hint="default"/>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3">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6"/>
  </w:num>
  <w:num w:numId="2">
    <w:abstractNumId w:val="18"/>
    <w:lvlOverride w:ilvl="0">
      <w:lvl w:ilvl="0">
        <w:isLgl w:val="false"/>
        <w:lvlJc w:val="left"/>
        <w:lvlText w:val="%1."/>
        <w:numFmt w:val="decimal"/>
        <w:pPr>
          <w:pBdr/>
          <w:spacing/>
          <w:ind w:hanging="360" w:left="360"/>
        </w:pPr>
        <w:pStyle w:val="881"/>
        <w:rPr>
          <w:b/>
          <w:color w:val="004979"/>
        </w:rPr>
        <w:start w:val="1"/>
        <w:suff w:val="tab"/>
      </w:lvl>
    </w:lvlOverride>
  </w:num>
  <w:num w:numId="3">
    <w:abstractNumId w:val="13"/>
  </w:num>
  <w:num w:numId="4">
    <w:abstractNumId w:val="17"/>
  </w:num>
  <w:num w:numId="5">
    <w:abstractNumId w:val="20"/>
  </w:num>
  <w:num w:numId="6">
    <w:abstractNumId w:val="4"/>
  </w:num>
  <w:num w:numId="7">
    <w:abstractNumId w:val="1"/>
  </w:num>
  <w:num w:numId="8">
    <w:abstractNumId w:val="0"/>
  </w:num>
  <w:num w:numId="9">
    <w:abstractNumId w:val="16"/>
  </w:num>
  <w:num w:numId="10">
    <w:abstractNumId w:val="2"/>
  </w:num>
  <w:num w:numId="11">
    <w:abstractNumId w:val="11"/>
  </w:num>
  <w:num w:numId="12">
    <w:abstractNumId w:val="23"/>
  </w:num>
  <w:num w:numId="13">
    <w:abstractNumId w:val="5"/>
  </w:num>
  <w:num w:numId="14">
    <w:abstractNumId w:val="9"/>
  </w:num>
  <w:num w:numId="15">
    <w:abstractNumId w:val="19"/>
  </w:num>
  <w:num w:numId="16">
    <w:abstractNumId w:val="24"/>
  </w:num>
  <w:num w:numId="17">
    <w:abstractNumId w:val="1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1"/>
  </w:num>
  <w:num w:numId="21">
    <w:abstractNumId w:val="22"/>
  </w:num>
  <w:num w:numId="22">
    <w:abstractNumId w:val="7"/>
  </w:num>
  <w:num w:numId="23">
    <w:abstractNumId w:val="12"/>
  </w:num>
  <w:num w:numId="24">
    <w:abstractNumId w:val="14"/>
  </w:num>
  <w:num w:numId="25">
    <w:abstractNumId w:val="8"/>
  </w:num>
  <w:num w:numId="26">
    <w:abstractNumId w:val="3"/>
  </w:num>
  <w:num w:numId="27">
    <w:abstractNumId w:val="1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false"/>
    <m:lMargin m:val="0"/>
    <m:rMargin m:val="0"/>
    <m:defJc m:val="centerGroup"/>
    <m:wrapRight m:val="true"/>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lang w:val="en-US" w:eastAsia="ja-JP" w:bidi="ar-SA"/>
      </w:rPr>
    </w:rPrDefault>
    <w:pPrDefault>
      <w:pPr>
        <w:pBdr/>
        <w:spacing w:after="200" w:afterAutospacing="0" w:before="0" w:beforeAutospacing="0" w:line="240"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87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87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8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8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8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87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8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8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8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8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8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8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8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8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8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8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8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8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8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8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8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8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8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8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8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8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87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87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87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87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87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87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87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8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87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87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8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87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8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87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87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87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87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87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87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87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87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87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8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87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87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87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87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87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87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87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8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87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8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87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8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87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87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8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87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87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87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87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87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87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87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87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87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87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87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87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87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87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87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87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87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87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87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87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87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87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87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87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87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87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87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8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87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87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87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87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87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87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87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87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8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8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8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8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8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8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9">
    <w:name w:val="Heading 1 Char"/>
    <w:basedOn w:val="871"/>
    <w:link w:val="862"/>
    <w:uiPriority w:val="9"/>
    <w:pPr>
      <w:pBdr/>
      <w:spacing/>
      <w:ind/>
    </w:pPr>
    <w:rPr>
      <w:rFonts w:ascii="Arial" w:hAnsi="Arial" w:eastAsia="Arial" w:cs="Arial"/>
      <w:color w:val="0f4761" w:themeColor="accent1" w:themeShade="BF"/>
      <w:sz w:val="40"/>
      <w:szCs w:val="40"/>
    </w:rPr>
  </w:style>
  <w:style w:type="character" w:styleId="150">
    <w:name w:val="Heading 2 Char"/>
    <w:basedOn w:val="871"/>
    <w:link w:val="863"/>
    <w:uiPriority w:val="9"/>
    <w:pPr>
      <w:pBdr/>
      <w:spacing/>
      <w:ind/>
    </w:pPr>
    <w:rPr>
      <w:rFonts w:ascii="Arial" w:hAnsi="Arial" w:eastAsia="Arial" w:cs="Arial"/>
      <w:color w:val="0f4761" w:themeColor="accent1" w:themeShade="BF"/>
      <w:sz w:val="32"/>
      <w:szCs w:val="32"/>
    </w:rPr>
  </w:style>
  <w:style w:type="character" w:styleId="151">
    <w:name w:val="Heading 3 Char"/>
    <w:basedOn w:val="871"/>
    <w:link w:val="864"/>
    <w:uiPriority w:val="9"/>
    <w:pPr>
      <w:pBdr/>
      <w:spacing/>
      <w:ind/>
    </w:pPr>
    <w:rPr>
      <w:rFonts w:ascii="Arial" w:hAnsi="Arial" w:eastAsia="Arial" w:cs="Arial"/>
      <w:color w:val="0f4761" w:themeColor="accent1" w:themeShade="BF"/>
      <w:sz w:val="28"/>
      <w:szCs w:val="28"/>
    </w:rPr>
  </w:style>
  <w:style w:type="character" w:styleId="152">
    <w:name w:val="Heading 4 Char"/>
    <w:basedOn w:val="871"/>
    <w:link w:val="865"/>
    <w:uiPriority w:val="9"/>
    <w:pPr>
      <w:pBdr/>
      <w:spacing/>
      <w:ind/>
    </w:pPr>
    <w:rPr>
      <w:rFonts w:ascii="Arial" w:hAnsi="Arial" w:eastAsia="Arial" w:cs="Arial"/>
      <w:i/>
      <w:iCs/>
      <w:color w:val="0f4761" w:themeColor="accent1" w:themeShade="BF"/>
    </w:rPr>
  </w:style>
  <w:style w:type="character" w:styleId="153">
    <w:name w:val="Heading 5 Char"/>
    <w:basedOn w:val="871"/>
    <w:link w:val="866"/>
    <w:uiPriority w:val="9"/>
    <w:pPr>
      <w:pBdr/>
      <w:spacing/>
      <w:ind/>
    </w:pPr>
    <w:rPr>
      <w:rFonts w:ascii="Arial" w:hAnsi="Arial" w:eastAsia="Arial" w:cs="Arial"/>
      <w:color w:val="0f4761" w:themeColor="accent1" w:themeShade="BF"/>
    </w:rPr>
  </w:style>
  <w:style w:type="character" w:styleId="154">
    <w:name w:val="Heading 6 Char"/>
    <w:basedOn w:val="871"/>
    <w:link w:val="867"/>
    <w:uiPriority w:val="9"/>
    <w:pPr>
      <w:pBdr/>
      <w:spacing/>
      <w:ind/>
    </w:pPr>
    <w:rPr>
      <w:rFonts w:ascii="Arial" w:hAnsi="Arial" w:eastAsia="Arial" w:cs="Arial"/>
      <w:i/>
      <w:iCs/>
      <w:color w:val="595959" w:themeColor="text1" w:themeTint="A6"/>
    </w:rPr>
  </w:style>
  <w:style w:type="character" w:styleId="155">
    <w:name w:val="Heading 7 Char"/>
    <w:basedOn w:val="871"/>
    <w:link w:val="868"/>
    <w:uiPriority w:val="9"/>
    <w:pPr>
      <w:pBdr/>
      <w:spacing/>
      <w:ind/>
    </w:pPr>
    <w:rPr>
      <w:rFonts w:ascii="Arial" w:hAnsi="Arial" w:eastAsia="Arial" w:cs="Arial"/>
      <w:color w:val="595959" w:themeColor="text1" w:themeTint="A6"/>
    </w:rPr>
  </w:style>
  <w:style w:type="character" w:styleId="156">
    <w:name w:val="Heading 8 Char"/>
    <w:basedOn w:val="871"/>
    <w:link w:val="869"/>
    <w:uiPriority w:val="9"/>
    <w:pPr>
      <w:pBdr/>
      <w:spacing/>
      <w:ind/>
    </w:pPr>
    <w:rPr>
      <w:rFonts w:ascii="Arial" w:hAnsi="Arial" w:eastAsia="Arial" w:cs="Arial"/>
      <w:i/>
      <w:iCs/>
      <w:color w:val="272727" w:themeColor="text1" w:themeTint="D8"/>
    </w:rPr>
  </w:style>
  <w:style w:type="character" w:styleId="157">
    <w:name w:val="Heading 9 Char"/>
    <w:basedOn w:val="871"/>
    <w:link w:val="870"/>
    <w:uiPriority w:val="9"/>
    <w:pPr>
      <w:pBdr/>
      <w:spacing/>
      <w:ind/>
    </w:pPr>
    <w:rPr>
      <w:rFonts w:ascii="Arial" w:hAnsi="Arial" w:eastAsia="Arial" w:cs="Arial"/>
      <w:i/>
      <w:iCs/>
      <w:color w:val="272727" w:themeColor="text1" w:themeTint="D8"/>
    </w:rPr>
  </w:style>
  <w:style w:type="paragraph" w:styleId="158">
    <w:name w:val="Title"/>
    <w:basedOn w:val="861"/>
    <w:next w:val="861"/>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871"/>
    <w:link w:val="158"/>
    <w:uiPriority w:val="10"/>
    <w:pPr>
      <w:pBdr/>
      <w:spacing/>
      <w:ind/>
    </w:pPr>
    <w:rPr>
      <w:rFonts w:ascii="Arial" w:hAnsi="Arial" w:eastAsia="Arial" w:cs="Arial"/>
      <w:spacing w:val="-10"/>
      <w:sz w:val="56"/>
      <w:szCs w:val="56"/>
    </w:rPr>
  </w:style>
  <w:style w:type="paragraph" w:styleId="160">
    <w:name w:val="Subtitle"/>
    <w:basedOn w:val="861"/>
    <w:next w:val="861"/>
    <w:link w:val="161"/>
    <w:uiPriority w:val="11"/>
    <w:qFormat/>
    <w:pPr>
      <w:numPr>
        <w:ilvl w:val="1"/>
      </w:numPr>
      <w:pBdr/>
      <w:spacing/>
      <w:ind/>
    </w:pPr>
    <w:rPr>
      <w:color w:val="595959" w:themeColor="text1" w:themeTint="A6"/>
      <w:spacing w:val="15"/>
      <w:sz w:val="28"/>
      <w:szCs w:val="28"/>
    </w:rPr>
  </w:style>
  <w:style w:type="character" w:styleId="161">
    <w:name w:val="Subtitle Char"/>
    <w:basedOn w:val="871"/>
    <w:link w:val="160"/>
    <w:uiPriority w:val="11"/>
    <w:pPr>
      <w:pBdr/>
      <w:spacing/>
      <w:ind/>
    </w:pPr>
    <w:rPr>
      <w:color w:val="595959" w:themeColor="text1" w:themeTint="A6"/>
      <w:spacing w:val="15"/>
      <w:sz w:val="28"/>
      <w:szCs w:val="28"/>
    </w:rPr>
  </w:style>
  <w:style w:type="character" w:styleId="163">
    <w:name w:val="Quote Char"/>
    <w:basedOn w:val="871"/>
    <w:link w:val="917"/>
    <w:uiPriority w:val="29"/>
    <w:pPr>
      <w:pBdr/>
      <w:spacing/>
      <w:ind/>
    </w:pPr>
    <w:rPr>
      <w:i/>
      <w:iCs/>
      <w:color w:val="404040" w:themeColor="text1" w:themeTint="BF"/>
    </w:rPr>
  </w:style>
  <w:style w:type="character" w:styleId="165">
    <w:name w:val="Intense Emphasis"/>
    <w:basedOn w:val="871"/>
    <w:uiPriority w:val="21"/>
    <w:qFormat/>
    <w:pPr>
      <w:pBdr/>
      <w:spacing/>
      <w:ind/>
    </w:pPr>
    <w:rPr>
      <w:i/>
      <w:iCs/>
      <w:color w:val="0f4761" w:themeColor="accent1" w:themeShade="BF"/>
    </w:rPr>
  </w:style>
  <w:style w:type="paragraph" w:styleId="166">
    <w:name w:val="Intense Quote"/>
    <w:basedOn w:val="861"/>
    <w:next w:val="861"/>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871"/>
    <w:link w:val="166"/>
    <w:uiPriority w:val="30"/>
    <w:pPr>
      <w:pBdr/>
      <w:spacing/>
      <w:ind/>
    </w:pPr>
    <w:rPr>
      <w:i/>
      <w:iCs/>
      <w:color w:val="0f4761" w:themeColor="accent1" w:themeShade="BF"/>
    </w:rPr>
  </w:style>
  <w:style w:type="character" w:styleId="170">
    <w:name w:val="Subtle Emphasis"/>
    <w:basedOn w:val="871"/>
    <w:uiPriority w:val="19"/>
    <w:qFormat/>
    <w:pPr>
      <w:pBdr/>
      <w:spacing/>
      <w:ind/>
    </w:pPr>
    <w:rPr>
      <w:i/>
      <w:iCs/>
      <w:color w:val="404040" w:themeColor="text1" w:themeTint="BF"/>
    </w:rPr>
  </w:style>
  <w:style w:type="character" w:styleId="173">
    <w:name w:val="Subtle Reference"/>
    <w:basedOn w:val="871"/>
    <w:uiPriority w:val="31"/>
    <w:qFormat/>
    <w:pPr>
      <w:pBdr/>
      <w:spacing/>
      <w:ind/>
    </w:pPr>
    <w:rPr>
      <w:smallCaps/>
      <w:color w:val="5a5a5a" w:themeColor="text1" w:themeTint="A5"/>
    </w:rPr>
  </w:style>
  <w:style w:type="character" w:styleId="174">
    <w:name w:val="Book Title"/>
    <w:basedOn w:val="871"/>
    <w:uiPriority w:val="33"/>
    <w:qFormat/>
    <w:pPr>
      <w:pBdr/>
      <w:spacing/>
      <w:ind/>
    </w:pPr>
    <w:rPr>
      <w:b/>
      <w:bCs/>
      <w:i/>
      <w:iCs/>
      <w:spacing w:val="5"/>
    </w:rPr>
  </w:style>
  <w:style w:type="character" w:styleId="176">
    <w:name w:val="Header Char"/>
    <w:basedOn w:val="871"/>
    <w:link w:val="874"/>
    <w:uiPriority w:val="99"/>
    <w:pPr>
      <w:pBdr/>
      <w:spacing/>
      <w:ind/>
    </w:pPr>
  </w:style>
  <w:style w:type="character" w:styleId="178">
    <w:name w:val="Footer Char"/>
    <w:basedOn w:val="871"/>
    <w:link w:val="876"/>
    <w:uiPriority w:val="99"/>
    <w:pPr>
      <w:pBdr/>
      <w:spacing/>
      <w:ind/>
    </w:pPr>
  </w:style>
  <w:style w:type="character" w:styleId="181">
    <w:name w:val="Footnote Text Char"/>
    <w:basedOn w:val="871"/>
    <w:link w:val="899"/>
    <w:uiPriority w:val="99"/>
    <w:semiHidden/>
    <w:pPr>
      <w:pBdr/>
      <w:spacing/>
      <w:ind/>
    </w:pPr>
    <w:rPr>
      <w:sz w:val="20"/>
      <w:szCs w:val="20"/>
    </w:rPr>
  </w:style>
  <w:style w:type="paragraph" w:styleId="183">
    <w:name w:val="endnote text"/>
    <w:basedOn w:val="861"/>
    <w:link w:val="184"/>
    <w:uiPriority w:val="99"/>
    <w:semiHidden/>
    <w:unhideWhenUsed/>
    <w:pPr>
      <w:pBdr/>
      <w:spacing w:after="0" w:line="240" w:lineRule="auto"/>
      <w:ind/>
    </w:pPr>
    <w:rPr>
      <w:sz w:val="20"/>
      <w:szCs w:val="20"/>
    </w:rPr>
  </w:style>
  <w:style w:type="character" w:styleId="184">
    <w:name w:val="Endnote Text Char"/>
    <w:basedOn w:val="871"/>
    <w:link w:val="183"/>
    <w:uiPriority w:val="99"/>
    <w:semiHidden/>
    <w:pPr>
      <w:pBdr/>
      <w:spacing/>
      <w:ind/>
    </w:pPr>
    <w:rPr>
      <w:sz w:val="20"/>
      <w:szCs w:val="20"/>
    </w:rPr>
  </w:style>
  <w:style w:type="character" w:styleId="185">
    <w:name w:val="endnote reference"/>
    <w:basedOn w:val="871"/>
    <w:uiPriority w:val="99"/>
    <w:semiHidden/>
    <w:unhideWhenUsed/>
    <w:pPr>
      <w:pBdr/>
      <w:spacing/>
      <w:ind/>
    </w:pPr>
    <w:rPr>
      <w:vertAlign w:val="superscript"/>
    </w:rPr>
  </w:style>
  <w:style w:type="paragraph" w:styleId="191">
    <w:name w:val="toc 4"/>
    <w:basedOn w:val="861"/>
    <w:next w:val="861"/>
    <w:uiPriority w:val="39"/>
    <w:unhideWhenUsed/>
    <w:pPr>
      <w:pBdr/>
      <w:spacing w:after="100"/>
      <w:ind w:left="660"/>
    </w:pPr>
  </w:style>
  <w:style w:type="paragraph" w:styleId="192">
    <w:name w:val="toc 5"/>
    <w:basedOn w:val="861"/>
    <w:next w:val="861"/>
    <w:uiPriority w:val="39"/>
    <w:unhideWhenUsed/>
    <w:pPr>
      <w:pBdr/>
      <w:spacing w:after="100"/>
      <w:ind w:left="880"/>
    </w:pPr>
  </w:style>
  <w:style w:type="paragraph" w:styleId="193">
    <w:name w:val="toc 6"/>
    <w:basedOn w:val="861"/>
    <w:next w:val="861"/>
    <w:uiPriority w:val="39"/>
    <w:unhideWhenUsed/>
    <w:pPr>
      <w:pBdr/>
      <w:spacing w:after="100"/>
      <w:ind w:left="1100"/>
    </w:pPr>
  </w:style>
  <w:style w:type="paragraph" w:styleId="194">
    <w:name w:val="toc 7"/>
    <w:basedOn w:val="861"/>
    <w:next w:val="861"/>
    <w:uiPriority w:val="39"/>
    <w:unhideWhenUsed/>
    <w:pPr>
      <w:pBdr/>
      <w:spacing w:after="100"/>
      <w:ind w:left="1320"/>
    </w:pPr>
  </w:style>
  <w:style w:type="paragraph" w:styleId="195">
    <w:name w:val="toc 8"/>
    <w:basedOn w:val="861"/>
    <w:next w:val="861"/>
    <w:uiPriority w:val="39"/>
    <w:unhideWhenUsed/>
    <w:pPr>
      <w:pBdr/>
      <w:spacing w:after="100"/>
      <w:ind w:left="1540"/>
    </w:pPr>
  </w:style>
  <w:style w:type="paragraph" w:styleId="196">
    <w:name w:val="toc 9"/>
    <w:basedOn w:val="861"/>
    <w:next w:val="861"/>
    <w:uiPriority w:val="39"/>
    <w:unhideWhenUsed/>
    <w:pPr>
      <w:pBdr/>
      <w:spacing w:after="100"/>
      <w:ind w:left="1760"/>
    </w:pPr>
  </w:style>
  <w:style w:type="paragraph" w:styleId="207">
    <w:name w:val="table of figures"/>
    <w:basedOn w:val="861"/>
    <w:next w:val="861"/>
    <w:uiPriority w:val="99"/>
    <w:unhideWhenUsed/>
    <w:pPr>
      <w:pBdr/>
      <w:spacing w:after="0" w:afterAutospacing="0"/>
      <w:ind/>
    </w:pPr>
  </w:style>
  <w:style w:type="paragraph" w:styleId="861" w:default="1">
    <w:name w:val="Normal"/>
    <w:qFormat/>
    <w:pPr>
      <w:pBdr/>
      <w:tabs>
        <w:tab w:val="right" w:leader="dot" w:pos="9923"/>
      </w:tabs>
      <w:spacing w:after="240"/>
      <w:ind w:left="360"/>
      <w:jc w:val="both"/>
    </w:pPr>
    <w:rPr>
      <w:rFonts w:ascii="Tw Cen MT" w:hAnsi="Tw Cen MT" w:cs="Arial"/>
      <w:iCs/>
      <w:color w:val="000000"/>
      <w:sz w:val="22"/>
      <w:szCs w:val="22"/>
      <w:lang w:val="fr-FR"/>
    </w:rPr>
  </w:style>
  <w:style w:type="paragraph" w:styleId="862">
    <w:name w:val="Heading 1"/>
    <w:basedOn w:val="881"/>
    <w:next w:val="861"/>
    <w:link w:val="891"/>
    <w:uiPriority w:val="9"/>
    <w:qFormat/>
    <w:pPr>
      <w:numPr>
        <w:numId w:val="5"/>
      </w:numPr>
      <w:pBdr>
        <w:top w:val="single" w:color="000000" w:sz="4" w:space="1"/>
        <w:left w:val="single" w:color="000000" w:sz="4" w:space="4"/>
        <w:bottom w:val="single" w:color="000000" w:sz="4" w:space="1"/>
        <w:right w:val="single" w:color="000000" w:sz="4" w:space="4"/>
      </w:pBdr>
      <w:shd w:val="clear" w:color="auto" w:fill="1f497d" w:themeFill="text2"/>
      <w:spacing/>
      <w:ind/>
      <w:outlineLvl w:val="0"/>
    </w:pPr>
    <w:rPr>
      <w:b/>
    </w:rPr>
  </w:style>
  <w:style w:type="paragraph" w:styleId="863">
    <w:name w:val="Heading 2"/>
    <w:basedOn w:val="882"/>
    <w:next w:val="861"/>
    <w:link w:val="893"/>
    <w:uiPriority w:val="9"/>
    <w:unhideWhenUsed/>
    <w:qFormat/>
    <w:pPr>
      <w:numPr>
        <w:numId w:val="5"/>
      </w:numPr>
      <w:pBdr/>
      <w:shd w:val="clear" w:color="auto" w:fill="95b3d7" w:themeFill="accent1" w:themeFillTint="99"/>
      <w:spacing/>
      <w:ind/>
      <w:outlineLvl w:val="1"/>
    </w:pPr>
    <w:rPr>
      <w:shd w:val="clear" w:color="auto" w:fill="auto"/>
    </w:rPr>
  </w:style>
  <w:style w:type="paragraph" w:styleId="864">
    <w:name w:val="Heading 3"/>
    <w:basedOn w:val="861"/>
    <w:next w:val="861"/>
    <w:link w:val="894"/>
    <w:uiPriority w:val="9"/>
    <w:unhideWhenUsed/>
    <w:qFormat/>
    <w:pPr>
      <w:keepNext w:val="true"/>
      <w:keepLines w:val="true"/>
      <w:numPr>
        <w:ilvl w:val="2"/>
        <w:numId w:val="5"/>
      </w:numPr>
      <w:pBdr/>
      <w:spacing w:before="40"/>
      <w:ind/>
      <w:outlineLvl w:val="2"/>
    </w:pPr>
    <w:rPr>
      <w:rFonts w:asciiTheme="majorHAnsi" w:hAnsiTheme="majorHAnsi" w:eastAsiaTheme="majorEastAsia" w:cstheme="majorBidi"/>
      <w:b/>
      <w:bCs/>
      <w:color w:val="243f60" w:themeColor="accent1" w:themeShade="7F"/>
    </w:rPr>
  </w:style>
  <w:style w:type="paragraph" w:styleId="865">
    <w:name w:val="Heading 4"/>
    <w:basedOn w:val="861"/>
    <w:next w:val="861"/>
    <w:link w:val="916"/>
    <w:uiPriority w:val="9"/>
    <w:unhideWhenUsed/>
    <w:qFormat/>
    <w:pPr>
      <w:keepNext w:val="true"/>
      <w:keepLines w:val="true"/>
      <w:pBdr/>
      <w:spacing w:after="0" w:before="40"/>
      <w:ind/>
      <w:outlineLvl w:val="3"/>
    </w:pPr>
    <w:rPr>
      <w:rFonts w:asciiTheme="majorHAnsi" w:hAnsiTheme="majorHAnsi" w:eastAsiaTheme="majorEastAsia" w:cstheme="majorBidi"/>
      <w:i/>
      <w:iCs w:val="0"/>
      <w:color w:val="365f91" w:themeColor="accent1" w:themeShade="BF"/>
    </w:rPr>
  </w:style>
  <w:style w:type="paragraph" w:styleId="866">
    <w:name w:val="Heading 5"/>
    <w:basedOn w:val="861"/>
    <w:next w:val="861"/>
    <w:link w:val="919"/>
    <w:uiPriority w:val="9"/>
    <w:unhideWhenUsed/>
    <w:qFormat/>
    <w:pPr>
      <w:keepNext w:val="true"/>
      <w:keepLines w:val="true"/>
      <w:numPr>
        <w:ilvl w:val="4"/>
        <w:numId w:val="5"/>
      </w:numPr>
      <w:pBdr/>
      <w:spacing w:after="0" w:before="40"/>
      <w:ind/>
      <w:outlineLvl w:val="4"/>
    </w:pPr>
    <w:rPr>
      <w:rFonts w:asciiTheme="majorHAnsi" w:hAnsiTheme="majorHAnsi" w:eastAsiaTheme="majorEastAsia" w:cstheme="majorBidi"/>
      <w:color w:val="365f91" w:themeColor="accent1" w:themeShade="BF"/>
    </w:rPr>
  </w:style>
  <w:style w:type="paragraph" w:styleId="867">
    <w:name w:val="Heading 6"/>
    <w:basedOn w:val="861"/>
    <w:next w:val="861"/>
    <w:link w:val="920"/>
    <w:uiPriority w:val="9"/>
    <w:unhideWhenUsed/>
    <w:qFormat/>
    <w:pPr>
      <w:keepNext w:val="true"/>
      <w:keepLines w:val="true"/>
      <w:numPr>
        <w:ilvl w:val="5"/>
        <w:numId w:val="5"/>
      </w:numPr>
      <w:pBdr/>
      <w:spacing w:after="0" w:before="40"/>
      <w:ind/>
      <w:outlineLvl w:val="5"/>
    </w:pPr>
    <w:rPr>
      <w:rFonts w:asciiTheme="majorHAnsi" w:hAnsiTheme="majorHAnsi" w:eastAsiaTheme="majorEastAsia" w:cstheme="majorBidi"/>
      <w:color w:val="243f60" w:themeColor="accent1" w:themeShade="7F"/>
    </w:rPr>
  </w:style>
  <w:style w:type="paragraph" w:styleId="868">
    <w:name w:val="Heading 7"/>
    <w:basedOn w:val="861"/>
    <w:next w:val="861"/>
    <w:link w:val="921"/>
    <w:uiPriority w:val="9"/>
    <w:unhideWhenUsed/>
    <w:qFormat/>
    <w:pPr>
      <w:keepNext w:val="true"/>
      <w:keepLines w:val="true"/>
      <w:numPr>
        <w:ilvl w:val="6"/>
        <w:numId w:val="5"/>
      </w:numPr>
      <w:pBdr/>
      <w:spacing w:after="0" w:before="40"/>
      <w:ind/>
      <w:outlineLvl w:val="6"/>
    </w:pPr>
    <w:rPr>
      <w:rFonts w:asciiTheme="majorHAnsi" w:hAnsiTheme="majorHAnsi" w:eastAsiaTheme="majorEastAsia" w:cstheme="majorBidi"/>
      <w:i/>
      <w:iCs w:val="0"/>
      <w:color w:val="243f60" w:themeColor="accent1" w:themeShade="7F"/>
    </w:rPr>
  </w:style>
  <w:style w:type="paragraph" w:styleId="869">
    <w:name w:val="Heading 8"/>
    <w:basedOn w:val="861"/>
    <w:next w:val="861"/>
    <w:link w:val="922"/>
    <w:uiPriority w:val="9"/>
    <w:semiHidden/>
    <w:unhideWhenUsed/>
    <w:qFormat/>
    <w:pPr>
      <w:keepNext w:val="true"/>
      <w:keepLines w:val="true"/>
      <w:numPr>
        <w:ilvl w:val="7"/>
        <w:numId w:val="5"/>
      </w:numPr>
      <w:pBdr/>
      <w:spacing w:after="0" w:before="40"/>
      <w:ind/>
      <w:outlineLvl w:val="7"/>
    </w:pPr>
    <w:rPr>
      <w:rFonts w:asciiTheme="majorHAnsi" w:hAnsiTheme="majorHAnsi" w:eastAsiaTheme="majorEastAsia" w:cstheme="majorBidi"/>
      <w:color w:val="272727" w:themeColor="text1" w:themeTint="D8"/>
      <w:sz w:val="21"/>
      <w:szCs w:val="21"/>
    </w:rPr>
  </w:style>
  <w:style w:type="paragraph" w:styleId="870">
    <w:name w:val="Heading 9"/>
    <w:basedOn w:val="861"/>
    <w:next w:val="861"/>
    <w:link w:val="923"/>
    <w:uiPriority w:val="9"/>
    <w:semiHidden/>
    <w:unhideWhenUsed/>
    <w:qFormat/>
    <w:pPr>
      <w:keepNext w:val="true"/>
      <w:keepLines w:val="true"/>
      <w:numPr>
        <w:ilvl w:val="8"/>
        <w:numId w:val="5"/>
      </w:numPr>
      <w:pBdr/>
      <w:spacing w:after="0" w:before="40"/>
      <w:ind/>
      <w:outlineLvl w:val="8"/>
    </w:pPr>
    <w:rPr>
      <w:rFonts w:asciiTheme="majorHAnsi" w:hAnsiTheme="majorHAnsi" w:eastAsiaTheme="majorEastAsia" w:cstheme="majorBidi"/>
      <w:i/>
      <w:iCs w:val="0"/>
      <w:color w:val="272727" w:themeColor="text1" w:themeTint="D8"/>
      <w:sz w:val="21"/>
      <w:szCs w:val="21"/>
    </w:rPr>
  </w:style>
  <w:style w:type="character" w:styleId="871" w:default="1">
    <w:name w:val="Default Paragraph Font"/>
    <w:uiPriority w:val="1"/>
    <w:semiHidden/>
    <w:unhideWhenUsed/>
    <w:pPr>
      <w:pBdr/>
      <w:spacing/>
      <w:ind/>
    </w:pPr>
  </w:style>
  <w:style w:type="table" w:styleId="87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3" w:default="1">
    <w:name w:val="No List"/>
    <w:uiPriority w:val="99"/>
    <w:semiHidden/>
    <w:unhideWhenUsed/>
    <w:pPr>
      <w:pBdr/>
      <w:spacing/>
      <w:ind/>
    </w:pPr>
  </w:style>
  <w:style w:type="paragraph" w:styleId="874">
    <w:name w:val="Header"/>
    <w:basedOn w:val="861"/>
    <w:link w:val="875"/>
    <w:uiPriority w:val="99"/>
    <w:unhideWhenUsed/>
    <w:pPr>
      <w:pBdr/>
      <w:tabs>
        <w:tab w:val="center" w:leader="none" w:pos="4536"/>
        <w:tab w:val="right" w:leader="none" w:pos="9072"/>
      </w:tabs>
      <w:spacing w:after="0"/>
      <w:ind/>
    </w:pPr>
  </w:style>
  <w:style w:type="character" w:styleId="875" w:customStyle="1">
    <w:name w:val="En-tête Car"/>
    <w:basedOn w:val="871"/>
    <w:link w:val="874"/>
    <w:uiPriority w:val="99"/>
    <w:pPr>
      <w:pBdr/>
      <w:spacing/>
      <w:ind/>
    </w:pPr>
    <w:rPr>
      <w:sz w:val="24"/>
      <w:szCs w:val="24"/>
      <w:lang w:val="fr-FR"/>
    </w:rPr>
  </w:style>
  <w:style w:type="paragraph" w:styleId="876">
    <w:name w:val="Footer"/>
    <w:basedOn w:val="861"/>
    <w:link w:val="877"/>
    <w:uiPriority w:val="99"/>
    <w:unhideWhenUsed/>
    <w:pPr>
      <w:pBdr/>
      <w:tabs>
        <w:tab w:val="center" w:leader="none" w:pos="4536"/>
        <w:tab w:val="right" w:leader="none" w:pos="9072"/>
      </w:tabs>
      <w:spacing w:after="0"/>
      <w:ind/>
    </w:pPr>
  </w:style>
  <w:style w:type="character" w:styleId="877" w:customStyle="1">
    <w:name w:val="Pied de page Car"/>
    <w:basedOn w:val="871"/>
    <w:link w:val="876"/>
    <w:uiPriority w:val="99"/>
    <w:pPr>
      <w:pBdr/>
      <w:spacing/>
      <w:ind/>
    </w:pPr>
    <w:rPr>
      <w:sz w:val="24"/>
      <w:szCs w:val="24"/>
      <w:lang w:val="fr-FR"/>
    </w:rPr>
  </w:style>
  <w:style w:type="paragraph" w:styleId="878">
    <w:name w:val="List Paragraph"/>
    <w:basedOn w:val="861"/>
    <w:link w:val="883"/>
    <w:uiPriority w:val="99"/>
    <w:qFormat/>
    <w:pPr>
      <w:numPr>
        <w:numId w:val="4"/>
      </w:numPr>
      <w:pBdr/>
      <w:spacing w:after="120"/>
      <w:ind/>
    </w:pPr>
  </w:style>
  <w:style w:type="character" w:styleId="879">
    <w:name w:val="page number"/>
    <w:basedOn w:val="871"/>
    <w:uiPriority w:val="99"/>
    <w:semiHidden/>
    <w:unhideWhenUsed/>
    <w:pPr>
      <w:pBdr/>
      <w:spacing/>
      <w:ind/>
    </w:pPr>
  </w:style>
  <w:style w:type="numbering" w:styleId="880">
    <w:name w:val="Outline List 2"/>
    <w:basedOn w:val="873"/>
    <w:uiPriority w:val="99"/>
    <w:semiHidden/>
    <w:unhideWhenUsed/>
    <w:pPr>
      <w:numPr>
        <w:numId w:val="1"/>
      </w:numPr>
      <w:pBdr/>
      <w:spacing/>
      <w:ind/>
    </w:pPr>
  </w:style>
  <w:style w:type="paragraph" w:styleId="881" w:customStyle="1">
    <w:name w:val="EXP - Titre 1"/>
    <w:basedOn w:val="878"/>
    <w:link w:val="884"/>
    <w:pPr>
      <w:numPr>
        <w:numId w:val="2"/>
      </w:numPr>
      <w:pBdr/>
      <w:spacing w:after="240" w:line="300" w:lineRule="atLeast"/>
      <w:ind/>
    </w:pPr>
    <w:rPr>
      <w:caps/>
      <w:color w:val="ffffff" w:themeColor="background1"/>
      <w:shd w:val="clear" w:color="auto" w:fill="004979"/>
    </w:rPr>
  </w:style>
  <w:style w:type="paragraph" w:styleId="882" w:customStyle="1">
    <w:name w:val="EXP - Titre 2"/>
    <w:basedOn w:val="878"/>
    <w:link w:val="886"/>
    <w:pPr>
      <w:numPr>
        <w:ilvl w:val="1"/>
        <w:numId w:val="3"/>
      </w:numPr>
      <w:pBdr/>
      <w:spacing w:after="240" w:line="300" w:lineRule="atLeast"/>
      <w:ind w:hanging="792" w:left="709"/>
    </w:pPr>
    <w:rPr>
      <w:color w:val="ffffff" w:themeColor="background1"/>
      <w:shd w:val="clear" w:color="auto" w:fill="68b1e6"/>
    </w:rPr>
  </w:style>
  <w:style w:type="character" w:styleId="883" w:customStyle="1">
    <w:name w:val="Paragraphe de liste Car"/>
    <w:basedOn w:val="871"/>
    <w:link w:val="878"/>
    <w:uiPriority w:val="99"/>
    <w:qFormat/>
    <w:pPr>
      <w:pBdr/>
      <w:spacing/>
      <w:ind/>
    </w:pPr>
    <w:rPr>
      <w:rFonts w:ascii="Tw Cen MT" w:hAnsi="Tw Cen MT" w:cs="Arial"/>
      <w:iCs/>
      <w:color w:val="000000"/>
      <w:sz w:val="22"/>
      <w:szCs w:val="22"/>
      <w:lang w:val="fr-FR"/>
    </w:rPr>
  </w:style>
  <w:style w:type="character" w:styleId="884" w:customStyle="1">
    <w:name w:val="EXP - Titre 1 Car"/>
    <w:basedOn w:val="883"/>
    <w:link w:val="881"/>
    <w:pPr>
      <w:pBdr/>
      <w:spacing/>
      <w:ind/>
    </w:pPr>
    <w:rPr>
      <w:rFonts w:ascii="Tw Cen MT" w:hAnsi="Tw Cen MT" w:cs="Arial"/>
      <w:iCs/>
      <w:caps/>
      <w:color w:val="ffffff" w:themeColor="background1"/>
      <w:sz w:val="22"/>
      <w:szCs w:val="22"/>
      <w:lang w:val="fr-FR"/>
    </w:rPr>
  </w:style>
  <w:style w:type="paragraph" w:styleId="885" w:customStyle="1">
    <w:name w:val="EXP - Titre 3"/>
    <w:basedOn w:val="861"/>
    <w:link w:val="888"/>
    <w:pPr>
      <w:pBdr/>
      <w:spacing/>
      <w:ind/>
    </w:pPr>
    <w:rPr>
      <w:b/>
      <w:color w:val="004979"/>
      <w:shd w:val="clear" w:color="auto" w:fill="e9e4de"/>
    </w:rPr>
  </w:style>
  <w:style w:type="character" w:styleId="886" w:customStyle="1">
    <w:name w:val="EXP - Titre 2 Car"/>
    <w:basedOn w:val="883"/>
    <w:link w:val="882"/>
    <w:pPr>
      <w:pBdr/>
      <w:spacing/>
      <w:ind/>
    </w:pPr>
    <w:rPr>
      <w:rFonts w:ascii="Tw Cen MT" w:hAnsi="Tw Cen MT" w:cs="Arial"/>
      <w:iCs/>
      <w:color w:val="ffffff" w:themeColor="background1"/>
      <w:sz w:val="22"/>
      <w:szCs w:val="22"/>
      <w:lang w:val="fr-FR"/>
    </w:rPr>
  </w:style>
  <w:style w:type="paragraph" w:styleId="887" w:customStyle="1">
    <w:name w:val="EXP - Titre 4"/>
    <w:basedOn w:val="861"/>
    <w:link w:val="890"/>
    <w:pPr>
      <w:pBdr/>
      <w:spacing/>
      <w:ind/>
    </w:pPr>
    <w:rPr>
      <w:b/>
      <w:color w:val="004979"/>
      <w:u w:val="single"/>
    </w:rPr>
  </w:style>
  <w:style w:type="character" w:styleId="888" w:customStyle="1">
    <w:name w:val="EXP - Titre 3 Car"/>
    <w:basedOn w:val="871"/>
    <w:link w:val="885"/>
    <w:pPr>
      <w:pBdr/>
      <w:spacing/>
      <w:ind/>
    </w:pPr>
    <w:rPr>
      <w:rFonts w:ascii="Arial" w:hAnsi="Arial" w:cs="Arial"/>
      <w:b/>
      <w:color w:val="004979"/>
      <w:sz w:val="22"/>
      <w:szCs w:val="22"/>
      <w:lang w:val="fr-FR"/>
    </w:rPr>
  </w:style>
  <w:style w:type="paragraph" w:styleId="889" w:customStyle="1">
    <w:name w:val="EXP - Contenu"/>
    <w:basedOn w:val="861"/>
    <w:link w:val="892"/>
    <w:pPr>
      <w:pBdr/>
      <w:spacing/>
      <w:ind/>
    </w:pPr>
  </w:style>
  <w:style w:type="character" w:styleId="890" w:customStyle="1">
    <w:name w:val="EXP - Titre 4 Car"/>
    <w:basedOn w:val="871"/>
    <w:link w:val="887"/>
    <w:pPr>
      <w:pBdr/>
      <w:spacing/>
      <w:ind/>
    </w:pPr>
    <w:rPr>
      <w:rFonts w:ascii="Arial" w:hAnsi="Arial" w:cs="Arial"/>
      <w:b/>
      <w:color w:val="004979"/>
      <w:sz w:val="22"/>
      <w:szCs w:val="22"/>
      <w:u w:val="single"/>
      <w:lang w:val="fr-FR"/>
    </w:rPr>
  </w:style>
  <w:style w:type="character" w:styleId="891" w:customStyle="1">
    <w:name w:val="Titre 1 Car"/>
    <w:basedOn w:val="871"/>
    <w:link w:val="862"/>
    <w:uiPriority w:val="9"/>
    <w:pPr>
      <w:pBdr/>
      <w:spacing/>
      <w:ind/>
    </w:pPr>
    <w:rPr>
      <w:rFonts w:ascii="Tw Cen MT" w:hAnsi="Tw Cen MT" w:cs="Arial"/>
      <w:b/>
      <w:iCs/>
      <w:caps/>
      <w:color w:val="ffffff" w:themeColor="background1"/>
      <w:sz w:val="22"/>
      <w:szCs w:val="22"/>
      <w:shd w:val="clear" w:color="auto" w:fill="1f497d" w:themeFill="text2"/>
      <w:lang w:val="fr-FR"/>
    </w:rPr>
  </w:style>
  <w:style w:type="character" w:styleId="892" w:customStyle="1">
    <w:name w:val="EXP - Contenu Car"/>
    <w:basedOn w:val="871"/>
    <w:link w:val="889"/>
    <w:pPr>
      <w:pBdr/>
      <w:spacing/>
      <w:ind/>
    </w:pPr>
    <w:rPr>
      <w:rFonts w:ascii="Arial" w:hAnsi="Arial" w:cs="Arial"/>
      <w:sz w:val="22"/>
      <w:szCs w:val="22"/>
      <w:lang w:val="fr-FR"/>
    </w:rPr>
  </w:style>
  <w:style w:type="character" w:styleId="893" w:customStyle="1">
    <w:name w:val="Titre 2 Car"/>
    <w:basedOn w:val="871"/>
    <w:link w:val="863"/>
    <w:uiPriority w:val="9"/>
    <w:pPr>
      <w:pBdr/>
      <w:spacing/>
      <w:ind/>
    </w:pPr>
    <w:rPr>
      <w:rFonts w:ascii="Tw Cen MT" w:hAnsi="Tw Cen MT" w:cs="Arial"/>
      <w:iCs/>
      <w:color w:val="ffffff" w:themeColor="background1"/>
      <w:sz w:val="22"/>
      <w:szCs w:val="22"/>
      <w:shd w:val="clear" w:color="auto" w:fill="95b3d7" w:themeFill="accent1" w:themeFillTint="99"/>
      <w:lang w:val="fr-FR"/>
    </w:rPr>
  </w:style>
  <w:style w:type="character" w:styleId="894" w:customStyle="1">
    <w:name w:val="Titre 3 Car"/>
    <w:basedOn w:val="871"/>
    <w:link w:val="864"/>
    <w:uiPriority w:val="9"/>
    <w:pPr>
      <w:pBdr/>
      <w:spacing/>
      <w:ind/>
    </w:pPr>
    <w:rPr>
      <w:rFonts w:asciiTheme="majorHAnsi" w:hAnsiTheme="majorHAnsi" w:eastAsiaTheme="majorEastAsia" w:cstheme="majorBidi"/>
      <w:b/>
      <w:bCs/>
      <w:iCs/>
      <w:color w:val="243f60" w:themeColor="accent1" w:themeShade="7F"/>
      <w:sz w:val="22"/>
      <w:szCs w:val="22"/>
      <w:lang w:val="fr-FR"/>
    </w:rPr>
  </w:style>
  <w:style w:type="paragraph" w:styleId="895">
    <w:name w:val="toc 1"/>
    <w:basedOn w:val="903"/>
    <w:next w:val="861"/>
    <w:uiPriority w:val="39"/>
    <w:unhideWhenUsed/>
    <w:pPr>
      <w:pBdr/>
      <w:spacing w:after="100"/>
      <w:ind/>
    </w:pPr>
    <w:rPr>
      <w:rFonts w:ascii="Arial" w:hAnsi="Arial"/>
      <w:b/>
      <w:caps/>
      <w:color w:val="004979"/>
    </w:rPr>
  </w:style>
  <w:style w:type="paragraph" w:styleId="896">
    <w:name w:val="toc 2"/>
    <w:basedOn w:val="903"/>
    <w:next w:val="861"/>
    <w:uiPriority w:val="39"/>
    <w:unhideWhenUsed/>
    <w:pPr>
      <w:pBdr/>
      <w:spacing w:after="100"/>
      <w:ind w:left="240"/>
    </w:pPr>
    <w:rPr>
      <w:rFonts w:ascii="Arial" w:hAnsi="Arial"/>
      <w:color w:val="68b1e6"/>
    </w:rPr>
  </w:style>
  <w:style w:type="character" w:styleId="897">
    <w:name w:val="Hyperlink"/>
    <w:basedOn w:val="871"/>
    <w:uiPriority w:val="99"/>
    <w:unhideWhenUsed/>
    <w:pPr>
      <w:pBdr/>
      <w:spacing/>
      <w:ind/>
    </w:pPr>
    <w:rPr>
      <w:color w:val="0000ff" w:themeColor="hyperlink"/>
      <w:u w:val="single"/>
    </w:rPr>
  </w:style>
  <w:style w:type="paragraph" w:styleId="898">
    <w:name w:val="Normal (Web)"/>
    <w:basedOn w:val="861"/>
    <w:uiPriority w:val="99"/>
    <w:unhideWhenUsed/>
    <w:pPr>
      <w:pBdr/>
      <w:spacing w:after="100" w:afterAutospacing="1" w:before="100" w:beforeAutospacing="1"/>
      <w:ind/>
    </w:pPr>
    <w:rPr>
      <w:rFonts w:ascii="Times New Roman" w:hAnsi="Times New Roman" w:eastAsia="Times New Roman" w:cs="Times New Roman"/>
      <w:lang w:eastAsia="fr-FR"/>
    </w:rPr>
  </w:style>
  <w:style w:type="paragraph" w:styleId="899">
    <w:name w:val="footnote text"/>
    <w:basedOn w:val="861"/>
    <w:link w:val="900"/>
    <w:semiHidden/>
    <w:unhideWhenUsed/>
    <w:qFormat/>
    <w:pPr>
      <w:pBdr/>
      <w:spacing w:after="0"/>
      <w:ind/>
    </w:pPr>
    <w:rPr>
      <w:sz w:val="20"/>
      <w:szCs w:val="20"/>
    </w:rPr>
  </w:style>
  <w:style w:type="character" w:styleId="900" w:customStyle="1">
    <w:name w:val="Note de bas de page Car"/>
    <w:basedOn w:val="871"/>
    <w:link w:val="899"/>
    <w:semiHidden/>
    <w:pPr>
      <w:pBdr/>
      <w:spacing/>
      <w:ind/>
    </w:pPr>
    <w:rPr>
      <w:lang w:val="fr-FR"/>
    </w:rPr>
  </w:style>
  <w:style w:type="character" w:styleId="901">
    <w:name w:val="footnote reference"/>
    <w:basedOn w:val="871"/>
    <w:link w:val="942"/>
    <w:unhideWhenUsed/>
    <w:pPr>
      <w:pBdr/>
      <w:spacing/>
      <w:ind/>
    </w:pPr>
    <w:rPr>
      <w:vertAlign w:val="superscript"/>
    </w:rPr>
  </w:style>
  <w:style w:type="paragraph" w:styleId="902">
    <w:name w:val="TOC Heading"/>
    <w:basedOn w:val="862"/>
    <w:next w:val="861"/>
    <w:uiPriority w:val="39"/>
    <w:unhideWhenUsed/>
    <w:qFormat/>
    <w:pPr>
      <w:pBdr/>
      <w:spacing w:line="259" w:lineRule="auto"/>
      <w:ind/>
      <w:outlineLvl w:val="9"/>
    </w:pPr>
    <w:rPr>
      <w:lang w:eastAsia="fr-FR"/>
    </w:rPr>
  </w:style>
  <w:style w:type="paragraph" w:styleId="903">
    <w:name w:val="No Spacing"/>
    <w:uiPriority w:val="1"/>
    <w:qFormat/>
    <w:pPr>
      <w:pBdr/>
      <w:spacing w:after="0"/>
      <w:ind/>
    </w:pPr>
    <w:rPr>
      <w:sz w:val="24"/>
      <w:szCs w:val="24"/>
      <w:lang w:val="fr-FR"/>
    </w:rPr>
  </w:style>
  <w:style w:type="paragraph" w:styleId="904" w:customStyle="1">
    <w:name w:val="EXP_sous-titre foncé"/>
    <w:basedOn w:val="861"/>
    <w:link w:val="906"/>
    <w:qFormat/>
    <w:pPr>
      <w:pBdr/>
      <w:spacing w:after="0"/>
      <w:ind/>
    </w:pPr>
    <w:rPr>
      <w:color w:val="ffffff" w:themeColor="background1"/>
      <w:sz w:val="50"/>
      <w:szCs w:val="50"/>
      <w:shd w:val="clear" w:color="auto" w:fill="004979"/>
    </w:rPr>
  </w:style>
  <w:style w:type="paragraph" w:styleId="905" w:customStyle="1">
    <w:name w:val="EXP-sous titre défoncé"/>
    <w:basedOn w:val="861"/>
    <w:link w:val="908"/>
    <w:qFormat/>
    <w:pPr>
      <w:pBdr/>
      <w:spacing w:after="0"/>
      <w:ind/>
    </w:pPr>
    <w:rPr>
      <w:color w:val="c0b5b2"/>
      <w:sz w:val="50"/>
      <w:szCs w:val="50"/>
      <w:shd w:val="clear" w:color="auto" w:fill="ffffff"/>
    </w:rPr>
  </w:style>
  <w:style w:type="character" w:styleId="906" w:customStyle="1">
    <w:name w:val="EXP_sous-titre foncé Car"/>
    <w:basedOn w:val="871"/>
    <w:link w:val="904"/>
    <w:pPr>
      <w:pBdr/>
      <w:spacing/>
      <w:ind/>
    </w:pPr>
    <w:rPr>
      <w:rFonts w:ascii="Arial" w:hAnsi="Arial" w:cs="Arial"/>
      <w:color w:val="ffffff" w:themeColor="background1"/>
      <w:sz w:val="50"/>
      <w:szCs w:val="50"/>
      <w:lang w:val="fr-FR"/>
    </w:rPr>
  </w:style>
  <w:style w:type="table" w:styleId="907">
    <w:name w:val="Table Grid"/>
    <w:basedOn w:val="872"/>
    <w:uiPriority w:val="59"/>
    <w:pPr>
      <w:pBdr/>
      <w:spacing w:after="0"/>
      <w:ind/>
    </w:pPr>
    <w:rPr>
      <w:rFonts w:eastAsiaTheme="minorHAnsi"/>
      <w:sz w:val="22"/>
      <w:szCs w:val="22"/>
      <w:lang w:val="fr-FR"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8" w:customStyle="1">
    <w:name w:val="EXP-sous titre défoncé Car"/>
    <w:basedOn w:val="871"/>
    <w:link w:val="905"/>
    <w:pPr>
      <w:pBdr/>
      <w:spacing/>
      <w:ind/>
    </w:pPr>
    <w:rPr>
      <w:rFonts w:ascii="Arial" w:hAnsi="Arial" w:cs="Arial"/>
      <w:color w:val="c0b5b2"/>
      <w:sz w:val="50"/>
      <w:szCs w:val="50"/>
      <w:lang w:val="fr-FR"/>
    </w:rPr>
  </w:style>
  <w:style w:type="paragraph" w:styleId="909" w:customStyle="1">
    <w:name w:val="2Tableau_normal"/>
    <w:basedOn w:val="861"/>
    <w:link w:val="910"/>
    <w:pPr>
      <w:pBdr/>
      <w:tabs>
        <w:tab w:val="clear" w:leader="none" w:pos="9923"/>
      </w:tabs>
      <w:spacing w:after="60"/>
      <w:ind w:left="0"/>
    </w:pPr>
    <w:rPr>
      <w:rFonts w:cstheme="minorBidi"/>
      <w:sz w:val="20"/>
      <w:lang w:eastAsia="en-US"/>
    </w:rPr>
  </w:style>
  <w:style w:type="character" w:styleId="910" w:customStyle="1">
    <w:name w:val="2Tableau_normal Car"/>
    <w:basedOn w:val="871"/>
    <w:link w:val="909"/>
    <w:pPr>
      <w:pBdr/>
      <w:spacing/>
      <w:ind/>
    </w:pPr>
    <w:rPr>
      <w:rFonts w:ascii="Arial" w:hAnsi="Arial"/>
      <w:szCs w:val="22"/>
      <w:lang w:val="fr-FR" w:eastAsia="en-US"/>
    </w:rPr>
  </w:style>
  <w:style w:type="character" w:styleId="911" w:customStyle="1">
    <w:name w:val="Mention non résolue1"/>
    <w:basedOn w:val="871"/>
    <w:uiPriority w:val="99"/>
    <w:semiHidden/>
    <w:unhideWhenUsed/>
    <w:pPr>
      <w:pBdr/>
      <w:spacing/>
      <w:ind/>
    </w:pPr>
    <w:rPr>
      <w:color w:val="605e5c"/>
      <w:shd w:val="clear" w:color="auto" w:fill="e1dfdd"/>
    </w:rPr>
  </w:style>
  <w:style w:type="character" w:styleId="912">
    <w:name w:val="FollowedHyperlink"/>
    <w:basedOn w:val="871"/>
    <w:uiPriority w:val="99"/>
    <w:semiHidden/>
    <w:unhideWhenUsed/>
    <w:pPr>
      <w:pBdr/>
      <w:spacing/>
      <w:ind/>
    </w:pPr>
    <w:rPr>
      <w:color w:val="800080" w:themeColor="followedHyperlink"/>
      <w:u w:val="single"/>
    </w:rPr>
  </w:style>
  <w:style w:type="character" w:styleId="913" w:customStyle="1">
    <w:name w:val="fontstyle01"/>
    <w:basedOn w:val="871"/>
    <w:pPr>
      <w:pBdr/>
      <w:spacing/>
      <w:ind/>
    </w:pPr>
    <w:rPr>
      <w:rFonts w:hint="default" w:ascii="Verdana-Bold" w:hAnsi="Verdana-Bold"/>
      <w:b/>
      <w:bCs/>
      <w:i w:val="0"/>
      <w:iCs w:val="0"/>
      <w:color w:val="000000"/>
      <w:sz w:val="20"/>
      <w:szCs w:val="20"/>
    </w:rPr>
  </w:style>
  <w:style w:type="character" w:styleId="914" w:customStyle="1">
    <w:name w:val="fontstyle21"/>
    <w:basedOn w:val="871"/>
    <w:pPr>
      <w:pBdr/>
      <w:spacing/>
      <w:ind/>
    </w:pPr>
    <w:rPr>
      <w:rFonts w:hint="default" w:ascii="Verdana" w:hAnsi="Verdana"/>
      <w:b w:val="0"/>
      <w:bCs w:val="0"/>
      <w:i w:val="0"/>
      <w:iCs w:val="0"/>
      <w:color w:val="000000"/>
      <w:sz w:val="18"/>
      <w:szCs w:val="18"/>
    </w:rPr>
  </w:style>
  <w:style w:type="paragraph" w:styleId="915">
    <w:name w:val="Caption"/>
    <w:basedOn w:val="861"/>
    <w:next w:val="861"/>
    <w:uiPriority w:val="35"/>
    <w:unhideWhenUsed/>
    <w:qFormat/>
    <w:pPr>
      <w:pBdr/>
      <w:spacing w:after="200"/>
      <w:ind/>
    </w:pPr>
    <w:rPr>
      <w:i/>
      <w:iCs w:val="0"/>
      <w:color w:val="1f497d" w:themeColor="text2"/>
      <w:sz w:val="18"/>
      <w:szCs w:val="18"/>
    </w:rPr>
  </w:style>
  <w:style w:type="character" w:styleId="916" w:customStyle="1">
    <w:name w:val="Titre 4 Car"/>
    <w:basedOn w:val="871"/>
    <w:link w:val="865"/>
    <w:uiPriority w:val="9"/>
    <w:pPr>
      <w:pBdr/>
      <w:spacing/>
      <w:ind/>
    </w:pPr>
    <w:rPr>
      <w:rFonts w:asciiTheme="majorHAnsi" w:hAnsiTheme="majorHAnsi" w:eastAsiaTheme="majorEastAsia" w:cstheme="majorBidi"/>
      <w:i/>
      <w:iCs/>
      <w:color w:val="365f91" w:themeColor="accent1" w:themeShade="BF"/>
      <w:sz w:val="22"/>
      <w:szCs w:val="22"/>
      <w:lang w:val="fr-FR"/>
    </w:rPr>
  </w:style>
  <w:style w:type="paragraph" w:styleId="917">
    <w:name w:val="Quote"/>
    <w:basedOn w:val="861"/>
    <w:next w:val="861"/>
    <w:link w:val="918"/>
    <w:uiPriority w:val="29"/>
    <w:qFormat/>
    <w:pPr>
      <w:pBdr/>
      <w:spacing w:after="160" w:before="200"/>
      <w:ind w:right="864" w:left="864"/>
      <w:jc w:val="center"/>
    </w:pPr>
    <w:rPr>
      <w:i/>
      <w:iCs w:val="0"/>
      <w:color w:val="404040" w:themeColor="text1" w:themeTint="BF"/>
    </w:rPr>
  </w:style>
  <w:style w:type="character" w:styleId="918" w:customStyle="1">
    <w:name w:val="Citation Car"/>
    <w:basedOn w:val="871"/>
    <w:link w:val="917"/>
    <w:uiPriority w:val="29"/>
    <w:pPr>
      <w:pBdr/>
      <w:spacing/>
      <w:ind/>
    </w:pPr>
    <w:rPr>
      <w:rFonts w:ascii="Arial" w:hAnsi="Arial" w:cs="Arial"/>
      <w:i/>
      <w:iCs/>
      <w:color w:val="404040" w:themeColor="text1" w:themeTint="BF"/>
      <w:sz w:val="22"/>
      <w:szCs w:val="22"/>
      <w:lang w:val="en-GB"/>
    </w:rPr>
  </w:style>
  <w:style w:type="character" w:styleId="919" w:customStyle="1">
    <w:name w:val="Titre 5 Car"/>
    <w:basedOn w:val="871"/>
    <w:link w:val="866"/>
    <w:uiPriority w:val="9"/>
    <w:pPr>
      <w:pBdr/>
      <w:spacing/>
      <w:ind/>
    </w:pPr>
    <w:rPr>
      <w:rFonts w:asciiTheme="majorHAnsi" w:hAnsiTheme="majorHAnsi" w:eastAsiaTheme="majorEastAsia" w:cstheme="majorBidi"/>
      <w:iCs/>
      <w:color w:val="365f91" w:themeColor="accent1" w:themeShade="BF"/>
      <w:sz w:val="22"/>
      <w:szCs w:val="22"/>
      <w:lang w:val="fr-FR"/>
    </w:rPr>
  </w:style>
  <w:style w:type="character" w:styleId="920" w:customStyle="1">
    <w:name w:val="Titre 6 Car"/>
    <w:basedOn w:val="871"/>
    <w:link w:val="867"/>
    <w:uiPriority w:val="9"/>
    <w:pPr>
      <w:pBdr/>
      <w:spacing/>
      <w:ind/>
    </w:pPr>
    <w:rPr>
      <w:rFonts w:asciiTheme="majorHAnsi" w:hAnsiTheme="majorHAnsi" w:eastAsiaTheme="majorEastAsia" w:cstheme="majorBidi"/>
      <w:iCs/>
      <w:color w:val="243f60" w:themeColor="accent1" w:themeShade="7F"/>
      <w:sz w:val="22"/>
      <w:szCs w:val="22"/>
      <w:lang w:val="fr-FR"/>
    </w:rPr>
  </w:style>
  <w:style w:type="character" w:styleId="921" w:customStyle="1">
    <w:name w:val="Titre 7 Car"/>
    <w:basedOn w:val="871"/>
    <w:link w:val="868"/>
    <w:uiPriority w:val="9"/>
    <w:pPr>
      <w:pBdr/>
      <w:spacing/>
      <w:ind/>
    </w:pPr>
    <w:rPr>
      <w:rFonts w:asciiTheme="majorHAnsi" w:hAnsiTheme="majorHAnsi" w:eastAsiaTheme="majorEastAsia" w:cstheme="majorBidi"/>
      <w:i/>
      <w:color w:val="243f60" w:themeColor="accent1" w:themeShade="7F"/>
      <w:sz w:val="22"/>
      <w:szCs w:val="22"/>
      <w:lang w:val="fr-FR"/>
    </w:rPr>
  </w:style>
  <w:style w:type="character" w:styleId="922" w:customStyle="1">
    <w:name w:val="Titre 8 Car"/>
    <w:basedOn w:val="871"/>
    <w:link w:val="869"/>
    <w:uiPriority w:val="9"/>
    <w:semiHidden/>
    <w:pPr>
      <w:pBdr/>
      <w:spacing/>
      <w:ind/>
    </w:pPr>
    <w:rPr>
      <w:rFonts w:asciiTheme="majorHAnsi" w:hAnsiTheme="majorHAnsi" w:eastAsiaTheme="majorEastAsia" w:cstheme="majorBidi"/>
      <w:iCs/>
      <w:color w:val="272727" w:themeColor="text1" w:themeTint="D8"/>
      <w:sz w:val="21"/>
      <w:szCs w:val="21"/>
      <w:lang w:val="fr-FR"/>
    </w:rPr>
  </w:style>
  <w:style w:type="character" w:styleId="923" w:customStyle="1">
    <w:name w:val="Titre 9 Car"/>
    <w:basedOn w:val="871"/>
    <w:link w:val="870"/>
    <w:uiPriority w:val="9"/>
    <w:semiHidden/>
    <w:pPr>
      <w:pBdr/>
      <w:spacing/>
      <w:ind/>
    </w:pPr>
    <w:rPr>
      <w:rFonts w:asciiTheme="majorHAnsi" w:hAnsiTheme="majorHAnsi" w:eastAsiaTheme="majorEastAsia" w:cstheme="majorBidi"/>
      <w:i/>
      <w:color w:val="272727" w:themeColor="text1" w:themeTint="D8"/>
      <w:sz w:val="21"/>
      <w:szCs w:val="21"/>
      <w:lang w:val="fr-FR"/>
    </w:rPr>
  </w:style>
  <w:style w:type="character" w:styleId="924" w:customStyle="1">
    <w:name w:val="fontstyle11"/>
    <w:basedOn w:val="871"/>
    <w:pPr>
      <w:pBdr/>
      <w:spacing/>
      <w:ind/>
    </w:pPr>
    <w:rPr>
      <w:rFonts w:hint="default" w:ascii="MyriadPro-Regular-Identity-H" w:hAnsi="MyriadPro-Regular-Identity-H"/>
      <w:b w:val="0"/>
      <w:bCs w:val="0"/>
      <w:i w:val="0"/>
      <w:iCs w:val="0"/>
      <w:color w:val="242021"/>
      <w:sz w:val="18"/>
      <w:szCs w:val="18"/>
    </w:rPr>
  </w:style>
  <w:style w:type="character" w:styleId="925" w:customStyle="1">
    <w:name w:val="fontstyle31"/>
    <w:basedOn w:val="871"/>
    <w:pPr>
      <w:pBdr/>
      <w:spacing/>
      <w:ind/>
    </w:pPr>
    <w:rPr>
      <w:rFonts w:hint="default" w:ascii="Verdana-Italic" w:hAnsi="Verdana-Italic"/>
      <w:b w:val="0"/>
      <w:bCs w:val="0"/>
      <w:i/>
      <w:iCs/>
      <w:color w:val="000000"/>
      <w:sz w:val="18"/>
      <w:szCs w:val="18"/>
    </w:rPr>
  </w:style>
  <w:style w:type="character" w:styleId="926">
    <w:name w:val="annotation reference"/>
    <w:basedOn w:val="871"/>
    <w:uiPriority w:val="99"/>
    <w:semiHidden/>
    <w:unhideWhenUsed/>
    <w:pPr>
      <w:pBdr/>
      <w:spacing/>
      <w:ind/>
    </w:pPr>
    <w:rPr>
      <w:sz w:val="16"/>
      <w:szCs w:val="16"/>
    </w:rPr>
  </w:style>
  <w:style w:type="paragraph" w:styleId="927">
    <w:name w:val="annotation text"/>
    <w:basedOn w:val="861"/>
    <w:link w:val="928"/>
    <w:uiPriority w:val="99"/>
    <w:unhideWhenUsed/>
    <w:pPr>
      <w:pBdr/>
      <w:spacing/>
      <w:ind/>
    </w:pPr>
    <w:rPr>
      <w:sz w:val="20"/>
      <w:szCs w:val="20"/>
    </w:rPr>
  </w:style>
  <w:style w:type="character" w:styleId="928" w:customStyle="1">
    <w:name w:val="Commentaire Car"/>
    <w:basedOn w:val="871"/>
    <w:link w:val="927"/>
    <w:uiPriority w:val="99"/>
    <w:pPr>
      <w:pBdr/>
      <w:spacing/>
      <w:ind/>
    </w:pPr>
    <w:rPr>
      <w:rFonts w:ascii="Arial" w:hAnsi="Arial" w:cs="Arial"/>
      <w:lang w:val="en-GB"/>
    </w:rPr>
  </w:style>
  <w:style w:type="paragraph" w:styleId="929">
    <w:name w:val="annotation subject"/>
    <w:basedOn w:val="927"/>
    <w:next w:val="927"/>
    <w:link w:val="930"/>
    <w:uiPriority w:val="99"/>
    <w:semiHidden/>
    <w:unhideWhenUsed/>
    <w:pPr>
      <w:pBdr/>
      <w:spacing/>
      <w:ind/>
    </w:pPr>
    <w:rPr>
      <w:b/>
      <w:bCs/>
    </w:rPr>
  </w:style>
  <w:style w:type="character" w:styleId="930" w:customStyle="1">
    <w:name w:val="Objet du commentaire Car"/>
    <w:basedOn w:val="928"/>
    <w:link w:val="929"/>
    <w:uiPriority w:val="99"/>
    <w:semiHidden/>
    <w:pPr>
      <w:pBdr/>
      <w:spacing/>
      <w:ind/>
    </w:pPr>
    <w:rPr>
      <w:rFonts w:ascii="Arial" w:hAnsi="Arial" w:cs="Arial"/>
      <w:b/>
      <w:bCs/>
      <w:lang w:val="en-GB"/>
    </w:rPr>
  </w:style>
  <w:style w:type="paragraph" w:styleId="931">
    <w:name w:val="toc 3"/>
    <w:basedOn w:val="861"/>
    <w:next w:val="861"/>
    <w:uiPriority w:val="39"/>
    <w:unhideWhenUsed/>
    <w:pPr>
      <w:pBdr/>
      <w:tabs>
        <w:tab w:val="clear" w:leader="none" w:pos="9923"/>
      </w:tabs>
      <w:spacing w:after="100"/>
      <w:ind w:left="440"/>
    </w:pPr>
  </w:style>
  <w:style w:type="character" w:styleId="932" w:customStyle="1">
    <w:name w:val="Titre1"/>
    <w:basedOn w:val="871"/>
    <w:pPr>
      <w:pBdr/>
      <w:spacing/>
      <w:ind/>
    </w:pPr>
  </w:style>
  <w:style w:type="table" w:styleId="933" w:customStyle="1">
    <w:name w:val="Focus"/>
    <w:basedOn w:val="872"/>
    <w:uiPriority w:val="99"/>
    <w:pPr>
      <w:pBdr/>
      <w:spacing w:after="0"/>
      <w:ind/>
    </w:pPr>
    <w:rPr>
      <w:rFonts w:cs="Times New Roman (Corps CS)" w:eastAsiaTheme="minorHAnsi"/>
      <w:sz w:val="21"/>
      <w:szCs w:val="24"/>
      <w:lang w:val="fr-FR" w:eastAsia="en-US"/>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98" w:type="dxa"/>
        <w:top w:w="113" w:type="dxa"/>
        <w:right w:w="198" w:type="dxa"/>
        <w:bottom w:w="113" w:type="dxa"/>
      </w:tblCellMar>
    </w:tblPr>
    <w:tcPr>
      <w:shd w:val="clear" w:color="auto" w:fill="f5f5f5"/>
      <w:tcBorders/>
    </w:tcPr>
    <w:tblStylePr w:type="band1Horz">
      <w:rPr>
        <w:rFonts w:asciiTheme="minorHAnsi" w:hAnsiTheme="minorHAnsi"/>
      </w:rPr>
      <w:pPr>
        <w:pBdr/>
        <w:spacing/>
        <w:ind/>
      </w:pPr>
      <w:tblPr>
        <w:tblBorders/>
      </w:tblPr>
      <w:tcPr>
        <w:tcBorders/>
      </w:tcPr>
    </w:tblStylePr>
    <w:tblStylePr w:type="band1Vert">
      <w:rPr>
        <w:rFonts w:asciiTheme="minorHAnsi" w:hAnsiTheme="minorHAnsi"/>
      </w:rPr>
      <w:pPr>
        <w:pBdr/>
        <w:spacing/>
        <w:ind/>
      </w:pPr>
      <w:tblPr>
        <w:tblBorders/>
      </w:tblPr>
      <w:tcPr>
        <w:tcBorders/>
      </w:tcPr>
    </w:tblStylePr>
    <w:tblStylePr w:type="band2Horz">
      <w:rPr>
        <w:rFonts w:asciiTheme="minorHAnsi" w:hAnsiTheme="minorHAnsi"/>
      </w:rPr>
      <w:pPr>
        <w:pBdr/>
        <w:spacing/>
        <w:ind/>
      </w:pPr>
      <w:tblPr>
        <w:tblBorders/>
      </w:tblPr>
      <w:tcPr>
        <w:tcBorders/>
      </w:tcPr>
    </w:tblStylePr>
    <w:tblStylePr w:type="band2Vert">
      <w:rPr>
        <w:rFonts w:asciiTheme="minorHAnsi" w:hAnsiTheme="minorHAnsi"/>
      </w:rPr>
      <w:pPr>
        <w:pBdr/>
        <w:spacing/>
        <w:ind/>
      </w:pPr>
      <w:tblPr>
        <w:tblBorders/>
      </w:tblPr>
      <w:tcPr>
        <w:tcBorders/>
      </w:tcPr>
    </w:tblStylePr>
    <w:tblStylePr w:type="firstCol">
      <w:rPr>
        <w:rFonts w:asciiTheme="minorHAnsi" w:hAnsiTheme="minorHAnsi"/>
      </w:rPr>
      <w:pPr>
        <w:pBdr/>
        <w:spacing/>
        <w:ind/>
      </w:pPr>
      <w:tblPr>
        <w:tblBorders/>
      </w:tblPr>
      <w:tcPr>
        <w:tcBorders/>
      </w:tcPr>
    </w:tblStylePr>
    <w:tblStylePr w:type="firstRow">
      <w:rPr>
        <w:rFonts w:asciiTheme="minorHAnsi" w:hAnsiTheme="minorHAnsi"/>
      </w:rPr>
      <w:pPr>
        <w:pBdr/>
        <w:spacing/>
        <w:ind/>
      </w:pPr>
      <w:tblPr>
        <w:tblBorders/>
      </w:tblPr>
      <w:tcPr>
        <w:tcBorders/>
      </w:tcPr>
    </w:tblStylePr>
    <w:tblStylePr w:type="lastCol">
      <w:rPr>
        <w:rFonts w:asciiTheme="minorHAnsi" w:hAnsiTheme="minorHAnsi"/>
      </w:rPr>
      <w:pPr>
        <w:pBdr/>
        <w:spacing/>
        <w:ind/>
      </w:pPr>
      <w:tblPr>
        <w:tblBorders/>
      </w:tblPr>
      <w:tcPr>
        <w:tcBorders/>
      </w:tcPr>
    </w:tblStylePr>
    <w:tblStylePr w:type="lastRow">
      <w:rPr>
        <w:rFonts w:asciiTheme="minorHAnsi" w:hAnsiTheme="minorHAnsi"/>
      </w:rPr>
      <w:pPr>
        <w:pBdr/>
        <w:spacing/>
        <w:ind/>
      </w:pPr>
      <w:tblPr>
        <w:tblBorders/>
      </w:tblPr>
      <w:tcPr>
        <w:tcBorders/>
      </w:tcPr>
    </w:tblStylePr>
    <w:tblStylePr w:type="nwCell">
      <w:rPr>
        <w:rFonts w:asciiTheme="minorHAnsi" w:hAnsiTheme="minorHAnsi"/>
      </w:rPr>
      <w:pPr>
        <w:pBdr/>
        <w:spacing/>
        <w:ind/>
      </w:pPr>
      <w:tblPr>
        <w:tblBorders/>
      </w:tblPr>
      <w:tcPr>
        <w:tcBorders/>
      </w:tcPr>
    </w:tblStylePr>
    <w:tblStylePr w:type="neCell">
      <w:rPr>
        <w:rFonts w:asciiTheme="minorHAnsi" w:hAnsiTheme="minorHAnsi"/>
      </w:rPr>
      <w:pPr>
        <w:pBdr/>
        <w:spacing/>
        <w:ind/>
      </w:pPr>
      <w:tblPr>
        <w:tblBorders/>
      </w:tblPr>
      <w:tcPr>
        <w:tcBorders/>
      </w:tcPr>
    </w:tblStylePr>
    <w:tblStylePr w:type="swCell">
      <w:rPr>
        <w:rFonts w:asciiTheme="minorHAnsi" w:hAnsiTheme="minorHAnsi"/>
      </w:rPr>
      <w:pPr>
        <w:pBdr/>
        <w:spacing/>
        <w:ind/>
      </w:pPr>
      <w:tblPr>
        <w:tblBorders/>
      </w:tblPr>
      <w:tcPr>
        <w:tcBorders/>
      </w:tcPr>
    </w:tblStylePr>
    <w:tblStylePr w:type="seCell">
      <w:rPr>
        <w:rFonts w:asciiTheme="minorHAnsi" w:hAnsiTheme="minorHAnsi"/>
      </w:rPr>
      <w:pPr>
        <w:pBdr/>
        <w:spacing/>
        <w:ind/>
      </w:pPr>
      <w:tblPr>
        <w:tblBorders/>
      </w:tblPr>
      <w:tcPr>
        <w:tcBorders/>
      </w:tcPr>
    </w:tblStylePr>
    <w:tblStylePr w:type="wholeTable">
      <w:pPr>
        <w:pBdr/>
        <w:spacing/>
        <w:ind/>
      </w:pPr>
      <w:tblPr>
        <w:tblBorders/>
      </w:tblPr>
      <w:tcPr>
        <w:tcBorders/>
      </w:tcPr>
    </w:tblStylePr>
  </w:style>
  <w:style w:type="paragraph" w:styleId="934" w:customStyle="1">
    <w:name w:val="Default"/>
    <w:pPr>
      <w:pBdr/>
      <w:spacing w:after="0"/>
      <w:ind/>
    </w:pPr>
    <w:rPr>
      <w:rFonts w:ascii="Verdana" w:hAnsi="Verdana" w:cs="Verdana" w:eastAsiaTheme="minorHAnsi"/>
      <w:color w:val="000000"/>
      <w:sz w:val="24"/>
      <w:szCs w:val="24"/>
      <w:lang w:val="fr-FR" w:eastAsia="en-US"/>
    </w:rPr>
  </w:style>
  <w:style w:type="paragraph" w:styleId="935" w:customStyle="1">
    <w:name w:val="Style Style Check list + 105 pt Avant : 6 pt Haut: (Pas de bordure)..."/>
    <w:basedOn w:val="934"/>
    <w:next w:val="934"/>
    <w:uiPriority w:val="99"/>
    <w:pPr>
      <w:pBdr/>
      <w:spacing/>
      <w:ind/>
    </w:pPr>
    <w:rPr>
      <w:rFonts w:cstheme="minorBidi"/>
      <w:color w:val="auto"/>
    </w:rPr>
  </w:style>
  <w:style w:type="paragraph" w:styleId="936">
    <w:name w:val="List Bullet"/>
    <w:basedOn w:val="861"/>
    <w:uiPriority w:val="99"/>
    <w:unhideWhenUsed/>
    <w:pPr>
      <w:numPr>
        <w:numId w:val="7"/>
      </w:numPr>
      <w:pBdr/>
      <w:spacing/>
      <w:ind/>
      <w:contextualSpacing w:val="true"/>
    </w:pPr>
  </w:style>
  <w:style w:type="paragraph" w:styleId="937" w:customStyle="1">
    <w:name w:val="puce_EF"/>
    <w:basedOn w:val="878"/>
    <w:link w:val="938"/>
    <w:qFormat/>
    <w:pPr>
      <w:numPr>
        <w:numId w:val="6"/>
      </w:numPr>
      <w:pBdr/>
      <w:spacing/>
      <w:ind/>
    </w:pPr>
  </w:style>
  <w:style w:type="character" w:styleId="938" w:customStyle="1">
    <w:name w:val="puce_EF Car"/>
    <w:basedOn w:val="883"/>
    <w:link w:val="937"/>
    <w:pPr>
      <w:pBdr/>
      <w:spacing/>
      <w:ind/>
    </w:pPr>
    <w:rPr>
      <w:rFonts w:ascii="Tw Cen MT" w:hAnsi="Tw Cen MT" w:cs="Arial"/>
      <w:iCs/>
      <w:color w:val="000000"/>
      <w:sz w:val="22"/>
      <w:szCs w:val="22"/>
      <w:lang w:val="fr-FR"/>
    </w:rPr>
  </w:style>
  <w:style w:type="table" w:styleId="939">
    <w:name w:val="Grid Table 1 Light Accent 1"/>
    <w:basedOn w:val="872"/>
    <w:uiPriority w:val="46"/>
    <w:pPr>
      <w:pBdr/>
      <w:spacing w:after="0"/>
      <w:ind/>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bottom w:val="single" w:color="95b3d7" w:themeColor="accent1" w:themeTint="99" w:sz="12" w:space="0"/>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5b3d7" w:themeColor="accent1" w:themeTint="99" w:sz="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40">
    <w:name w:val="Balloon Text"/>
    <w:basedOn w:val="861"/>
    <w:link w:val="941"/>
    <w:uiPriority w:val="99"/>
    <w:semiHidden/>
    <w:unhideWhenUsed/>
    <w:pPr>
      <w:pBdr/>
      <w:spacing w:after="0"/>
      <w:ind/>
    </w:pPr>
    <w:rPr>
      <w:rFonts w:ascii="Segoe UI" w:hAnsi="Segoe UI" w:cs="Segoe UI"/>
      <w:sz w:val="18"/>
      <w:szCs w:val="18"/>
    </w:rPr>
  </w:style>
  <w:style w:type="character" w:styleId="941" w:customStyle="1">
    <w:name w:val="Texte de bulles Car"/>
    <w:basedOn w:val="871"/>
    <w:link w:val="940"/>
    <w:uiPriority w:val="99"/>
    <w:semiHidden/>
    <w:pPr>
      <w:pBdr/>
      <w:spacing/>
      <w:ind/>
    </w:pPr>
    <w:rPr>
      <w:rFonts w:ascii="Segoe UI" w:hAnsi="Segoe UI" w:cs="Segoe UI"/>
      <w:i/>
      <w:iCs/>
      <w:color w:val="000000"/>
      <w:sz w:val="18"/>
      <w:szCs w:val="18"/>
      <w:lang w:val="fr-FR"/>
    </w:rPr>
  </w:style>
  <w:style w:type="paragraph" w:styleId="942" w:customStyle="1">
    <w:name w:val="BVI fnr Char Car1 Car Char"/>
    <w:basedOn w:val="861"/>
    <w:next w:val="861"/>
    <w:link w:val="901"/>
    <w:pPr>
      <w:pBdr/>
      <w:tabs>
        <w:tab w:val="clear" w:leader="none" w:pos="9923"/>
      </w:tabs>
      <w:spacing w:after="160" w:line="240" w:lineRule="exact"/>
      <w:ind w:left="0"/>
      <w:jc w:val="left"/>
    </w:pPr>
    <w:rPr>
      <w:rFonts w:asciiTheme="minorHAnsi" w:hAnsiTheme="minorHAnsi" w:cstheme="minorBidi"/>
      <w:i/>
      <w:iCs w:val="0"/>
      <w:color w:val="auto"/>
      <w:sz w:val="20"/>
      <w:szCs w:val="20"/>
      <w:vertAlign w:val="superscript"/>
      <w:lang w:val="en-US"/>
    </w:rPr>
  </w:style>
  <w:style w:type="paragraph" w:styleId="943">
    <w:name w:val="HTML Preformatted"/>
    <w:basedOn w:val="861"/>
    <w:link w:val="944"/>
    <w:uiPriority w:val="99"/>
    <w:semiHidden/>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clear" w:leader="none" w:pos="9923"/>
        <w:tab w:val="left" w:leader="none" w:pos="10076"/>
        <w:tab w:val="left" w:leader="none" w:pos="10992"/>
        <w:tab w:val="left" w:leader="none" w:pos="11908"/>
        <w:tab w:val="left" w:leader="none" w:pos="12824"/>
        <w:tab w:val="left" w:leader="none" w:pos="13740"/>
        <w:tab w:val="left" w:leader="none" w:pos="14656"/>
      </w:tabs>
      <w:spacing w:after="0"/>
      <w:ind w:left="0"/>
      <w:jc w:val="left"/>
    </w:pPr>
    <w:rPr>
      <w:rFonts w:ascii="Courier New" w:hAnsi="Courier New" w:eastAsia="Times New Roman" w:cs="Courier New"/>
      <w:i/>
      <w:iCs w:val="0"/>
      <w:color w:val="auto"/>
      <w:sz w:val="20"/>
      <w:szCs w:val="20"/>
      <w:lang w:val="en-GB" w:eastAsia="en-GB"/>
    </w:rPr>
  </w:style>
  <w:style w:type="character" w:styleId="944" w:customStyle="1">
    <w:name w:val="Préformaté HTML Car"/>
    <w:basedOn w:val="871"/>
    <w:link w:val="943"/>
    <w:uiPriority w:val="99"/>
    <w:semiHidden/>
    <w:pPr>
      <w:pBdr/>
      <w:spacing/>
      <w:ind/>
    </w:pPr>
    <w:rPr>
      <w:rFonts w:ascii="Courier New" w:hAnsi="Courier New" w:eastAsia="Times New Roman" w:cs="Courier New"/>
      <w:lang w:val="en-GB" w:eastAsia="en-GB"/>
    </w:rPr>
  </w:style>
  <w:style w:type="character" w:styleId="945" w:customStyle="1">
    <w:name w:val="y2iqfc"/>
    <w:basedOn w:val="871"/>
    <w:pPr>
      <w:pBdr/>
      <w:spacing/>
      <w:ind/>
    </w:pPr>
  </w:style>
  <w:style w:type="paragraph" w:styleId="946">
    <w:name w:val="Revision"/>
    <w:hidden/>
    <w:uiPriority w:val="99"/>
    <w:semiHidden/>
    <w:pPr>
      <w:pBdr/>
      <w:spacing w:after="0"/>
      <w:ind/>
    </w:pPr>
    <w:rPr>
      <w:rFonts w:ascii="Calibri-Italic" w:hAnsi="Calibri-Italic" w:cs="Arial"/>
      <w:i/>
      <w:iCs/>
      <w:color w:val="000000"/>
      <w:sz w:val="22"/>
      <w:szCs w:val="22"/>
      <w:lang w:val="fr-FR"/>
    </w:rPr>
  </w:style>
  <w:style w:type="character" w:styleId="947">
    <w:name w:val="Strong"/>
    <w:basedOn w:val="871"/>
    <w:uiPriority w:val="22"/>
    <w:qFormat/>
    <w:pPr>
      <w:pBdr/>
      <w:spacing/>
      <w:ind/>
    </w:pPr>
    <w:rPr>
      <w:b/>
      <w:bCs/>
    </w:rPr>
  </w:style>
  <w:style w:type="table" w:styleId="948">
    <w:name w:val="List Table 3 Accent 1"/>
    <w:basedOn w:val="872"/>
    <w:uiPriority w:val="48"/>
    <w:pPr>
      <w:pBdr/>
      <w:spacing w:after="0"/>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pPr>
        <w:pBdr/>
        <w:spacing/>
        <w:ind/>
      </w:pPr>
      <w:tblPr>
        <w:tblBorders/>
      </w:tblPr>
      <w:tcPr>
        <w:tcBorders>
          <w:top w:val="single" w:color="4f81bd" w:themeColor="accent1" w:sz="4" w:space="0"/>
          <w:bottom w:val="single" w:color="4f81bd" w:themeColor="accent1" w:sz="4" w:space="0"/>
        </w:tcBorders>
      </w:tcPr>
    </w:tblStylePr>
    <w:tblStylePr w:type="band1Vert">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shd w:val="clear" w:color="auto" w:fill="ffffff" w:themeFill="background1"/>
        <w:tcBorders>
          <w:right w:val="none" w:color="000000" w:sz="4" w:space="0"/>
        </w:tcBorders>
      </w:tcPr>
    </w:tblStylePr>
    <w:tblStylePr w:type="firstRow">
      <w:rPr>
        <w:b/>
        <w:bCs/>
        <w:color w:val="ffffff" w:themeColor="background1"/>
      </w:rPr>
      <w:pPr>
        <w:pBdr/>
        <w:spacing/>
        <w:ind/>
      </w:pPr>
      <w:tblPr>
        <w:tblBorders/>
      </w:tblPr>
      <w:tcPr>
        <w:shd w:val="clear" w:color="auto" w:fill="4f81bd" w:themeFill="accent1"/>
        <w:tcBorders/>
      </w:tcPr>
    </w:tblStylePr>
    <w:tblStylePr w:type="lastCol">
      <w:rPr>
        <w:b/>
        <w:bCs/>
      </w:rPr>
      <w:pPr>
        <w:pBdr/>
        <w:spacing/>
        <w:ind/>
      </w:pPr>
      <w:tblPr>
        <w:tblBorders/>
      </w:tblPr>
      <w:tcPr>
        <w:shd w:val="clear" w:color="auto" w:fill="ffffff" w:themeFill="background1"/>
        <w:tcBorders>
          <w:left w:val="none" w:color="000000" w:sz="4" w:space="0"/>
        </w:tcBorders>
      </w:tcPr>
    </w:tblStylePr>
    <w:tblStylePr w:type="lastRow">
      <w:rPr>
        <w:b/>
        <w:bCs/>
      </w:rPr>
      <w:pPr>
        <w:pBdr/>
        <w:spacing/>
        <w:ind/>
      </w:pPr>
      <w:tblPr>
        <w:tblBorders/>
      </w:tblPr>
      <w:tcPr>
        <w:shd w:val="clear" w:color="auto" w:fill="ffffff" w:themeFill="background1"/>
        <w:tcBorders>
          <w:top w:val="single" w:color="4f81bd" w:themeColor="accent1" w:sz="4" w:space="0"/>
        </w:tcBorders>
      </w:tcPr>
    </w:tblStylePr>
    <w:tblStylePr w:type="nwCell">
      <w:pPr>
        <w:pBdr/>
        <w:spacing/>
        <w:ind/>
      </w:pPr>
      <w:tblPr>
        <w:tblBorders/>
      </w:tblPr>
      <w:tcPr>
        <w:tcBorders>
          <w:bottom w:val="none" w:color="000000" w:sz="4" w:space="0"/>
          <w:right w:val="none" w:color="000000" w:sz="4" w:space="0"/>
        </w:tcBorders>
      </w:tcPr>
    </w:tblStylePr>
    <w:tblStylePr w:type="neCell">
      <w:pPr>
        <w:pBdr/>
        <w:spacing/>
        <w:ind/>
      </w:pPr>
      <w:tblPr>
        <w:tblBorders/>
      </w:tblPr>
      <w:tcPr>
        <w:tcBorders>
          <w:left w:val="none" w:color="000000" w:sz="4" w:space="0"/>
          <w:bottom w:val="none" w:color="000000" w:sz="4" w:space="0"/>
        </w:tcBorders>
      </w:tcPr>
    </w:tblStylePr>
    <w:tblStylePr w:type="swCell">
      <w:pPr>
        <w:pBdr/>
        <w:spacing/>
        <w:ind/>
      </w:pPr>
      <w:tblPr>
        <w:tblBorders/>
      </w:tblPr>
      <w:tcPr>
        <w:tcBorders>
          <w:top w:val="single" w:color="4f81bd" w:themeColor="accent1" w:sz="4" w:space="0"/>
          <w:right w:val="none" w:color="000000" w:sz="4" w:space="0"/>
        </w:tcBorders>
      </w:tcPr>
    </w:tblStylePr>
    <w:tblStylePr w:type="seCell">
      <w:pPr>
        <w:pBdr/>
        <w:spacing/>
        <w:ind/>
      </w:pPr>
      <w:tblPr>
        <w:tblBorders/>
      </w:tblPr>
      <w:tcPr>
        <w:tcBorders>
          <w:top w:val="single" w:color="4f81bd" w:themeColor="accent1" w:sz="4" w:space="0"/>
          <w:left w:val="none" w:color="000000" w:sz="4" w:space="0"/>
        </w:tcBorders>
      </w:tcPr>
    </w:tblStylePr>
    <w:tblStylePr w:type="wholeTable">
      <w:pPr>
        <w:pBdr/>
        <w:spacing/>
        <w:ind/>
      </w:pPr>
      <w:tblPr>
        <w:tblBorders/>
      </w:tblPr>
      <w:tcPr>
        <w:tcBorders/>
      </w:tcPr>
    </w:tblStylePr>
  </w:style>
  <w:style w:type="table" w:styleId="949">
    <w:name w:val="Grid Table 4 Accent 1"/>
    <w:basedOn w:val="872"/>
    <w:uiPriority w:val="49"/>
    <w:pPr>
      <w:pBdr/>
      <w:spacing w:after="0"/>
      <w:ind/>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cPr>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be5f1" w:themeFill="accent1" w:themeFillTint="3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4f81bd" w:themeFill="accent1"/>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0">
    <w:name w:val="Intense Reference"/>
    <w:basedOn w:val="871"/>
    <w:uiPriority w:val="32"/>
    <w:qFormat/>
    <w:pPr>
      <w:pBdr/>
      <w:spacing/>
      <w:ind/>
    </w:pPr>
    <w:rPr>
      <w:b/>
      <w:bCs/>
      <w:smallCaps/>
      <w:color w:val="4f81bd" w:themeColor="accent1"/>
      <w:spacing w:val="5"/>
    </w:rPr>
  </w:style>
  <w:style w:type="paragraph" w:styleId="951">
    <w:name w:val="Body Text"/>
    <w:basedOn w:val="861"/>
    <w:link w:val="952"/>
    <w:uiPriority w:val="1"/>
    <w:qFormat/>
    <w:pPr>
      <w:widowControl w:val="false"/>
      <w:pBdr/>
      <w:tabs>
        <w:tab w:val="clear" w:leader="none" w:pos="9923"/>
      </w:tabs>
      <w:spacing w:after="0"/>
      <w:ind w:left="0"/>
      <w:jc w:val="left"/>
    </w:pPr>
    <w:rPr>
      <w:rFonts w:ascii="Calibri" w:hAnsi="Calibri" w:eastAsia="Calibri" w:cs="Calibri"/>
      <w:iCs w:val="0"/>
      <w:color w:val="auto"/>
      <w:lang w:val="en-US" w:eastAsia="en-US"/>
    </w:rPr>
  </w:style>
  <w:style w:type="character" w:styleId="952" w:customStyle="1">
    <w:name w:val="Corps de texte Car"/>
    <w:basedOn w:val="871"/>
    <w:link w:val="951"/>
    <w:uiPriority w:val="1"/>
    <w:pPr>
      <w:pBdr/>
      <w:spacing/>
      <w:ind/>
    </w:pPr>
    <w:rPr>
      <w:rFonts w:ascii="Calibri" w:hAnsi="Calibri" w:eastAsia="Calibri" w:cs="Calibri"/>
      <w:sz w:val="22"/>
      <w:szCs w:val="22"/>
      <w:lang w:eastAsia="en-US"/>
    </w:rPr>
  </w:style>
  <w:style w:type="paragraph" w:styleId="953">
    <w:name w:val="List Number"/>
    <w:basedOn w:val="861"/>
    <w:uiPriority w:val="99"/>
    <w:unhideWhenUsed/>
    <w:pPr>
      <w:numPr>
        <w:numId w:val="8"/>
      </w:numPr>
      <w:pBdr/>
      <w:tabs>
        <w:tab w:val="clear" w:leader="none" w:pos="9923"/>
      </w:tabs>
      <w:spacing w:after="200" w:line="276" w:lineRule="auto"/>
      <w:ind/>
      <w:contextualSpacing w:val="true"/>
      <w:jc w:val="left"/>
    </w:pPr>
    <w:rPr>
      <w:rFonts w:asciiTheme="minorHAnsi" w:hAnsiTheme="minorHAnsi" w:cstheme="minorBidi"/>
      <w:iCs w:val="0"/>
      <w:color w:val="auto"/>
      <w:lang w:val="en-US" w:eastAsia="en-US"/>
    </w:rPr>
  </w:style>
  <w:style w:type="table" w:styleId="954">
    <w:name w:val="Light List Accent 1"/>
    <w:basedOn w:val="872"/>
    <w:uiPriority w:val="61"/>
    <w:pPr>
      <w:pBdr/>
      <w:spacing w:after="0"/>
      <w:ind/>
    </w:pPr>
    <w:rPr>
      <w:sz w:val="22"/>
      <w:szCs w:val="22"/>
      <w:lang w:eastAsia="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Plain Table 1"/>
    <w:basedOn w:val="872"/>
    <w:uiPriority w:val="99"/>
    <w:pPr>
      <w:pBdr/>
      <w:spacing w:after="0"/>
      <w:ind/>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Borders/>
    </w:tcPr>
    <w:tblStylePr w:type="band1Horz">
      <w:pPr>
        <w:pBdr/>
        <w:spacing/>
        <w:ind/>
      </w:pPr>
      <w:tblPr>
        <w:tblBorders/>
      </w:tblPr>
      <w:tcPr>
        <w:shd w:val="clear" w:color="auto" w:fill="f2f2f2" w:themeFill="background1" w:themeFillShade="F2"/>
        <w:tcBorders/>
      </w:tcPr>
    </w:tblStylePr>
    <w:tblStylePr w:type="band1Vert">
      <w:pPr>
        <w:pBdr/>
        <w:spacing/>
        <w:ind/>
      </w:pPr>
      <w:tblPr>
        <w:tblBorders/>
      </w:tblPr>
      <w:tcPr>
        <w:shd w:val="clear" w:color="auto" w:fill="f2f2f2" w:themeFill="background1" w:themeFillSha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fbfbf" w:themeColor="background1" w:themeShade="B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6">
    <w:name w:val="Emphasis"/>
    <w:basedOn w:val="871"/>
    <w:uiPriority w:val="20"/>
    <w:qFormat/>
    <w:pPr>
      <w:pBdr/>
      <w:spacing/>
      <w:ind/>
    </w:pPr>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Arial"/>
        <a:cs typeface="Arial"/>
      </a:majorFont>
      <a:minorFont>
        <a:latin typeface="Cambria"/>
        <a:ea typeface="Arial"/>
        <a:cs typeface="Arial"/>
      </a:minorFont>
    </a:fontScheme>
    <a:fmtScheme name="Bureau">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Tri par nom" Version="2003"/>
</file>

<file path=customXml/itemProps1.xml><?xml version="1.0" encoding="utf-8"?>
<ds:datastoreItem xmlns:ds="http://schemas.openxmlformats.org/officeDocument/2006/customXml" ds:itemID="{86531C8D-745F-41BB-8E64-1F2F6A1C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ONLYOFFICE/8.3.3.18</Application>
  <DocSecurity>0</DocSecurity>
  <ScaleCrop>0</ScaleCrop>
  <HeadingPairs>
    <vt:vector size="0" baseType="variant"/>
  </HeadingPairs>
  <TitlesOfParts>
    <vt:vector size="0" baseType="lpstr"/>
  </TitlesOfParts>
  <Company>Luciole</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Luciole</dc:creator>
  <cp:keywords/>
  <dc:description/>
  <cp:lastModifiedBy>all Maxime BOST</cp:lastModifiedBy>
  <cp:revision>17</cp:revision>
  <dcterms:created xsi:type="dcterms:W3CDTF">2025-11-21T08:32:00Z</dcterms:created>
  <dcterms:modified xsi:type="dcterms:W3CDTF">2025-12-10T14:07:19Z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a59f59573da81401e8890725f266715230cd992846397b05d55d3ada5a2d368f</vt:lpwstr>
  </property>
</Properties>
</file>