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BC919" w14:textId="77777777" w:rsidR="002D742A" w:rsidRDefault="004268AC">
      <w:pPr>
        <w:pStyle w:val="Titre"/>
        <w:rPr>
          <w:sz w:val="96"/>
          <w:szCs w:val="96"/>
          <w:lang w:val="en-US"/>
        </w:rPr>
      </w:pPr>
      <w:r>
        <w:rPr>
          <w:sz w:val="96"/>
          <w:szCs w:val="96"/>
          <w:lang w:val="en-US"/>
        </w:rPr>
        <w:t xml:space="preserve">Expertise France </w:t>
      </w:r>
    </w:p>
    <w:p w14:paraId="02DE7876" w14:textId="77777777" w:rsidR="002D742A" w:rsidRDefault="002D742A">
      <w:pPr>
        <w:rPr>
          <w:lang w:val="en-US"/>
        </w:rPr>
      </w:pPr>
    </w:p>
    <w:p w14:paraId="2BBFF912" w14:textId="77777777" w:rsidR="002D742A" w:rsidRDefault="002D742A">
      <w:pPr>
        <w:rPr>
          <w:lang w:val="en-US"/>
        </w:rPr>
      </w:pPr>
    </w:p>
    <w:p w14:paraId="7EC2F5D7" w14:textId="77777777" w:rsidR="002D742A" w:rsidRDefault="004268AC">
      <w:pPr>
        <w:pStyle w:val="EXPsous-titrefonc"/>
        <w:jc w:val="center"/>
        <w:rPr>
          <w:sz w:val="56"/>
          <w:szCs w:val="56"/>
          <w:lang w:val="en-US"/>
        </w:rPr>
      </w:pPr>
      <w:r>
        <w:rPr>
          <w:sz w:val="56"/>
          <w:szCs w:val="56"/>
          <w:lang w:val="en-US"/>
        </w:rPr>
        <w:t>INVEST4LIBYA —</w:t>
      </w:r>
    </w:p>
    <w:p w14:paraId="185E22D5" w14:textId="77777777" w:rsidR="002D742A" w:rsidRDefault="002D742A">
      <w:pPr>
        <w:pStyle w:val="EXPsous-titrefonc"/>
        <w:jc w:val="left"/>
        <w:rPr>
          <w:sz w:val="56"/>
          <w:szCs w:val="56"/>
          <w:lang w:val="en-US"/>
        </w:rPr>
      </w:pPr>
    </w:p>
    <w:p w14:paraId="6E6B043E" w14:textId="77777777" w:rsidR="002D742A" w:rsidRPr="000227D2" w:rsidRDefault="004268AC">
      <w:pPr>
        <w:pStyle w:val="EXPsous-titrefonc"/>
        <w:jc w:val="left"/>
        <w:rPr>
          <w:b/>
          <w:bCs/>
          <w:sz w:val="44"/>
          <w:szCs w:val="44"/>
          <w:lang w:val="en-GB"/>
        </w:rPr>
      </w:pPr>
      <w:r>
        <w:rPr>
          <w:b/>
          <w:bCs/>
          <w:sz w:val="44"/>
          <w:szCs w:val="44"/>
          <w:lang w:val="en-US"/>
        </w:rPr>
        <w:t>Component 1: Public Financial Management</w:t>
      </w:r>
    </w:p>
    <w:p w14:paraId="1A8EA793" w14:textId="77777777" w:rsidR="002D742A" w:rsidRDefault="002D742A">
      <w:pPr>
        <w:pStyle w:val="EXPsous-titrefonc"/>
        <w:rPr>
          <w:sz w:val="56"/>
          <w:szCs w:val="56"/>
          <w:lang w:val="en-US"/>
        </w:rPr>
      </w:pPr>
    </w:p>
    <w:p w14:paraId="6DBF7F5A" w14:textId="77777777" w:rsidR="002D742A" w:rsidRDefault="002D742A">
      <w:pPr>
        <w:rPr>
          <w:lang w:val="en-US"/>
        </w:rPr>
      </w:pPr>
    </w:p>
    <w:p w14:paraId="66858E70" w14:textId="77777777" w:rsidR="002D742A" w:rsidRPr="000227D2" w:rsidRDefault="004268AC">
      <w:pPr>
        <w:pStyle w:val="EXP-soustitredfonc"/>
        <w:jc w:val="center"/>
        <w:rPr>
          <w:b/>
          <w:bCs/>
          <w:lang w:val="en-GB"/>
        </w:rPr>
      </w:pPr>
      <w:r>
        <w:rPr>
          <w:b/>
          <w:bCs/>
          <w:lang w:val="en-US"/>
        </w:rPr>
        <w:t>Terms of Reference (</w:t>
      </w:r>
      <w:proofErr w:type="spellStart"/>
      <w:r>
        <w:rPr>
          <w:b/>
          <w:bCs/>
          <w:lang w:val="en-US"/>
        </w:rPr>
        <w:t>ToRs</w:t>
      </w:r>
      <w:proofErr w:type="spellEnd"/>
      <w:r>
        <w:rPr>
          <w:b/>
          <w:bCs/>
          <w:lang w:val="en-US"/>
        </w:rPr>
        <w:t>)</w:t>
      </w:r>
    </w:p>
    <w:p w14:paraId="685545AD" w14:textId="5A9F5B12" w:rsidR="002D742A" w:rsidRPr="000227D2" w:rsidRDefault="000227D2" w:rsidP="000227D2">
      <w:pPr>
        <w:pStyle w:val="EXP-soustitredfonc"/>
        <w:jc w:val="center"/>
        <w:rPr>
          <w:lang w:val="en-GB"/>
        </w:rPr>
      </w:pPr>
      <w:r w:rsidRPr="000227D2">
        <w:rPr>
          <w:b/>
          <w:bCs/>
          <w:sz w:val="40"/>
          <w:szCs w:val="40"/>
          <w:lang w:val="en-GB"/>
        </w:rPr>
        <w:t>Senior Expert in Macro-Fiscal Forecasting &amp; Operational Frameworks</w:t>
      </w:r>
    </w:p>
    <w:p w14:paraId="2A5EDFA1" w14:textId="77777777" w:rsidR="002D742A" w:rsidRPr="000227D2" w:rsidRDefault="002D742A">
      <w:pPr>
        <w:pStyle w:val="EXP-soustitredfonc"/>
        <w:rPr>
          <w:lang w:val="en-GB"/>
        </w:rPr>
      </w:pPr>
    </w:p>
    <w:p w14:paraId="14B5FEE7" w14:textId="77777777" w:rsidR="002D742A" w:rsidRDefault="004268AC">
      <w:pPr>
        <w:pStyle w:val="EXP-soustitredfonc"/>
        <w:tabs>
          <w:tab w:val="clear" w:pos="9923"/>
        </w:tabs>
        <w:jc w:val="center"/>
        <w:rPr>
          <w:sz w:val="36"/>
          <w:szCs w:val="36"/>
          <w:lang w:val="en-US"/>
        </w:rPr>
      </w:pPr>
      <w:r>
        <w:rPr>
          <w:sz w:val="48"/>
          <w:szCs w:val="48"/>
        </w:rPr>
        <w:t>November 2026</w:t>
      </w:r>
    </w:p>
    <w:p w14:paraId="2500AE79" w14:textId="77777777" w:rsidR="002D742A" w:rsidRDefault="002D742A">
      <w:pPr>
        <w:rPr>
          <w:lang w:val="en-US"/>
        </w:rPr>
      </w:pPr>
    </w:p>
    <w:tbl>
      <w:tblPr>
        <w:tblStyle w:val="Focus"/>
        <w:tblW w:w="0" w:type="auto"/>
        <w:tblLook w:val="04A0" w:firstRow="1" w:lastRow="0" w:firstColumn="1" w:lastColumn="0" w:noHBand="0" w:noVBand="1"/>
      </w:tblPr>
      <w:tblGrid>
        <w:gridCol w:w="9487"/>
      </w:tblGrid>
      <w:tr w:rsidR="002D742A" w:rsidRPr="000227D2" w14:paraId="01869707"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487" w:type="dxa"/>
          </w:tcPr>
          <w:p w14:paraId="26322788" w14:textId="77777777" w:rsidR="002D742A" w:rsidRDefault="004268AC">
            <w:pPr>
              <w:ind w:left="0"/>
              <w:rPr>
                <w:lang w:val="en-US"/>
              </w:rPr>
            </w:pPr>
            <w:r>
              <w:rPr>
                <w:lang w:val="en-US"/>
              </w:rPr>
              <w:t xml:space="preserve">Expertise France is a public agency and a key </w:t>
            </w:r>
            <w:bookmarkStart w:id="0" w:name="_Int_yYVv5D3U"/>
            <w:proofErr w:type="spellStart"/>
            <w:r>
              <w:rPr>
                <w:lang w:val="en-US"/>
              </w:rPr>
              <w:t>actor</w:t>
            </w:r>
            <w:bookmarkEnd w:id="0"/>
            <w:proofErr w:type="spellEnd"/>
            <w:r>
              <w:rPr>
                <w:lang w:val="en-US"/>
              </w:rPr>
              <w:t xml:space="preserve"> in international technical cooperation. It designs and implements projects that sustainably strengthen public policies in developing and emerging countries. Governance, security, climate, health, education… It operates in key areas of sustainable development and contribut</w:t>
            </w:r>
            <w:r>
              <w:rPr>
                <w:lang w:val="en-US"/>
              </w:rPr>
              <w:t>es alongside its partners to the implementation of the 2030 Agenda.</w:t>
            </w:r>
          </w:p>
          <w:p w14:paraId="6D23627F" w14:textId="77777777" w:rsidR="002D742A" w:rsidRDefault="004268AC">
            <w:pPr>
              <w:ind w:left="0"/>
              <w:rPr>
                <w:color w:val="0000FF" w:themeColor="hyperlink"/>
                <w:u w:val="single"/>
                <w:lang w:val="en-US"/>
              </w:rPr>
            </w:pPr>
            <w:r>
              <w:rPr>
                <w:lang w:val="en-US"/>
              </w:rPr>
              <w:t xml:space="preserve">For more information: </w:t>
            </w:r>
            <w:hyperlink r:id="rId8" w:tooltip="http://www.expertisefrance.fr" w:history="1">
              <w:r>
                <w:rPr>
                  <w:rStyle w:val="Lienhypertexte"/>
                  <w:lang w:val="en-US"/>
                </w:rPr>
                <w:t>www.expertisefrance.fr</w:t>
              </w:r>
            </w:hyperlink>
          </w:p>
        </w:tc>
      </w:tr>
    </w:tbl>
    <w:p w14:paraId="235CA8CF" w14:textId="77777777" w:rsidR="002D742A" w:rsidRDefault="002D742A">
      <w:pPr>
        <w:rPr>
          <w:lang w:val="en-US"/>
        </w:rPr>
      </w:pPr>
    </w:p>
    <w:p w14:paraId="34C4C8B2" w14:textId="77777777" w:rsidR="002D742A" w:rsidRDefault="002D742A">
      <w:pPr>
        <w:rPr>
          <w:lang w:val="en-US"/>
        </w:rPr>
        <w:sectPr w:rsidR="002D742A">
          <w:headerReference w:type="default" r:id="rId9"/>
          <w:footerReference w:type="even" r:id="rId10"/>
          <w:footerReference w:type="default" r:id="rId11"/>
          <w:pgSz w:w="11900" w:h="16840"/>
          <w:pgMar w:top="1134" w:right="1127" w:bottom="1134" w:left="1276" w:header="709" w:footer="590" w:gutter="0"/>
          <w:cols w:space="708"/>
        </w:sectPr>
      </w:pPr>
    </w:p>
    <w:p w14:paraId="7C541C2E" w14:textId="77777777" w:rsidR="002D742A" w:rsidRDefault="004268AC">
      <w:pPr>
        <w:pStyle w:val="Titre1"/>
        <w:rPr>
          <w:rStyle w:val="lev"/>
          <w:b/>
          <w:bCs w:val="0"/>
        </w:rPr>
      </w:pPr>
      <w:r>
        <w:rPr>
          <w:rStyle w:val="lev"/>
          <w:bCs w:val="0"/>
        </w:rPr>
        <w:lastRenderedPageBreak/>
        <w:t>Executive Summary</w:t>
      </w:r>
    </w:p>
    <w:tbl>
      <w:tblPr>
        <w:tblStyle w:val="TableauListe3-Accentuation1"/>
        <w:tblW w:w="9182" w:type="dxa"/>
        <w:tblLayout w:type="fixed"/>
        <w:tblLook w:val="04A0" w:firstRow="1" w:lastRow="0" w:firstColumn="1" w:lastColumn="0" w:noHBand="0" w:noVBand="1"/>
      </w:tblPr>
      <w:tblGrid>
        <w:gridCol w:w="4035"/>
        <w:gridCol w:w="5147"/>
      </w:tblGrid>
      <w:tr w:rsidR="002D742A" w14:paraId="0218C27C" w14:textId="77777777" w:rsidTr="002D742A">
        <w:trPr>
          <w:cnfStyle w:val="100000000000" w:firstRow="1" w:lastRow="0" w:firstColumn="0" w:lastColumn="0" w:oddVBand="0" w:evenVBand="0" w:oddHBand="0" w:evenHBand="0" w:firstRowFirstColumn="0" w:firstRowLastColumn="0" w:lastRowFirstColumn="0" w:lastRowLastColumn="0"/>
          <w:trHeight w:val="201"/>
        </w:trPr>
        <w:tc>
          <w:tcPr>
            <w:cnfStyle w:val="001000000100" w:firstRow="0" w:lastRow="0" w:firstColumn="1" w:lastColumn="0" w:oddVBand="0" w:evenVBand="0" w:oddHBand="0" w:evenHBand="0" w:firstRowFirstColumn="1" w:firstRowLastColumn="0" w:lastRowFirstColumn="0" w:lastRowLastColumn="0"/>
            <w:tcW w:w="4035" w:type="dxa"/>
          </w:tcPr>
          <w:p w14:paraId="41CA0C28" w14:textId="77777777" w:rsidR="002D742A" w:rsidRDefault="004268AC">
            <w:pPr>
              <w:jc w:val="left"/>
              <w:rPr>
                <w:lang w:eastAsia="fr-FR"/>
              </w:rPr>
            </w:pPr>
            <w:r>
              <w:rPr>
                <w:lang w:eastAsia="fr-FR"/>
              </w:rPr>
              <w:t>Description</w:t>
            </w:r>
          </w:p>
        </w:tc>
        <w:tc>
          <w:tcPr>
            <w:tcW w:w="5147" w:type="dxa"/>
          </w:tcPr>
          <w:p w14:paraId="7F412AED" w14:textId="77777777" w:rsidR="002D742A" w:rsidRDefault="002D742A">
            <w:pPr>
              <w:jc w:val="left"/>
              <w:cnfStyle w:val="100000000000" w:firstRow="1" w:lastRow="0" w:firstColumn="0" w:lastColumn="0" w:oddVBand="0" w:evenVBand="0" w:oddHBand="0" w:evenHBand="0" w:firstRowFirstColumn="0" w:firstRowLastColumn="0" w:lastRowFirstColumn="0" w:lastRowLastColumn="0"/>
              <w:rPr>
                <w:lang w:eastAsia="fr-FR"/>
              </w:rPr>
            </w:pPr>
          </w:p>
        </w:tc>
      </w:tr>
      <w:tr w:rsidR="002D742A" w14:paraId="20D85FC2" w14:textId="77777777" w:rsidTr="002D742A">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4035" w:type="dxa"/>
          </w:tcPr>
          <w:p w14:paraId="0AE9B03E" w14:textId="77777777" w:rsidR="002D742A" w:rsidRDefault="004268AC">
            <w:pPr>
              <w:jc w:val="left"/>
              <w:rPr>
                <w:lang w:eastAsia="fr-FR"/>
              </w:rPr>
            </w:pPr>
            <w:r>
              <w:rPr>
                <w:lang w:eastAsia="fr-FR"/>
              </w:rPr>
              <w:t>Project Title</w:t>
            </w:r>
          </w:p>
        </w:tc>
        <w:tc>
          <w:tcPr>
            <w:tcW w:w="5147" w:type="dxa"/>
            <w:shd w:val="clear" w:color="auto" w:fill="DBE5F1" w:themeFill="accent1" w:themeFillTint="33"/>
          </w:tcPr>
          <w:p w14:paraId="421AFFE9" w14:textId="77777777" w:rsidR="002D742A" w:rsidRDefault="004268AC">
            <w:pPr>
              <w:jc w:val="left"/>
              <w:cnfStyle w:val="000000100000" w:firstRow="0" w:lastRow="0" w:firstColumn="0" w:lastColumn="0" w:oddVBand="0" w:evenVBand="0" w:oddHBand="1" w:evenHBand="0" w:firstRowFirstColumn="0" w:firstRowLastColumn="0" w:lastRowFirstColumn="0" w:lastRowLastColumn="0"/>
              <w:rPr>
                <w:lang w:val="en-US" w:eastAsia="fr-FR"/>
              </w:rPr>
            </w:pPr>
            <w:r>
              <w:rPr>
                <w:lang w:val="en-US" w:eastAsia="fr-FR"/>
              </w:rPr>
              <w:t xml:space="preserve">Invest4Libya </w:t>
            </w:r>
          </w:p>
        </w:tc>
      </w:tr>
      <w:tr w:rsidR="002D742A" w14:paraId="58FBEA67" w14:textId="77777777" w:rsidTr="002D742A">
        <w:trPr>
          <w:trHeight w:val="16"/>
        </w:trPr>
        <w:tc>
          <w:tcPr>
            <w:cnfStyle w:val="001000000000" w:firstRow="0" w:lastRow="0" w:firstColumn="1" w:lastColumn="0" w:oddVBand="0" w:evenVBand="0" w:oddHBand="0" w:evenHBand="0" w:firstRowFirstColumn="0" w:firstRowLastColumn="0" w:lastRowFirstColumn="0" w:lastRowLastColumn="0"/>
            <w:tcW w:w="4035" w:type="dxa"/>
          </w:tcPr>
          <w:p w14:paraId="27DE6307" w14:textId="77777777" w:rsidR="002D742A" w:rsidRDefault="004268AC">
            <w:pPr>
              <w:jc w:val="left"/>
              <w:rPr>
                <w:lang w:eastAsia="fr-FR"/>
              </w:rPr>
            </w:pPr>
            <w:proofErr w:type="spellStart"/>
            <w:r>
              <w:rPr>
                <w:lang w:eastAsia="fr-FR"/>
              </w:rPr>
              <w:t>Implementing</w:t>
            </w:r>
            <w:proofErr w:type="spellEnd"/>
            <w:r>
              <w:rPr>
                <w:lang w:eastAsia="fr-FR"/>
              </w:rPr>
              <w:t xml:space="preserve"> Agency</w:t>
            </w:r>
          </w:p>
        </w:tc>
        <w:tc>
          <w:tcPr>
            <w:tcW w:w="5147" w:type="dxa"/>
            <w:shd w:val="clear" w:color="auto" w:fill="DBE5F1" w:themeFill="accent1" w:themeFillTint="33"/>
          </w:tcPr>
          <w:p w14:paraId="1989DD4F" w14:textId="77777777" w:rsidR="002D742A" w:rsidRDefault="004268AC">
            <w:pPr>
              <w:jc w:val="left"/>
              <w:cnfStyle w:val="000000000000" w:firstRow="0" w:lastRow="0" w:firstColumn="0" w:lastColumn="0" w:oddVBand="0" w:evenVBand="0" w:oddHBand="0" w:evenHBand="0" w:firstRowFirstColumn="0" w:firstRowLastColumn="0" w:lastRowFirstColumn="0" w:lastRowLastColumn="0"/>
              <w:rPr>
                <w:lang w:val="en-US" w:eastAsia="fr-FR"/>
              </w:rPr>
            </w:pPr>
            <w:r>
              <w:rPr>
                <w:lang w:val="en-US" w:eastAsia="fr-FR"/>
              </w:rPr>
              <w:t xml:space="preserve">Expertise France </w:t>
            </w:r>
          </w:p>
        </w:tc>
      </w:tr>
      <w:tr w:rsidR="002D742A" w14:paraId="7893A255" w14:textId="77777777" w:rsidTr="002D742A">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4035" w:type="dxa"/>
          </w:tcPr>
          <w:p w14:paraId="535C4EED" w14:textId="77777777" w:rsidR="002D742A" w:rsidRDefault="004268AC">
            <w:pPr>
              <w:jc w:val="left"/>
              <w:rPr>
                <w:lang w:eastAsia="fr-FR"/>
              </w:rPr>
            </w:pPr>
            <w:r>
              <w:rPr>
                <w:lang w:eastAsia="fr-FR"/>
              </w:rPr>
              <w:t>Donor</w:t>
            </w:r>
          </w:p>
        </w:tc>
        <w:tc>
          <w:tcPr>
            <w:tcW w:w="5147" w:type="dxa"/>
            <w:shd w:val="clear" w:color="auto" w:fill="DBE5F1" w:themeFill="accent1" w:themeFillTint="33"/>
          </w:tcPr>
          <w:p w14:paraId="174CCE50" w14:textId="77777777" w:rsidR="002D742A" w:rsidRDefault="004268AC">
            <w:pPr>
              <w:jc w:val="left"/>
              <w:cnfStyle w:val="000000100000" w:firstRow="0" w:lastRow="0" w:firstColumn="0" w:lastColumn="0" w:oddVBand="0" w:evenVBand="0" w:oddHBand="1" w:evenHBand="0" w:firstRowFirstColumn="0" w:firstRowLastColumn="0" w:lastRowFirstColumn="0" w:lastRowLastColumn="0"/>
              <w:rPr>
                <w:lang w:val="en-US" w:eastAsia="fr-FR"/>
              </w:rPr>
            </w:pPr>
            <w:r>
              <w:rPr>
                <w:lang w:val="en-US" w:eastAsia="fr-FR"/>
              </w:rPr>
              <w:t>European Union</w:t>
            </w:r>
          </w:p>
        </w:tc>
      </w:tr>
      <w:tr w:rsidR="002D742A" w14:paraId="1583C765" w14:textId="77777777" w:rsidTr="002D742A">
        <w:trPr>
          <w:trHeight w:val="16"/>
        </w:trPr>
        <w:tc>
          <w:tcPr>
            <w:cnfStyle w:val="001000000000" w:firstRow="0" w:lastRow="0" w:firstColumn="1" w:lastColumn="0" w:oddVBand="0" w:evenVBand="0" w:oddHBand="0" w:evenHBand="0" w:firstRowFirstColumn="0" w:firstRowLastColumn="0" w:lastRowFirstColumn="0" w:lastRowLastColumn="0"/>
            <w:tcW w:w="4035" w:type="dxa"/>
          </w:tcPr>
          <w:p w14:paraId="52C79DD3" w14:textId="77777777" w:rsidR="002D742A" w:rsidRDefault="004268AC">
            <w:pPr>
              <w:jc w:val="left"/>
              <w:rPr>
                <w:lang w:eastAsia="fr-FR"/>
              </w:rPr>
            </w:pPr>
            <w:proofErr w:type="spellStart"/>
            <w:r>
              <w:rPr>
                <w:lang w:eastAsia="fr-FR"/>
              </w:rPr>
              <w:t>Assignment</w:t>
            </w:r>
            <w:proofErr w:type="spellEnd"/>
            <w:r>
              <w:rPr>
                <w:lang w:eastAsia="fr-FR"/>
              </w:rPr>
              <w:t xml:space="preserve"> </w:t>
            </w:r>
            <w:proofErr w:type="spellStart"/>
            <w:r>
              <w:rPr>
                <w:lang w:eastAsia="fr-FR"/>
              </w:rPr>
              <w:t>Period</w:t>
            </w:r>
            <w:proofErr w:type="spellEnd"/>
          </w:p>
        </w:tc>
        <w:tc>
          <w:tcPr>
            <w:tcW w:w="5147" w:type="dxa"/>
            <w:shd w:val="clear" w:color="auto" w:fill="DBE5F1" w:themeFill="accent1" w:themeFillTint="33"/>
          </w:tcPr>
          <w:p w14:paraId="4EFE86BC" w14:textId="77777777" w:rsidR="002D742A" w:rsidRDefault="004268AC">
            <w:pPr>
              <w:jc w:val="left"/>
              <w:cnfStyle w:val="000000000000" w:firstRow="0" w:lastRow="0" w:firstColumn="0" w:lastColumn="0" w:oddVBand="0" w:evenVBand="0" w:oddHBand="0" w:evenHBand="0" w:firstRowFirstColumn="0" w:firstRowLastColumn="0" w:lastRowFirstColumn="0" w:lastRowLastColumn="0"/>
              <w:rPr>
                <w:lang w:val="en-US" w:eastAsia="fr-FR"/>
              </w:rPr>
            </w:pPr>
            <w:r>
              <w:rPr>
                <w:lang w:val="en-US" w:eastAsia="fr-FR"/>
              </w:rPr>
              <w:t>November 2026 –May 2027</w:t>
            </w:r>
          </w:p>
        </w:tc>
      </w:tr>
      <w:tr w:rsidR="002D742A" w14:paraId="12F09C8C" w14:textId="77777777" w:rsidTr="002D742A">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4035" w:type="dxa"/>
          </w:tcPr>
          <w:p w14:paraId="7B853326" w14:textId="77777777" w:rsidR="002D742A" w:rsidRDefault="004268AC">
            <w:pPr>
              <w:jc w:val="left"/>
              <w:rPr>
                <w:lang w:eastAsia="fr-FR"/>
              </w:rPr>
            </w:pPr>
            <w:proofErr w:type="spellStart"/>
            <w:r>
              <w:rPr>
                <w:lang w:eastAsia="fr-FR"/>
              </w:rPr>
              <w:t>Estimated</w:t>
            </w:r>
            <w:proofErr w:type="spellEnd"/>
            <w:r>
              <w:rPr>
                <w:lang w:eastAsia="fr-FR"/>
              </w:rPr>
              <w:t xml:space="preserve"> Total Working Days</w:t>
            </w:r>
          </w:p>
        </w:tc>
        <w:tc>
          <w:tcPr>
            <w:tcW w:w="5147" w:type="dxa"/>
            <w:shd w:val="clear" w:color="auto" w:fill="DBE5F1" w:themeFill="accent1" w:themeFillTint="33"/>
          </w:tcPr>
          <w:p w14:paraId="40082141" w14:textId="77777777" w:rsidR="002D742A" w:rsidRDefault="004268AC">
            <w:pPr>
              <w:jc w:val="left"/>
              <w:cnfStyle w:val="000000100000" w:firstRow="0" w:lastRow="0" w:firstColumn="0" w:lastColumn="0" w:oddVBand="0" w:evenVBand="0" w:oddHBand="1" w:evenHBand="0" w:firstRowFirstColumn="0" w:firstRowLastColumn="0" w:lastRowFirstColumn="0" w:lastRowLastColumn="0"/>
              <w:rPr>
                <w:lang w:val="en-US" w:eastAsia="fr-FR"/>
              </w:rPr>
            </w:pPr>
            <w:r>
              <w:rPr>
                <w:lang w:val="en-US"/>
              </w:rPr>
              <w:t xml:space="preserve">45 working days </w:t>
            </w:r>
          </w:p>
        </w:tc>
      </w:tr>
      <w:tr w:rsidR="002D742A" w:rsidRPr="000227D2" w14:paraId="58A897C3" w14:textId="77777777" w:rsidTr="002D742A">
        <w:trPr>
          <w:trHeight w:val="16"/>
        </w:trPr>
        <w:tc>
          <w:tcPr>
            <w:cnfStyle w:val="001000000000" w:firstRow="0" w:lastRow="0" w:firstColumn="1" w:lastColumn="0" w:oddVBand="0" w:evenVBand="0" w:oddHBand="0" w:evenHBand="0" w:firstRowFirstColumn="0" w:firstRowLastColumn="0" w:lastRowFirstColumn="0" w:lastRowLastColumn="0"/>
            <w:tcW w:w="4035" w:type="dxa"/>
          </w:tcPr>
          <w:p w14:paraId="33B269D9" w14:textId="77777777" w:rsidR="002D742A" w:rsidRDefault="004268AC">
            <w:pPr>
              <w:jc w:val="left"/>
              <w:rPr>
                <w:lang w:eastAsia="fr-FR"/>
              </w:rPr>
            </w:pPr>
            <w:r>
              <w:rPr>
                <w:lang w:eastAsia="fr-FR"/>
              </w:rPr>
              <w:t>Mission Base</w:t>
            </w:r>
          </w:p>
        </w:tc>
        <w:tc>
          <w:tcPr>
            <w:tcW w:w="5147" w:type="dxa"/>
            <w:shd w:val="clear" w:color="auto" w:fill="DBE5F1" w:themeFill="accent1" w:themeFillTint="33"/>
          </w:tcPr>
          <w:p w14:paraId="5E936C24" w14:textId="77777777" w:rsidR="002D742A" w:rsidRDefault="004268AC">
            <w:pPr>
              <w:jc w:val="left"/>
              <w:cnfStyle w:val="000000000000" w:firstRow="0" w:lastRow="0" w:firstColumn="0" w:lastColumn="0" w:oddVBand="0" w:evenVBand="0" w:oddHBand="0" w:evenHBand="0" w:firstRowFirstColumn="0" w:firstRowLastColumn="0" w:lastRowFirstColumn="0" w:lastRowLastColumn="0"/>
              <w:rPr>
                <w:lang w:val="en-US" w:eastAsia="fr-FR"/>
              </w:rPr>
            </w:pPr>
            <w:r>
              <w:rPr>
                <w:lang w:val="en-US" w:eastAsia="fr-FR"/>
              </w:rPr>
              <w:t>Home-based, with missions to Tripoli and/or Tunis, security permitting</w:t>
            </w:r>
          </w:p>
        </w:tc>
      </w:tr>
      <w:tr w:rsidR="002D742A" w:rsidRPr="000227D2" w14:paraId="7AF4D840" w14:textId="77777777" w:rsidTr="002D742A">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4035" w:type="dxa"/>
          </w:tcPr>
          <w:p w14:paraId="56D30940" w14:textId="77777777" w:rsidR="002D742A" w:rsidRDefault="004268AC">
            <w:pPr>
              <w:jc w:val="left"/>
              <w:rPr>
                <w:lang w:eastAsia="fr-FR"/>
              </w:rPr>
            </w:pPr>
            <w:r>
              <w:rPr>
                <w:lang w:eastAsia="fr-FR"/>
              </w:rPr>
              <w:t>Main Purpose</w:t>
            </w:r>
          </w:p>
        </w:tc>
        <w:tc>
          <w:tcPr>
            <w:tcW w:w="5147" w:type="dxa"/>
            <w:shd w:val="clear" w:color="auto" w:fill="DBE5F1" w:themeFill="accent1" w:themeFillTint="33"/>
          </w:tcPr>
          <w:p w14:paraId="7916CE4A" w14:textId="77777777" w:rsidR="002D742A" w:rsidRDefault="004268AC">
            <w:pPr>
              <w:jc w:val="left"/>
              <w:cnfStyle w:val="000000100000" w:firstRow="0" w:lastRow="0" w:firstColumn="0" w:lastColumn="0" w:oddVBand="0" w:evenVBand="0" w:oddHBand="1" w:evenHBand="0" w:firstRowFirstColumn="0" w:firstRowLastColumn="0" w:lastRowFirstColumn="0" w:lastRowLastColumn="0"/>
              <w:rPr>
                <w:lang w:val="en-US" w:eastAsia="fr-FR"/>
              </w:rPr>
            </w:pPr>
            <w:r>
              <w:rPr>
                <w:lang w:val="en-US"/>
              </w:rPr>
              <w:t>Suppor</w:t>
            </w:r>
            <w:r>
              <w:rPr>
                <w:lang w:val="en-US"/>
              </w:rPr>
              <w:t>t the Ministry of Finance to establish the practical foundations of a functioning macro-fiscal capacity and test the first forecasting tools and working routines.</w:t>
            </w:r>
          </w:p>
        </w:tc>
      </w:tr>
      <w:tr w:rsidR="002D742A" w:rsidRPr="000227D2" w14:paraId="60BB3E6C" w14:textId="77777777" w:rsidTr="002D742A">
        <w:trPr>
          <w:trHeight w:val="16"/>
        </w:trPr>
        <w:tc>
          <w:tcPr>
            <w:cnfStyle w:val="001000000000" w:firstRow="0" w:lastRow="0" w:firstColumn="1" w:lastColumn="0" w:oddVBand="0" w:evenVBand="0" w:oddHBand="0" w:evenHBand="0" w:firstRowFirstColumn="0" w:firstRowLastColumn="0" w:lastRowFirstColumn="0" w:lastRowLastColumn="0"/>
            <w:tcW w:w="4035" w:type="dxa"/>
          </w:tcPr>
          <w:p w14:paraId="1E191AB2" w14:textId="77777777" w:rsidR="002D742A" w:rsidRDefault="004268AC">
            <w:pPr>
              <w:jc w:val="left"/>
              <w:rPr>
                <w:lang w:eastAsia="fr-FR"/>
              </w:rPr>
            </w:pPr>
            <w:proofErr w:type="spellStart"/>
            <w:r>
              <w:rPr>
                <w:lang w:eastAsia="fr-FR"/>
              </w:rPr>
              <w:t>Specific</w:t>
            </w:r>
            <w:proofErr w:type="spellEnd"/>
            <w:r>
              <w:rPr>
                <w:lang w:eastAsia="fr-FR"/>
              </w:rPr>
              <w:t xml:space="preserve"> Objectives (SO)</w:t>
            </w:r>
          </w:p>
        </w:tc>
        <w:tc>
          <w:tcPr>
            <w:tcW w:w="5147" w:type="dxa"/>
            <w:shd w:val="clear" w:color="auto" w:fill="DBE5F1" w:themeFill="accent1" w:themeFillTint="33"/>
          </w:tcPr>
          <w:p w14:paraId="4421D37D" w14:textId="77777777" w:rsidR="002D742A" w:rsidRDefault="004268AC">
            <w:pPr>
              <w:jc w:val="left"/>
              <w:cnfStyle w:val="000000000000" w:firstRow="0" w:lastRow="0" w:firstColumn="0" w:lastColumn="0" w:oddVBand="0" w:evenVBand="0" w:oddHBand="0" w:evenHBand="0" w:firstRowFirstColumn="0" w:firstRowLastColumn="0" w:lastRowFirstColumn="0" w:lastRowLastColumn="0"/>
              <w:rPr>
                <w:lang w:val="en-US" w:eastAsia="fr-FR"/>
              </w:rPr>
            </w:pPr>
            <w:r>
              <w:rPr>
                <w:lang w:val="en-US" w:eastAsia="fr-FR"/>
              </w:rPr>
              <w:t>(SO1)- Strengthening the PFM in Libya</w:t>
            </w:r>
          </w:p>
        </w:tc>
      </w:tr>
      <w:tr w:rsidR="002D742A" w:rsidRPr="000227D2" w14:paraId="094C7EBC" w14:textId="77777777" w:rsidTr="002D742A">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4035" w:type="dxa"/>
          </w:tcPr>
          <w:p w14:paraId="0A56912D" w14:textId="77777777" w:rsidR="002D742A" w:rsidRDefault="004268AC">
            <w:pPr>
              <w:jc w:val="left"/>
              <w:rPr>
                <w:lang w:eastAsia="fr-FR"/>
              </w:rPr>
            </w:pPr>
            <w:proofErr w:type="spellStart"/>
            <w:r>
              <w:rPr>
                <w:lang w:eastAsia="fr-FR"/>
              </w:rPr>
              <w:t>Expected</w:t>
            </w:r>
            <w:proofErr w:type="spellEnd"/>
            <w:r>
              <w:rPr>
                <w:lang w:eastAsia="fr-FR"/>
              </w:rPr>
              <w:t xml:space="preserve"> Key </w:t>
            </w:r>
            <w:proofErr w:type="spellStart"/>
            <w:r>
              <w:rPr>
                <w:lang w:eastAsia="fr-FR"/>
              </w:rPr>
              <w:t>Deliverables</w:t>
            </w:r>
            <w:proofErr w:type="spellEnd"/>
          </w:p>
        </w:tc>
        <w:tc>
          <w:tcPr>
            <w:tcW w:w="5147" w:type="dxa"/>
            <w:shd w:val="clear" w:color="auto" w:fill="DBE5F1" w:themeFill="accent1" w:themeFillTint="33"/>
          </w:tcPr>
          <w:p w14:paraId="360C19F4" w14:textId="77777777" w:rsidR="002D742A" w:rsidRDefault="004268AC">
            <w:pPr>
              <w:jc w:val="left"/>
              <w:cnfStyle w:val="000000100000" w:firstRow="0" w:lastRow="0" w:firstColumn="0" w:lastColumn="0" w:oddVBand="0" w:evenVBand="0" w:oddHBand="1" w:evenHBand="0" w:firstRowFirstColumn="0" w:firstRowLastColumn="0" w:lastRowFirstColumn="0" w:lastRowLastColumn="0"/>
              <w:rPr>
                <w:lang w:val="en-US" w:eastAsia="fr-FR"/>
              </w:rPr>
            </w:pPr>
            <w:r>
              <w:rPr>
                <w:lang w:val="en-US" w:eastAsia="fr-FR"/>
              </w:rPr>
              <w:t>MFU operational set-up package; macro-fiscal data structure and prototype model; initial scenario/forecasting exercise; structured training package and delivery of at least two practical training sessions; end-of-assignment handover note.</w:t>
            </w:r>
          </w:p>
        </w:tc>
      </w:tr>
      <w:tr w:rsidR="002D742A" w:rsidRPr="000227D2" w14:paraId="7DA9AEF9" w14:textId="77777777" w:rsidTr="002D742A">
        <w:trPr>
          <w:trHeight w:val="16"/>
        </w:trPr>
        <w:tc>
          <w:tcPr>
            <w:cnfStyle w:val="001000000000" w:firstRow="0" w:lastRow="0" w:firstColumn="1" w:lastColumn="0" w:oddVBand="0" w:evenVBand="0" w:oddHBand="0" w:evenHBand="0" w:firstRowFirstColumn="0" w:firstRowLastColumn="0" w:lastRowFirstColumn="0" w:lastRowLastColumn="0"/>
            <w:tcW w:w="4035" w:type="dxa"/>
          </w:tcPr>
          <w:p w14:paraId="56A6A4A6" w14:textId="77777777" w:rsidR="002D742A" w:rsidRDefault="004268AC">
            <w:pPr>
              <w:jc w:val="left"/>
              <w:rPr>
                <w:lang w:eastAsia="fr-FR"/>
              </w:rPr>
            </w:pPr>
            <w:r>
              <w:rPr>
                <w:lang w:eastAsia="fr-FR"/>
              </w:rPr>
              <w:t xml:space="preserve">Validation </w:t>
            </w:r>
            <w:proofErr w:type="spellStart"/>
            <w:r>
              <w:rPr>
                <w:lang w:eastAsia="fr-FR"/>
              </w:rPr>
              <w:t>Mechani</w:t>
            </w:r>
            <w:r>
              <w:rPr>
                <w:lang w:eastAsia="fr-FR"/>
              </w:rPr>
              <w:t>sm</w:t>
            </w:r>
            <w:proofErr w:type="spellEnd"/>
          </w:p>
        </w:tc>
        <w:tc>
          <w:tcPr>
            <w:tcW w:w="5147" w:type="dxa"/>
            <w:shd w:val="clear" w:color="auto" w:fill="DBE5F1" w:themeFill="accent1" w:themeFillTint="33"/>
          </w:tcPr>
          <w:p w14:paraId="5207508A" w14:textId="77777777" w:rsidR="002D742A" w:rsidRDefault="004268AC">
            <w:pPr>
              <w:jc w:val="left"/>
              <w:cnfStyle w:val="000000000000" w:firstRow="0" w:lastRow="0" w:firstColumn="0" w:lastColumn="0" w:oddVBand="0" w:evenVBand="0" w:oddHBand="0" w:evenHBand="0" w:firstRowFirstColumn="0" w:firstRowLastColumn="0" w:lastRowFirstColumn="0" w:lastRowLastColumn="0"/>
              <w:rPr>
                <w:lang w:val="en-US" w:eastAsia="fr-FR"/>
              </w:rPr>
            </w:pPr>
            <w:r>
              <w:rPr>
                <w:lang w:val="en-US" w:eastAsia="fr-FR"/>
              </w:rPr>
              <w:t>Invest4Libya Technical Coordinator, with technical clearance by the Key Technical Expert of Component 1</w:t>
            </w:r>
          </w:p>
        </w:tc>
      </w:tr>
      <w:tr w:rsidR="002D742A" w:rsidRPr="000227D2" w14:paraId="2BF9C9A9" w14:textId="77777777" w:rsidTr="002D742A">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4035" w:type="dxa"/>
          </w:tcPr>
          <w:p w14:paraId="71AA756C" w14:textId="77777777" w:rsidR="002D742A" w:rsidRDefault="004268AC">
            <w:pPr>
              <w:jc w:val="left"/>
              <w:rPr>
                <w:lang w:eastAsia="fr-FR"/>
              </w:rPr>
            </w:pPr>
            <w:proofErr w:type="spellStart"/>
            <w:r>
              <w:rPr>
                <w:lang w:eastAsia="fr-FR"/>
              </w:rPr>
              <w:t>Quality</w:t>
            </w:r>
            <w:proofErr w:type="spellEnd"/>
            <w:r>
              <w:rPr>
                <w:lang w:eastAsia="fr-FR"/>
              </w:rPr>
              <w:t xml:space="preserve"> Assurance Lead</w:t>
            </w:r>
          </w:p>
        </w:tc>
        <w:tc>
          <w:tcPr>
            <w:tcW w:w="5147" w:type="dxa"/>
            <w:shd w:val="clear" w:color="auto" w:fill="DBE5F1" w:themeFill="accent1" w:themeFillTint="33"/>
          </w:tcPr>
          <w:p w14:paraId="3367B0E3" w14:textId="77777777" w:rsidR="002D742A" w:rsidRDefault="004268AC">
            <w:pPr>
              <w:jc w:val="left"/>
              <w:cnfStyle w:val="000000100000" w:firstRow="0" w:lastRow="0" w:firstColumn="0" w:lastColumn="0" w:oddVBand="0" w:evenVBand="0" w:oddHBand="1" w:evenHBand="0" w:firstRowFirstColumn="0" w:firstRowLastColumn="0" w:lastRowFirstColumn="0" w:lastRowLastColumn="0"/>
              <w:rPr>
                <w:lang w:val="en-US" w:eastAsia="fr-FR"/>
              </w:rPr>
            </w:pPr>
            <w:r>
              <w:rPr>
                <w:lang w:val="en-US" w:eastAsia="fr-FR"/>
              </w:rPr>
              <w:t xml:space="preserve">Invest4Libya Project Leader, supported by the Key Technical Expert of Component 1, the Technical Coordinator, and the DMEAL &amp; </w:t>
            </w:r>
            <w:proofErr w:type="spellStart"/>
            <w:r>
              <w:rPr>
                <w:lang w:val="en-US" w:eastAsia="fr-FR"/>
              </w:rPr>
              <w:t>Programme</w:t>
            </w:r>
            <w:proofErr w:type="spellEnd"/>
            <w:r>
              <w:rPr>
                <w:lang w:val="en-US" w:eastAsia="fr-FR"/>
              </w:rPr>
              <w:t xml:space="preserve"> Quality Manager</w:t>
            </w:r>
          </w:p>
        </w:tc>
      </w:tr>
    </w:tbl>
    <w:p w14:paraId="28BA2007" w14:textId="77777777" w:rsidR="002D742A" w:rsidRDefault="002D742A">
      <w:pPr>
        <w:rPr>
          <w:rStyle w:val="lev"/>
          <w:b w:val="0"/>
          <w:bCs w:val="0"/>
          <w:lang w:val="en-US"/>
        </w:rPr>
      </w:pPr>
    </w:p>
    <w:p w14:paraId="076B78E6" w14:textId="77777777" w:rsidR="002D742A" w:rsidRDefault="004268AC">
      <w:pPr>
        <w:pStyle w:val="Titre1"/>
        <w:rPr>
          <w:lang w:val="en-US"/>
        </w:rPr>
      </w:pPr>
      <w:r>
        <w:rPr>
          <w:rStyle w:val="lev"/>
          <w:b/>
          <w:bCs w:val="0"/>
          <w:lang w:val="en-US"/>
        </w:rPr>
        <w:t>Purpose and Strategic Context</w:t>
      </w:r>
    </w:p>
    <w:p w14:paraId="4109C68D" w14:textId="77777777" w:rsidR="002D742A" w:rsidRDefault="004268AC">
      <w:pPr>
        <w:pStyle w:val="Titre2"/>
        <w:rPr>
          <w:rStyle w:val="lev"/>
          <w:b w:val="0"/>
          <w:bCs w:val="0"/>
        </w:rPr>
      </w:pPr>
      <w:r>
        <w:rPr>
          <w:rStyle w:val="lev"/>
          <w:b w:val="0"/>
          <w:bCs w:val="0"/>
        </w:rPr>
        <w:t>Purpose of the Mission</w:t>
      </w:r>
    </w:p>
    <w:p w14:paraId="2F12F580" w14:textId="77777777" w:rsidR="002D742A" w:rsidRDefault="004268AC">
      <w:pPr>
        <w:spacing w:after="160" w:line="276" w:lineRule="auto"/>
        <w:rPr>
          <w:lang w:val="en-US"/>
        </w:rPr>
      </w:pPr>
      <w:r>
        <w:rPr>
          <w:lang w:val="en-US"/>
        </w:rPr>
        <w:t xml:space="preserve">The Macro-Fiscal Unit of the Ministry of Finance is not yet operational. Libya prepares and executes its budget without a documented revenue and expenditure projection base, </w:t>
      </w:r>
      <w:r>
        <w:rPr>
          <w:lang w:val="en-US"/>
        </w:rPr>
        <w:t>without scenario analysis on oil price and production, and without a medium-term fiscal framework. The absence of this function is the single most binding constraint on evidence-based budget preparation identified in the PFM Legal and Operational Diagnostic Report.</w:t>
      </w:r>
    </w:p>
    <w:p w14:paraId="05610705" w14:textId="77777777" w:rsidR="002D742A" w:rsidRDefault="004268AC">
      <w:pPr>
        <w:spacing w:after="160" w:line="276" w:lineRule="auto"/>
        <w:rPr>
          <w:lang w:val="en-US"/>
        </w:rPr>
      </w:pPr>
      <w:r>
        <w:rPr>
          <w:lang w:val="en-US"/>
        </w:rPr>
        <w:t>The purpose of this mission is to make the macro-fiscal function work in practice: to give the Unit a mandate, a staffed structure and a work calendar; to assemble and document the data it needs; to build with its staff a first projection model t</w:t>
      </w:r>
      <w:r>
        <w:rPr>
          <w:lang w:val="en-US"/>
        </w:rPr>
        <w:t>hey can run themselves; and to train them in its use. The mission prepares the ground for the first medium-term macro-fiscal, fiscal and budget frameworks (MTMF, MTFF, MTBF) planned for the following phase.</w:t>
      </w:r>
    </w:p>
    <w:p w14:paraId="76570449" w14:textId="77777777" w:rsidR="002D742A" w:rsidRDefault="004268AC">
      <w:pPr>
        <w:pStyle w:val="Titre2"/>
        <w:rPr>
          <w:rStyle w:val="lev"/>
          <w:b w:val="0"/>
          <w:bCs w:val="0"/>
        </w:rPr>
      </w:pPr>
      <w:r>
        <w:rPr>
          <w:rStyle w:val="lev"/>
          <w:b w:val="0"/>
          <w:bCs w:val="0"/>
        </w:rPr>
        <w:lastRenderedPageBreak/>
        <w:t xml:space="preserve">Strategic </w:t>
      </w:r>
      <w:proofErr w:type="spellStart"/>
      <w:r>
        <w:rPr>
          <w:rStyle w:val="lev"/>
          <w:b w:val="0"/>
          <w:bCs w:val="0"/>
        </w:rPr>
        <w:t>Context</w:t>
      </w:r>
      <w:proofErr w:type="spellEnd"/>
    </w:p>
    <w:p w14:paraId="034C4A93" w14:textId="77777777" w:rsidR="002D742A" w:rsidRDefault="004268AC">
      <w:pPr>
        <w:spacing w:after="160" w:line="276" w:lineRule="auto"/>
        <w:rPr>
          <w:lang w:val="en-US"/>
        </w:rPr>
      </w:pPr>
      <w:r>
        <w:rPr>
          <w:lang w:val="en-US"/>
        </w:rPr>
        <w:t xml:space="preserve">The inception phase of INVEST4Libya (January – September 2026) delivered, for each component, a validated legal and operational diagnostic and a sequenced reform roadmap, developed with Libyan counterparts and confirmed through onsite validation workshops. The implementation phase </w:t>
      </w:r>
      <w:proofErr w:type="spellStart"/>
      <w:r>
        <w:rPr>
          <w:lang w:val="en-US"/>
        </w:rPr>
        <w:t>opera</w:t>
      </w:r>
      <w:r>
        <w:rPr>
          <w:lang w:val="en-US"/>
        </w:rPr>
        <w:t>tionalises</w:t>
      </w:r>
      <w:proofErr w:type="spellEnd"/>
      <w:r>
        <w:rPr>
          <w:lang w:val="en-US"/>
        </w:rPr>
        <w:t xml:space="preserve"> these roadmaps: it translates the diagnostic findings into technical assistance, regulatory production, and capacity building delivered directly to the Libyan institutions concerned.</w:t>
      </w:r>
    </w:p>
    <w:p w14:paraId="20D5AC2A" w14:textId="77777777" w:rsidR="002D742A" w:rsidRDefault="004268AC">
      <w:pPr>
        <w:spacing w:after="160" w:line="276" w:lineRule="auto"/>
        <w:rPr>
          <w:lang w:val="en-US"/>
        </w:rPr>
      </w:pPr>
      <w:r>
        <w:rPr>
          <w:lang w:val="en-US"/>
        </w:rPr>
        <w:t>Libya's reform trajectory remains defined by structural dependence on hydrocarbons, recurrent fiscal shocks, and the fragmentation of public-sector authority. In the current institutional context, the enactment of new primary legislation is not achievable; reform support must therefore concentrate on instruments with</w:t>
      </w:r>
      <w:r>
        <w:rPr>
          <w:lang w:val="en-US"/>
        </w:rPr>
        <w:t xml:space="preserve">in the existing legal framework — regulations, ministerial instructions, circulars, manuals, and operational procedures — sequenced to deliver early, confidence-building results without </w:t>
      </w:r>
      <w:proofErr w:type="spellStart"/>
      <w:r>
        <w:rPr>
          <w:lang w:val="en-US"/>
        </w:rPr>
        <w:t>destabilising</w:t>
      </w:r>
      <w:proofErr w:type="spellEnd"/>
      <w:r>
        <w:rPr>
          <w:lang w:val="en-US"/>
        </w:rPr>
        <w:t xml:space="preserve"> macroeconomic balances.</w:t>
      </w:r>
    </w:p>
    <w:p w14:paraId="403A9B08" w14:textId="77777777" w:rsidR="002D742A" w:rsidRDefault="002D742A">
      <w:pPr>
        <w:rPr>
          <w:lang w:val="en-US"/>
        </w:rPr>
      </w:pPr>
    </w:p>
    <w:p w14:paraId="235A4F3C" w14:textId="77777777" w:rsidR="002D742A" w:rsidRDefault="004268AC">
      <w:pPr>
        <w:pStyle w:val="Titre1"/>
        <w:rPr>
          <w:lang w:val="en-US"/>
        </w:rPr>
      </w:pPr>
      <w:r>
        <w:rPr>
          <w:lang w:val="en-US"/>
        </w:rPr>
        <w:t>Objectives and Scope of Work</w:t>
      </w:r>
    </w:p>
    <w:p w14:paraId="5A9E75A8" w14:textId="77777777" w:rsidR="002D742A" w:rsidRDefault="004268AC">
      <w:pPr>
        <w:pStyle w:val="Titre2"/>
        <w:rPr>
          <w:rStyle w:val="lev"/>
          <w:b w:val="0"/>
          <w:bCs w:val="0"/>
        </w:rPr>
      </w:pPr>
      <w:proofErr w:type="spellStart"/>
      <w:r>
        <w:rPr>
          <w:rStyle w:val="lev"/>
          <w:bCs w:val="0"/>
        </w:rPr>
        <w:t>Project's</w:t>
      </w:r>
      <w:proofErr w:type="spellEnd"/>
      <w:r>
        <w:rPr>
          <w:rStyle w:val="lev"/>
          <w:bCs w:val="0"/>
        </w:rPr>
        <w:t xml:space="preserve"> Objectives</w:t>
      </w:r>
    </w:p>
    <w:p w14:paraId="0C14851A" w14:textId="77777777" w:rsidR="002D742A" w:rsidRDefault="004268AC">
      <w:pPr>
        <w:spacing w:after="160" w:line="276" w:lineRule="auto"/>
        <w:rPr>
          <w:lang w:val="en-US"/>
        </w:rPr>
      </w:pPr>
      <w:r>
        <w:rPr>
          <w:lang w:val="en-US"/>
        </w:rPr>
        <w:t>Expertise France is the French public agency for international development cooperation. It is a subsidiary of the Agence Française de Développement (AFD) Group and the second-largest agency of its kind in Europe. Its mission is to streng</w:t>
      </w:r>
      <w:r>
        <w:rPr>
          <w:lang w:val="en-US"/>
        </w:rPr>
        <w:t>then public policies in partner countries in a sustainable way. Working alongside public actors, civil society, and the private sector, Expertise France designs and implements projects that stimulate innovation and reinforce their actions to benefit everyone. Through its expertise in governance, security, climate, health, education, entrepreneurship, and cultural and creative industries, Expertise France contributes to achieving the Sustainable Development Goals (SDGs) in over 140 countries, with public fun</w:t>
      </w:r>
      <w:r>
        <w:rPr>
          <w:lang w:val="en-US"/>
        </w:rPr>
        <w:t>ding from French and European sources.</w:t>
      </w:r>
    </w:p>
    <w:p w14:paraId="0A42EC79" w14:textId="77777777" w:rsidR="002D742A" w:rsidRDefault="004268AC">
      <w:pPr>
        <w:spacing w:after="160" w:line="276" w:lineRule="auto"/>
        <w:rPr>
          <w:lang w:val="en-US"/>
        </w:rPr>
      </w:pPr>
      <w:r>
        <w:rPr>
          <w:lang w:val="en-US"/>
        </w:rPr>
        <w:t xml:space="preserve">Since 2016, Expertise France has supported Libya's economic recovery by empowering the private sector, </w:t>
      </w:r>
      <w:proofErr w:type="spellStart"/>
      <w:r>
        <w:rPr>
          <w:lang w:val="en-US"/>
        </w:rPr>
        <w:t>digitalising</w:t>
      </w:r>
      <w:proofErr w:type="spellEnd"/>
      <w:r>
        <w:rPr>
          <w:lang w:val="en-US"/>
        </w:rPr>
        <w:t xml:space="preserve"> economic services, facilitating access to finance, supporting economic policy reforms, and fostering employability through the reinforcement of skills.</w:t>
      </w:r>
    </w:p>
    <w:p w14:paraId="44769002" w14:textId="77777777" w:rsidR="002D742A" w:rsidRDefault="004268AC">
      <w:pPr>
        <w:spacing w:after="160" w:line="276" w:lineRule="auto"/>
        <w:rPr>
          <w:lang w:val="en-US"/>
        </w:rPr>
      </w:pPr>
      <w:r>
        <w:rPr>
          <w:lang w:val="en-US"/>
        </w:rPr>
        <w:t>The INVEST4LIBYA project, launched by the European Union, aims at supporting Libya's economic institutions to strengthen the diversification of the Libyan economy and public finance management. The Overall</w:t>
      </w:r>
      <w:r>
        <w:rPr>
          <w:lang w:val="en-US"/>
        </w:rPr>
        <w:t xml:space="preserve"> Objective/Impact of this action is the following: strengthen the Public Finance System and enhance investments for the green and digital transition.</w:t>
      </w:r>
    </w:p>
    <w:p w14:paraId="137F8375" w14:textId="77777777" w:rsidR="002D742A" w:rsidRDefault="004268AC">
      <w:pPr>
        <w:spacing w:after="160" w:line="276" w:lineRule="auto"/>
        <w:rPr>
          <w:lang w:val="en-US"/>
        </w:rPr>
      </w:pPr>
      <w:r>
        <w:rPr>
          <w:lang w:val="en-US"/>
        </w:rPr>
        <w:t>The Specific Objectives (Outcomes) of this action are as follows:</w:t>
      </w:r>
    </w:p>
    <w:p w14:paraId="1DE2D41B" w14:textId="77777777" w:rsidR="002D742A" w:rsidRDefault="004268AC" w:rsidP="004268AC">
      <w:pPr>
        <w:pStyle w:val="Paragraphedeliste"/>
        <w:numPr>
          <w:ilvl w:val="0"/>
          <w:numId w:val="9"/>
        </w:numPr>
        <w:tabs>
          <w:tab w:val="clear" w:pos="9923"/>
        </w:tabs>
        <w:spacing w:after="100" w:line="276" w:lineRule="auto"/>
        <w:rPr>
          <w:lang w:val="en-US"/>
        </w:rPr>
      </w:pPr>
      <w:proofErr w:type="gramStart"/>
      <w:r>
        <w:rPr>
          <w:lang w:val="en-US"/>
        </w:rPr>
        <w:t>SO</w:t>
      </w:r>
      <w:proofErr w:type="gramEnd"/>
      <w:r>
        <w:rPr>
          <w:lang w:val="en-US"/>
        </w:rPr>
        <w:t xml:space="preserve"> 1. The capacity to design and implement targeted public financial management reforms is strengthened;</w:t>
      </w:r>
    </w:p>
    <w:p w14:paraId="21EFD6EB" w14:textId="77777777" w:rsidR="002D742A" w:rsidRDefault="004268AC" w:rsidP="004268AC">
      <w:pPr>
        <w:pStyle w:val="Paragraphedeliste"/>
        <w:numPr>
          <w:ilvl w:val="0"/>
          <w:numId w:val="8"/>
        </w:numPr>
        <w:tabs>
          <w:tab w:val="clear" w:pos="9923"/>
        </w:tabs>
        <w:spacing w:after="100" w:line="276" w:lineRule="auto"/>
        <w:rPr>
          <w:lang w:val="en-US"/>
        </w:rPr>
      </w:pPr>
      <w:proofErr w:type="gramStart"/>
      <w:r>
        <w:rPr>
          <w:lang w:val="en-US"/>
        </w:rPr>
        <w:t>SO</w:t>
      </w:r>
      <w:proofErr w:type="gramEnd"/>
      <w:r>
        <w:rPr>
          <w:lang w:val="en-US"/>
        </w:rPr>
        <w:t xml:space="preserve"> 2. The governance of the financial sector, the legal and regulatory framework for enhancing investments, with a specific focus on the green and digital sectors, is reinforced;</w:t>
      </w:r>
    </w:p>
    <w:p w14:paraId="0914B750" w14:textId="77777777" w:rsidR="002D742A" w:rsidRDefault="004268AC" w:rsidP="004268AC">
      <w:pPr>
        <w:pStyle w:val="Paragraphedeliste"/>
        <w:numPr>
          <w:ilvl w:val="0"/>
          <w:numId w:val="8"/>
        </w:numPr>
        <w:tabs>
          <w:tab w:val="clear" w:pos="9923"/>
        </w:tabs>
        <w:spacing w:after="100" w:line="276" w:lineRule="auto"/>
        <w:rPr>
          <w:lang w:val="en-US"/>
        </w:rPr>
      </w:pPr>
      <w:proofErr w:type="gramStart"/>
      <w:r>
        <w:rPr>
          <w:lang w:val="en-US"/>
        </w:rPr>
        <w:t>SO</w:t>
      </w:r>
      <w:proofErr w:type="gramEnd"/>
      <w:r>
        <w:rPr>
          <w:lang w:val="en-US"/>
        </w:rPr>
        <w:t xml:space="preserve"> 3. Entrep</w:t>
      </w:r>
      <w:r>
        <w:rPr>
          <w:lang w:val="en-US"/>
        </w:rPr>
        <w:t>reneurship, financial inclusion and green and digital innovation are enhanced.</w:t>
      </w:r>
    </w:p>
    <w:p w14:paraId="7AC9258A" w14:textId="77777777" w:rsidR="002D742A" w:rsidRDefault="002D742A">
      <w:pPr>
        <w:rPr>
          <w:lang w:val="en-US"/>
        </w:rPr>
      </w:pPr>
    </w:p>
    <w:p w14:paraId="11B22927" w14:textId="77777777" w:rsidR="002D742A" w:rsidRDefault="004268AC">
      <w:pPr>
        <w:pStyle w:val="Titre2"/>
        <w:rPr>
          <w:rStyle w:val="lev"/>
          <w:b w:val="0"/>
          <w:bCs w:val="0"/>
        </w:rPr>
      </w:pPr>
      <w:proofErr w:type="spellStart"/>
      <w:r>
        <w:rPr>
          <w:rStyle w:val="lev"/>
          <w:b w:val="0"/>
          <w:bCs w:val="0"/>
        </w:rPr>
        <w:t>Mission’s</w:t>
      </w:r>
      <w:proofErr w:type="spellEnd"/>
      <w:r>
        <w:rPr>
          <w:rStyle w:val="lev"/>
          <w:b w:val="0"/>
          <w:bCs w:val="0"/>
        </w:rPr>
        <w:t xml:space="preserve"> Objectives</w:t>
      </w:r>
    </w:p>
    <w:p w14:paraId="7AE1871E" w14:textId="77777777" w:rsidR="002D742A" w:rsidRDefault="004268AC">
      <w:pPr>
        <w:spacing w:after="160" w:line="276" w:lineRule="auto"/>
        <w:rPr>
          <w:lang w:val="en-US"/>
        </w:rPr>
      </w:pPr>
      <w:r>
        <w:rPr>
          <w:lang w:val="en-US"/>
        </w:rPr>
        <w:t>The mission pursues four objectives:</w:t>
      </w:r>
    </w:p>
    <w:p w14:paraId="390994D1"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Establish the institutional basis of the Macro-Fiscal Unit — mandate, staffing profile, internal procedures, reporting lines and annual work calendar — agreed with the Ministry of Finance.</w:t>
      </w:r>
    </w:p>
    <w:p w14:paraId="3F9EE6C6"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lastRenderedPageBreak/>
        <w:t>Assemble a documented macro-fiscal data base drawn from available national sources, with an updating routine that assigns responsibility and frequency.</w:t>
      </w:r>
    </w:p>
    <w:p w14:paraId="4E081365"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Deliver a working macro-fiscal pr</w:t>
      </w:r>
      <w:r>
        <w:rPr>
          <w:lang w:val="en-US"/>
        </w:rPr>
        <w:t>ojection model covering oil and non-oil revenue, expenditure, the fiscal balance and its financing, with scenario and sensitivity analysis on oil price and production.</w:t>
      </w:r>
    </w:p>
    <w:p w14:paraId="26DCDEE3"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Build the capacity of Unit staff to operate the model and produce macro-fiscal analysis, through training and on-the-job coaching over one forecasting run.</w:t>
      </w:r>
    </w:p>
    <w:p w14:paraId="025F721A" w14:textId="77777777" w:rsidR="002D742A" w:rsidRDefault="004268AC">
      <w:pPr>
        <w:pStyle w:val="Titre2"/>
        <w:rPr>
          <w:rStyle w:val="lev"/>
          <w:b w:val="0"/>
          <w:bCs w:val="0"/>
        </w:rPr>
      </w:pPr>
      <w:r>
        <w:rPr>
          <w:rStyle w:val="lev"/>
          <w:b w:val="0"/>
          <w:bCs w:val="0"/>
        </w:rPr>
        <w:t>Scope of Work</w:t>
      </w:r>
    </w:p>
    <w:p w14:paraId="22A8F570" w14:textId="77777777" w:rsidR="002D742A" w:rsidRDefault="004268AC">
      <w:pPr>
        <w:spacing w:after="160" w:line="276" w:lineRule="auto"/>
        <w:rPr>
          <w:lang w:val="en-US"/>
        </w:rPr>
      </w:pPr>
      <w:r>
        <w:rPr>
          <w:lang w:val="en-US"/>
        </w:rPr>
        <w:t xml:space="preserve">The expert will perform the following tasks, with the Ministry of Finance teams and under the technical direction of the Key Technical Expert of Component 1. </w:t>
      </w:r>
    </w:p>
    <w:p w14:paraId="46DC80B0" w14:textId="77777777" w:rsidR="002D742A" w:rsidRDefault="004268AC">
      <w:pPr>
        <w:spacing w:after="160" w:line="276" w:lineRule="auto"/>
        <w:rPr>
          <w:lang w:val="en-US"/>
        </w:rPr>
      </w:pPr>
      <w:r>
        <w:rPr>
          <w:b/>
          <w:lang w:val="en-US"/>
        </w:rPr>
        <w:t>1. Institutiona</w:t>
      </w:r>
      <w:r>
        <w:rPr>
          <w:b/>
          <w:lang w:val="en-US"/>
        </w:rPr>
        <w:t xml:space="preserve">l set-up of the Macro-Fiscal Unit. </w:t>
      </w:r>
      <w:r>
        <w:rPr>
          <w:lang w:val="en-US"/>
        </w:rPr>
        <w:t>Review the current arrangements and draft, with the Ministry, the Unit's mandate, staffing profile and required skill set, internal working procedures, position within the Ministry's structure and reporting lines, and annual macro-fiscal work calendar aligned with the budget calendar.</w:t>
      </w:r>
    </w:p>
    <w:p w14:paraId="1441B6DB" w14:textId="77777777" w:rsidR="002D742A" w:rsidRDefault="004268AC">
      <w:pPr>
        <w:spacing w:after="160" w:line="276" w:lineRule="auto"/>
        <w:rPr>
          <w:lang w:val="en-US"/>
        </w:rPr>
      </w:pPr>
      <w:r>
        <w:rPr>
          <w:b/>
          <w:lang w:val="en-US"/>
        </w:rPr>
        <w:t xml:space="preserve">2. Data base and updating routine. </w:t>
      </w:r>
      <w:r>
        <w:rPr>
          <w:lang w:val="en-US"/>
        </w:rPr>
        <w:t xml:space="preserve">Inventory the fiscal, oil-sector and macroeconomic data available from the Ministry of Finance, the Central Bank of Libya, the National Oil Corporation and </w:t>
      </w:r>
      <w:r>
        <w:rPr>
          <w:lang w:val="en-US"/>
        </w:rPr>
        <w:t>the statistical authorities; assess coverage, periodicity and reliability; identify gaps and the proxies to be used; assemble a structured baseline data file; and set out in writing the updating routine, specifying source, responsible unit, format and frequency for each series.</w:t>
      </w:r>
    </w:p>
    <w:p w14:paraId="3810BE02" w14:textId="77777777" w:rsidR="002D742A" w:rsidRDefault="004268AC">
      <w:pPr>
        <w:spacing w:after="160" w:line="276" w:lineRule="auto"/>
        <w:rPr>
          <w:lang w:val="en-US"/>
        </w:rPr>
      </w:pPr>
      <w:r>
        <w:rPr>
          <w:b/>
          <w:lang w:val="en-US"/>
        </w:rPr>
        <w:t xml:space="preserve">3. Macro-fiscal projection model. </w:t>
      </w:r>
      <w:r>
        <w:rPr>
          <w:lang w:val="en-US"/>
        </w:rPr>
        <w:t>Build with the Unit's staff an Excel-based model covering oil revenue (price, production, entitlement), non-oil revenue, expenditure by year and by economic classification, the fiscal balance and its</w:t>
      </w:r>
      <w:r>
        <w:rPr>
          <w:lang w:val="en-US"/>
        </w:rPr>
        <w:t xml:space="preserve"> financing. The model includes a baseline and at least one alternative scenario, a sensitivity analysis on oil price and production, and documented assumptions. Structure, conventions and formulas are explained in a bilingual user guide.</w:t>
      </w:r>
    </w:p>
    <w:p w14:paraId="75563362" w14:textId="77777777" w:rsidR="002D742A" w:rsidRDefault="004268AC">
      <w:pPr>
        <w:spacing w:after="160" w:line="276" w:lineRule="auto"/>
        <w:rPr>
          <w:lang w:val="en-US"/>
        </w:rPr>
      </w:pPr>
      <w:r>
        <w:rPr>
          <w:b/>
          <w:lang w:val="en-US"/>
        </w:rPr>
        <w:t xml:space="preserve">4. Training and coaching. </w:t>
      </w:r>
      <w:r>
        <w:rPr>
          <w:lang w:val="en-US"/>
        </w:rPr>
        <w:t>Design and deliver two training workshops for Macro-Fiscal Unit and Budget Department staff covering macro-fiscal analysis and the use of the model, with materials in Arabic and English; then coach the team on the job through one full projection ru</w:t>
      </w:r>
      <w:r>
        <w:rPr>
          <w:lang w:val="en-US"/>
        </w:rPr>
        <w:t>n, from data update to output.</w:t>
      </w:r>
    </w:p>
    <w:p w14:paraId="06FE1C95" w14:textId="77777777" w:rsidR="002D742A" w:rsidRDefault="004268AC">
      <w:pPr>
        <w:spacing w:after="160" w:line="276" w:lineRule="auto"/>
        <w:rPr>
          <w:lang w:val="en-US"/>
        </w:rPr>
      </w:pPr>
      <w:r>
        <w:rPr>
          <w:b/>
          <w:lang w:val="en-US"/>
        </w:rPr>
        <w:t xml:space="preserve">5. Sequencing for the next phase. </w:t>
      </w:r>
      <w:r>
        <w:rPr>
          <w:lang w:val="en-US"/>
        </w:rPr>
        <w:t>Assess the Unit's capacity at the end of the assignment and set out, in the final report, what remains to be done and in what order to reach the first MTMF, MTFF and MTBF with expenditure ceilings, the fiscal risk annex on the sensitivity of the budget to oil price and production, and the periodic macro-fiscal report for decision-makers.</w:t>
      </w:r>
    </w:p>
    <w:p w14:paraId="5D9B3BD8" w14:textId="77777777" w:rsidR="002D742A" w:rsidRDefault="004268AC">
      <w:pPr>
        <w:pStyle w:val="Titre1"/>
        <w:rPr>
          <w:lang w:val="en-US"/>
        </w:rPr>
      </w:pPr>
      <w:r>
        <w:rPr>
          <w:lang w:val="en-US"/>
        </w:rPr>
        <w:t>Methodological Framework</w:t>
      </w:r>
    </w:p>
    <w:p w14:paraId="2753C4C2" w14:textId="77777777" w:rsidR="002D742A" w:rsidRDefault="004268AC">
      <w:pPr>
        <w:spacing w:after="160" w:line="276" w:lineRule="auto"/>
        <w:rPr>
          <w:lang w:val="en-US"/>
        </w:rPr>
      </w:pPr>
      <w:r>
        <w:rPr>
          <w:lang w:val="en-US"/>
        </w:rPr>
        <w:t xml:space="preserve">The assignment is carried out under the Component 1 reform roadmap validated with </w:t>
      </w:r>
      <w:r>
        <w:rPr>
          <w:lang w:val="en-US"/>
        </w:rPr>
        <w:t>the Libyan counterparts in September 2026. The roadmap sets the activities, their sequencing and the institutions concerned. The expert works within it and does not reopen the diagnostic on which it is based.</w:t>
      </w:r>
    </w:p>
    <w:p w14:paraId="53B0008C" w14:textId="77777777" w:rsidR="002D742A" w:rsidRDefault="004268AC">
      <w:pPr>
        <w:spacing w:after="160" w:line="276" w:lineRule="auto"/>
        <w:rPr>
          <w:lang w:val="en-US"/>
        </w:rPr>
      </w:pPr>
      <w:r>
        <w:rPr>
          <w:lang w:val="en-US"/>
        </w:rPr>
        <w:t>The following principles govern the way the work is performed:</w:t>
      </w:r>
    </w:p>
    <w:p w14:paraId="2211CBEF" w14:textId="77777777" w:rsidR="002D742A" w:rsidRDefault="004268AC" w:rsidP="004268AC">
      <w:pPr>
        <w:pStyle w:val="Paragraphedeliste"/>
        <w:numPr>
          <w:ilvl w:val="0"/>
          <w:numId w:val="8"/>
        </w:numPr>
        <w:tabs>
          <w:tab w:val="clear" w:pos="9923"/>
        </w:tabs>
        <w:spacing w:after="100" w:line="276" w:lineRule="auto"/>
        <w:rPr>
          <w:lang w:val="en-US"/>
        </w:rPr>
      </w:pPr>
      <w:r>
        <w:rPr>
          <w:b/>
          <w:lang w:val="en-US"/>
        </w:rPr>
        <w:t xml:space="preserve">Co-production, not substitution. </w:t>
      </w:r>
      <w:r>
        <w:rPr>
          <w:lang w:val="en-US"/>
        </w:rPr>
        <w:t xml:space="preserve">Each technical product is prepared with the designated counterpart focal points, using Libyan data and Libyan procedures. </w:t>
      </w:r>
      <w:proofErr w:type="spellStart"/>
      <w:r>
        <w:t>Products</w:t>
      </w:r>
      <w:proofErr w:type="spellEnd"/>
      <w:r>
        <w:t xml:space="preserve"> </w:t>
      </w:r>
      <w:proofErr w:type="spellStart"/>
      <w:r>
        <w:t>prepared</w:t>
      </w:r>
      <w:proofErr w:type="spellEnd"/>
      <w:r>
        <w:t xml:space="preserve"> </w:t>
      </w:r>
      <w:proofErr w:type="spellStart"/>
      <w:r>
        <w:t>without</w:t>
      </w:r>
      <w:proofErr w:type="spellEnd"/>
      <w:r>
        <w:t xml:space="preserve"> </w:t>
      </w:r>
      <w:proofErr w:type="spellStart"/>
      <w:r>
        <w:t>counterpart</w:t>
      </w:r>
      <w:proofErr w:type="spellEnd"/>
      <w:r>
        <w:t xml:space="preserve"> </w:t>
      </w:r>
      <w:proofErr w:type="spellStart"/>
      <w:r>
        <w:t>involvement</w:t>
      </w:r>
      <w:proofErr w:type="spellEnd"/>
      <w:r>
        <w:t xml:space="preserve"> are not </w:t>
      </w:r>
      <w:proofErr w:type="spellStart"/>
      <w:r>
        <w:t>accepted</w:t>
      </w:r>
      <w:proofErr w:type="spellEnd"/>
      <w:r>
        <w:t>.</w:t>
      </w:r>
    </w:p>
    <w:p w14:paraId="1FC957D5" w14:textId="77777777" w:rsidR="002D742A" w:rsidRDefault="004268AC" w:rsidP="004268AC">
      <w:pPr>
        <w:pStyle w:val="Paragraphedeliste"/>
        <w:numPr>
          <w:ilvl w:val="0"/>
          <w:numId w:val="8"/>
        </w:numPr>
        <w:tabs>
          <w:tab w:val="clear" w:pos="9923"/>
        </w:tabs>
        <w:spacing w:after="100" w:line="276" w:lineRule="auto"/>
        <w:rPr>
          <w:lang w:val="en-US"/>
        </w:rPr>
      </w:pPr>
      <w:r>
        <w:rPr>
          <w:b/>
          <w:lang w:val="en-US"/>
        </w:rPr>
        <w:t>Tools paired with</w:t>
      </w:r>
      <w:r>
        <w:rPr>
          <w:b/>
          <w:lang w:val="en-US"/>
        </w:rPr>
        <w:t xml:space="preserve"> transfer. </w:t>
      </w:r>
      <w:r>
        <w:rPr>
          <w:lang w:val="en-US"/>
        </w:rPr>
        <w:t>Every technical product is accompanied by a training or on-the-job coaching sequence, so that national staff can use and maintain it once the assignment ends.</w:t>
      </w:r>
    </w:p>
    <w:p w14:paraId="0A3B4F36" w14:textId="77777777" w:rsidR="002D742A" w:rsidRDefault="004268AC" w:rsidP="004268AC">
      <w:pPr>
        <w:pStyle w:val="Paragraphedeliste"/>
        <w:numPr>
          <w:ilvl w:val="0"/>
          <w:numId w:val="8"/>
        </w:numPr>
        <w:tabs>
          <w:tab w:val="clear" w:pos="9923"/>
        </w:tabs>
        <w:spacing w:after="100" w:line="276" w:lineRule="auto"/>
        <w:rPr>
          <w:lang w:val="en-US"/>
        </w:rPr>
      </w:pPr>
      <w:r>
        <w:rPr>
          <w:b/>
          <w:lang w:val="en-US"/>
        </w:rPr>
        <w:t xml:space="preserve">National ownership of the pace. </w:t>
      </w:r>
      <w:r>
        <w:rPr>
          <w:lang w:val="en-US"/>
        </w:rPr>
        <w:t xml:space="preserve">The sequencing is led by the Libyan authorities. Decisions on the adoption and application of any measure rest with the competent national institutions. </w:t>
      </w:r>
      <w:r>
        <w:t xml:space="preserve">The expert </w:t>
      </w:r>
      <w:proofErr w:type="spellStart"/>
      <w:proofErr w:type="gramStart"/>
      <w:r>
        <w:t>advises</w:t>
      </w:r>
      <w:proofErr w:type="spellEnd"/>
      <w:r>
        <w:t>;</w:t>
      </w:r>
      <w:proofErr w:type="gramEnd"/>
      <w:r>
        <w:t xml:space="preserve"> </w:t>
      </w:r>
      <w:proofErr w:type="spellStart"/>
      <w:r>
        <w:t>it</w:t>
      </w:r>
      <w:proofErr w:type="spellEnd"/>
      <w:r>
        <w:t xml:space="preserve"> </w:t>
      </w:r>
      <w:proofErr w:type="spellStart"/>
      <w:r>
        <w:t>does</w:t>
      </w:r>
      <w:proofErr w:type="spellEnd"/>
      <w:r>
        <w:t xml:space="preserve"> not commit the </w:t>
      </w:r>
      <w:proofErr w:type="spellStart"/>
      <w:r>
        <w:t>counterpart</w:t>
      </w:r>
      <w:proofErr w:type="spellEnd"/>
      <w:r>
        <w:t>.</w:t>
      </w:r>
    </w:p>
    <w:p w14:paraId="205A9360" w14:textId="77777777" w:rsidR="002D742A" w:rsidRDefault="004268AC" w:rsidP="004268AC">
      <w:pPr>
        <w:pStyle w:val="Paragraphedeliste"/>
        <w:numPr>
          <w:ilvl w:val="0"/>
          <w:numId w:val="8"/>
        </w:numPr>
        <w:tabs>
          <w:tab w:val="clear" w:pos="9923"/>
        </w:tabs>
        <w:spacing w:after="100" w:line="276" w:lineRule="auto"/>
        <w:rPr>
          <w:lang w:val="en-US"/>
        </w:rPr>
      </w:pPr>
      <w:r>
        <w:rPr>
          <w:b/>
          <w:lang w:val="en-US"/>
        </w:rPr>
        <w:lastRenderedPageBreak/>
        <w:t xml:space="preserve">Efficient use of onsite time. </w:t>
      </w:r>
      <w:r>
        <w:rPr>
          <w:lang w:val="en-US"/>
        </w:rPr>
        <w:t>Missions are reserved for working sessions, training and validation. Da</w:t>
      </w:r>
      <w:r>
        <w:rPr>
          <w:lang w:val="en-US"/>
        </w:rPr>
        <w:t>ta collection and drafting that can be performed remotely are performed remotely.</w:t>
      </w:r>
    </w:p>
    <w:p w14:paraId="4DD48BA9" w14:textId="77777777" w:rsidR="002D742A" w:rsidRDefault="004268AC" w:rsidP="004268AC">
      <w:pPr>
        <w:pStyle w:val="Paragraphedeliste"/>
        <w:numPr>
          <w:ilvl w:val="0"/>
          <w:numId w:val="8"/>
        </w:numPr>
        <w:tabs>
          <w:tab w:val="clear" w:pos="9923"/>
        </w:tabs>
        <w:spacing w:after="100" w:line="276" w:lineRule="auto"/>
        <w:rPr>
          <w:lang w:val="en-US"/>
        </w:rPr>
      </w:pPr>
      <w:r>
        <w:rPr>
          <w:b/>
          <w:lang w:val="en-US"/>
        </w:rPr>
        <w:t xml:space="preserve">Donor coordination. </w:t>
      </w:r>
      <w:r>
        <w:rPr>
          <w:lang w:val="en-US"/>
        </w:rPr>
        <w:t xml:space="preserve">The expert takes account of ongoing IMF and World Bank activity in the same field and flags any overlap to the Key Technical Expert of Component 1 as soon as it is identified. </w:t>
      </w:r>
    </w:p>
    <w:p w14:paraId="6DFEBEAA" w14:textId="77777777" w:rsidR="002D742A" w:rsidRDefault="002D742A">
      <w:pPr>
        <w:pStyle w:val="Paragraphedeliste"/>
        <w:numPr>
          <w:ilvl w:val="0"/>
          <w:numId w:val="0"/>
        </w:numPr>
        <w:tabs>
          <w:tab w:val="clear" w:pos="9923"/>
        </w:tabs>
        <w:spacing w:after="100" w:line="276" w:lineRule="auto"/>
        <w:ind w:left="480"/>
        <w:rPr>
          <w:lang w:val="en-US"/>
        </w:rPr>
      </w:pPr>
    </w:p>
    <w:p w14:paraId="60E56BA7" w14:textId="77777777" w:rsidR="002D742A" w:rsidRDefault="004268AC">
      <w:pPr>
        <w:pStyle w:val="Titre2"/>
        <w:rPr>
          <w:rStyle w:val="lev"/>
          <w:b w:val="0"/>
          <w:bCs w:val="0"/>
        </w:rPr>
      </w:pPr>
      <w:proofErr w:type="spellStart"/>
      <w:r>
        <w:rPr>
          <w:rStyle w:val="lev"/>
          <w:b w:val="0"/>
          <w:bCs w:val="0"/>
        </w:rPr>
        <w:t>Quality</w:t>
      </w:r>
      <w:proofErr w:type="spellEnd"/>
      <w:r>
        <w:rPr>
          <w:rStyle w:val="lev"/>
          <w:b w:val="0"/>
          <w:bCs w:val="0"/>
        </w:rPr>
        <w:t xml:space="preserve"> </w:t>
      </w:r>
      <w:proofErr w:type="spellStart"/>
      <w:r>
        <w:rPr>
          <w:rStyle w:val="lev"/>
          <w:b w:val="0"/>
          <w:bCs w:val="0"/>
        </w:rPr>
        <w:t>Requirements</w:t>
      </w:r>
      <w:proofErr w:type="spellEnd"/>
    </w:p>
    <w:p w14:paraId="5C5FD516" w14:textId="77777777" w:rsidR="002D742A" w:rsidRDefault="004268AC">
      <w:pPr>
        <w:spacing w:after="160" w:line="276" w:lineRule="auto"/>
        <w:rPr>
          <w:lang w:val="en-US"/>
        </w:rPr>
      </w:pPr>
      <w:r>
        <w:rPr>
          <w:lang w:val="en-US"/>
        </w:rPr>
        <w:t>All deliverables must meet the following requirements:</w:t>
      </w:r>
    </w:p>
    <w:p w14:paraId="637E8AA7"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Build on the 2026 diagnostic and agreed reform roadmap; do not repeat a broad diagnostic unless a specific factual update is required for the assigned task.</w:t>
      </w:r>
    </w:p>
    <w:p w14:paraId="089A0475"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Ensure coherence and complementarity with relevant technical work undertaken under Component 2, particularly where public financial management, macro-fiscal, budgeting and financial-sector reforms intersect.</w:t>
      </w:r>
    </w:p>
    <w:p w14:paraId="17A9C38A" w14:textId="77777777" w:rsidR="002D742A" w:rsidRDefault="004268AC" w:rsidP="004268AC">
      <w:pPr>
        <w:pStyle w:val="Paragraphedeliste"/>
        <w:numPr>
          <w:ilvl w:val="0"/>
          <w:numId w:val="8"/>
        </w:numPr>
        <w:rPr>
          <w:lang w:val="en-US"/>
        </w:rPr>
      </w:pPr>
      <w:r>
        <w:rPr>
          <w:lang w:val="en-US"/>
        </w:rPr>
        <w:t>Submit concise, evidence-based deliverables in clear professional English.</w:t>
      </w:r>
    </w:p>
    <w:p w14:paraId="66BF4019"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All figures, assumptions and legal references are sourced. Where Libyan data are incomplete, the gap and the proxy used are stated explicitly.</w:t>
      </w:r>
    </w:p>
    <w:p w14:paraId="520AFD69"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Models and templates are delivered unlocked and fully documented, with visible formul</w:t>
      </w:r>
      <w:r>
        <w:rPr>
          <w:lang w:val="en-US"/>
        </w:rPr>
        <w:t>as, no external links and no hidden sheets, so that they remain usable and maintainable by national staff.</w:t>
      </w:r>
    </w:p>
    <w:p w14:paraId="0AA8886E"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Deliverables are operational products — procedures, models, templates, manuals, guidance. Literature reviews or generic international comparisons are not accepted in place of operational products.</w:t>
      </w:r>
    </w:p>
    <w:p w14:paraId="7E868AEC"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EF format and the EU disclaimer are respected. Deliverables that do not comply are returned before technical review.</w:t>
      </w:r>
    </w:p>
    <w:p w14:paraId="0A8C6AF6" w14:textId="77777777" w:rsidR="002D742A" w:rsidRDefault="004268AC">
      <w:pPr>
        <w:pStyle w:val="Titre1"/>
        <w:rPr>
          <w:lang w:val="en-US"/>
        </w:rPr>
      </w:pPr>
      <w:r>
        <w:rPr>
          <w:lang w:val="en-US"/>
        </w:rPr>
        <w:t>Governance and Validation Architecture</w:t>
      </w:r>
    </w:p>
    <w:p w14:paraId="47F01025" w14:textId="77777777" w:rsidR="002D742A" w:rsidRDefault="004268AC">
      <w:pPr>
        <w:pStyle w:val="Titre3"/>
        <w:ind w:left="720"/>
        <w:rPr>
          <w:rFonts w:ascii="Tw Cen MT" w:hAnsi="Tw Cen MT"/>
        </w:rPr>
      </w:pPr>
      <w:proofErr w:type="spellStart"/>
      <w:r>
        <w:rPr>
          <w:rStyle w:val="lev"/>
          <w:rFonts w:ascii="Tw Cen MT" w:hAnsi="Tw Cen MT"/>
          <w:b/>
          <w:bCs/>
        </w:rPr>
        <w:t>Governance</w:t>
      </w:r>
      <w:proofErr w:type="spellEnd"/>
      <w:r>
        <w:rPr>
          <w:rStyle w:val="lev"/>
          <w:rFonts w:ascii="Tw Cen MT" w:hAnsi="Tw Cen MT"/>
          <w:b/>
          <w:bCs/>
        </w:rPr>
        <w:t xml:space="preserve"> </w:t>
      </w:r>
      <w:proofErr w:type="spellStart"/>
      <w:r>
        <w:rPr>
          <w:rStyle w:val="lev"/>
          <w:rFonts w:ascii="Tw Cen MT" w:hAnsi="Tw Cen MT"/>
          <w:b/>
          <w:bCs/>
        </w:rPr>
        <w:t>Approach</w:t>
      </w:r>
      <w:proofErr w:type="spellEnd"/>
    </w:p>
    <w:p w14:paraId="5FA83ECB" w14:textId="77777777" w:rsidR="002D742A" w:rsidRDefault="004268AC">
      <w:pPr>
        <w:spacing w:after="160" w:line="276" w:lineRule="auto"/>
        <w:rPr>
          <w:lang w:val="en-US"/>
        </w:rPr>
      </w:pPr>
      <w:r>
        <w:rPr>
          <w:lang w:val="en-US"/>
        </w:rPr>
        <w:t>The governance and validation ar</w:t>
      </w:r>
      <w:r>
        <w:rPr>
          <w:lang w:val="en-US"/>
        </w:rPr>
        <w:t>rangements of the implementation phase are designed to combine technical quality, clear accountability and stakeholder ownership. The validation process will ensure that project deliverables are coherent, evidence-based, adapted to the Libyan context, and aligned with the objectives of INVEST4Libya and the expectations of the relevant partners.</w:t>
      </w:r>
    </w:p>
    <w:p w14:paraId="547DEC67" w14:textId="77777777" w:rsidR="002D742A" w:rsidRDefault="004268AC">
      <w:pPr>
        <w:spacing w:after="160" w:line="276" w:lineRule="auto"/>
        <w:rPr>
          <w:lang w:val="en-US"/>
        </w:rPr>
      </w:pPr>
      <w:r>
        <w:rPr>
          <w:lang w:val="en-US"/>
        </w:rPr>
        <w:t>The governance system rests on three complementary layers:</w:t>
      </w:r>
    </w:p>
    <w:p w14:paraId="7DE31284"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 xml:space="preserve">Expertise France (EF) – ensuring methodological </w:t>
      </w:r>
      <w:proofErr w:type="spellStart"/>
      <w:r>
        <w:rPr>
          <w:lang w:val="en-US"/>
        </w:rPr>
        <w:t>rigour</w:t>
      </w:r>
      <w:proofErr w:type="spellEnd"/>
      <w:r>
        <w:rPr>
          <w:lang w:val="en-US"/>
        </w:rPr>
        <w:t>, operational discipline, and donor compliance;</w:t>
      </w:r>
    </w:p>
    <w:p w14:paraId="0B4A4FC3"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Liby</w:t>
      </w:r>
      <w:r>
        <w:rPr>
          <w:lang w:val="en-US"/>
        </w:rPr>
        <w:t>an Technical Piloting Committee – ensuring political legitimacy, contextual realism, and national ownership;</w:t>
      </w:r>
    </w:p>
    <w:p w14:paraId="3CE29E6B"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European Union Delegation – ensuring policy alignment, coherence with the EU Special Measure 2024, and donor visibility.</w:t>
      </w:r>
    </w:p>
    <w:p w14:paraId="5CE439A6" w14:textId="77777777" w:rsidR="002D742A" w:rsidRDefault="002D742A">
      <w:pPr>
        <w:pStyle w:val="Titre3"/>
        <w:numPr>
          <w:ilvl w:val="0"/>
          <w:numId w:val="0"/>
        </w:numPr>
        <w:ind w:left="720" w:hanging="720"/>
        <w:rPr>
          <w:rStyle w:val="lev"/>
          <w:rFonts w:ascii="Tw Cen MT" w:hAnsi="Tw Cen MT"/>
          <w:b/>
          <w:bCs/>
          <w:lang w:val="en-US"/>
        </w:rPr>
      </w:pPr>
    </w:p>
    <w:p w14:paraId="3A8479C9" w14:textId="77777777" w:rsidR="002D742A" w:rsidRDefault="004268AC">
      <w:pPr>
        <w:pStyle w:val="Titre2"/>
        <w:rPr>
          <w:rStyle w:val="lev"/>
          <w:b w:val="0"/>
          <w:bCs w:val="0"/>
        </w:rPr>
      </w:pPr>
      <w:proofErr w:type="spellStart"/>
      <w:r>
        <w:rPr>
          <w:rStyle w:val="lev"/>
          <w:b w:val="0"/>
          <w:bCs w:val="0"/>
        </w:rPr>
        <w:t>Internal</w:t>
      </w:r>
      <w:proofErr w:type="spellEnd"/>
      <w:r>
        <w:rPr>
          <w:rStyle w:val="lev"/>
          <w:b w:val="0"/>
          <w:bCs w:val="0"/>
        </w:rPr>
        <w:t xml:space="preserve"> Coordination and Communication </w:t>
      </w:r>
      <w:proofErr w:type="spellStart"/>
      <w:r>
        <w:rPr>
          <w:rStyle w:val="lev"/>
          <w:b w:val="0"/>
          <w:bCs w:val="0"/>
        </w:rPr>
        <w:t>Mechanisms</w:t>
      </w:r>
      <w:proofErr w:type="spellEnd"/>
    </w:p>
    <w:p w14:paraId="0740DDC1" w14:textId="77777777" w:rsidR="002D742A" w:rsidRDefault="004268AC">
      <w:pPr>
        <w:rPr>
          <w:lang w:val="en-US"/>
        </w:rPr>
      </w:pPr>
      <w:r>
        <w:rPr>
          <w:lang w:val="en-US"/>
        </w:rPr>
        <w:t xml:space="preserve">All official deliverables (reports, notes, briefs, presentations, models and templates) shall be submitted to the Invest4Libya Technical Coordinator. Technical clearance is issued by the Key Technical Expert of Component 1; final </w:t>
      </w:r>
      <w:r>
        <w:rPr>
          <w:lang w:val="en-US"/>
        </w:rPr>
        <w:t>validation rests with the Invest4Libya Project Leader.</w:t>
      </w:r>
    </w:p>
    <w:p w14:paraId="5E87DE66" w14:textId="77777777" w:rsidR="002D742A" w:rsidRDefault="004268AC">
      <w:pPr>
        <w:spacing w:after="160" w:line="276" w:lineRule="auto"/>
        <w:rPr>
          <w:lang w:val="en-US"/>
        </w:rPr>
      </w:pPr>
      <w:r>
        <w:rPr>
          <w:lang w:val="en-US"/>
        </w:rPr>
        <w:t xml:space="preserve">The expert takes part in a bi-weekly coordination call with the Component 1 team and submits a </w:t>
      </w:r>
      <w:proofErr w:type="gramStart"/>
      <w:r>
        <w:rPr>
          <w:lang w:val="en-US"/>
        </w:rPr>
        <w:t>short written</w:t>
      </w:r>
      <w:proofErr w:type="gramEnd"/>
      <w:r>
        <w:rPr>
          <w:lang w:val="en-US"/>
        </w:rPr>
        <w:t xml:space="preserve"> progress update (maximum one page: work performed, days consumed, blocking points, next </w:t>
      </w:r>
      <w:r>
        <w:rPr>
          <w:lang w:val="en-US"/>
        </w:rPr>
        <w:lastRenderedPageBreak/>
        <w:t>steps) before each call. Any difficulty in accessing counterparts or data is reported without delay and not at the deliverable submission stage.</w:t>
      </w:r>
    </w:p>
    <w:p w14:paraId="1D6BCC1E" w14:textId="77777777" w:rsidR="002D742A" w:rsidRDefault="004268AC">
      <w:pPr>
        <w:pStyle w:val="Titre1"/>
        <w:rPr>
          <w:lang w:val="en-US"/>
        </w:rPr>
      </w:pPr>
      <w:r>
        <w:rPr>
          <w:lang w:val="en-US"/>
        </w:rPr>
        <w:t>Deliverables and Timeline</w:t>
      </w:r>
    </w:p>
    <w:p w14:paraId="4B82654D" w14:textId="77777777" w:rsidR="002D742A" w:rsidRDefault="002D742A">
      <w:pPr>
        <w:rPr>
          <w:lang w:val="en-US"/>
        </w:rPr>
      </w:pPr>
    </w:p>
    <w:tbl>
      <w:tblPr>
        <w:tblStyle w:val="Tableausimple1"/>
        <w:tblW w:w="9469" w:type="dxa"/>
        <w:tblLook w:val="04A0" w:firstRow="1" w:lastRow="0" w:firstColumn="1" w:lastColumn="0" w:noHBand="0" w:noVBand="1"/>
      </w:tblPr>
      <w:tblGrid>
        <w:gridCol w:w="2525"/>
        <w:gridCol w:w="4924"/>
        <w:gridCol w:w="2020"/>
      </w:tblGrid>
      <w:tr w:rsidR="002D742A" w14:paraId="1B805A23" w14:textId="77777777" w:rsidTr="002D742A">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525" w:type="dxa"/>
          </w:tcPr>
          <w:p w14:paraId="647522F9" w14:textId="77777777" w:rsidR="002D742A" w:rsidRDefault="004268AC">
            <w:pPr>
              <w:tabs>
                <w:tab w:val="clear" w:pos="9923"/>
              </w:tabs>
              <w:spacing w:after="0"/>
              <w:ind w:left="0"/>
              <w:jc w:val="center"/>
              <w:rPr>
                <w:rFonts w:eastAsia="Times New Roman" w:cs="Times New Roman"/>
                <w:iCs w:val="0"/>
                <w:color w:val="auto"/>
                <w:lang w:eastAsia="fr-FR"/>
              </w:rPr>
            </w:pPr>
            <w:proofErr w:type="spellStart"/>
            <w:r>
              <w:rPr>
                <w:rFonts w:eastAsia="Times New Roman" w:cs="Times New Roman"/>
                <w:iCs w:val="0"/>
                <w:color w:val="auto"/>
                <w:lang w:eastAsia="fr-FR"/>
              </w:rPr>
              <w:t>Expected</w:t>
            </w:r>
            <w:proofErr w:type="spellEnd"/>
            <w:r>
              <w:rPr>
                <w:rFonts w:eastAsia="Times New Roman" w:cs="Times New Roman"/>
                <w:iCs w:val="0"/>
                <w:color w:val="auto"/>
                <w:lang w:eastAsia="fr-FR"/>
              </w:rPr>
              <w:t xml:space="preserve"> </w:t>
            </w:r>
            <w:proofErr w:type="spellStart"/>
            <w:r>
              <w:rPr>
                <w:rFonts w:eastAsia="Times New Roman" w:cs="Times New Roman"/>
                <w:iCs w:val="0"/>
                <w:color w:val="auto"/>
                <w:lang w:eastAsia="fr-FR"/>
              </w:rPr>
              <w:t>Deliverables</w:t>
            </w:r>
            <w:proofErr w:type="spellEnd"/>
          </w:p>
        </w:tc>
        <w:tc>
          <w:tcPr>
            <w:tcW w:w="4924" w:type="dxa"/>
          </w:tcPr>
          <w:p w14:paraId="7CCB88CA" w14:textId="77777777" w:rsidR="002D742A" w:rsidRDefault="004268AC">
            <w:pPr>
              <w:tabs>
                <w:tab w:val="clear" w:pos="9923"/>
              </w:tabs>
              <w:spacing w:after="0"/>
              <w:ind w:left="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iCs w:val="0"/>
                <w:color w:val="auto"/>
                <w:lang w:eastAsia="fr-FR"/>
              </w:rPr>
            </w:pPr>
            <w:r>
              <w:rPr>
                <w:rFonts w:eastAsia="Times New Roman" w:cs="Times New Roman"/>
                <w:iCs w:val="0"/>
                <w:color w:val="auto"/>
                <w:lang w:eastAsia="fr-FR"/>
              </w:rPr>
              <w:t>Description / Key Content</w:t>
            </w:r>
          </w:p>
        </w:tc>
        <w:tc>
          <w:tcPr>
            <w:tcW w:w="2020" w:type="dxa"/>
          </w:tcPr>
          <w:p w14:paraId="274BA186" w14:textId="77777777" w:rsidR="002D742A" w:rsidRDefault="004268AC">
            <w:pPr>
              <w:tabs>
                <w:tab w:val="clear" w:pos="9923"/>
              </w:tabs>
              <w:spacing w:after="0"/>
              <w:ind w:left="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iCs w:val="0"/>
                <w:color w:val="auto"/>
                <w:lang w:eastAsia="fr-FR"/>
              </w:rPr>
            </w:pPr>
            <w:r>
              <w:rPr>
                <w:rFonts w:eastAsia="Times New Roman" w:cs="Times New Roman"/>
                <w:iCs w:val="0"/>
                <w:color w:val="auto"/>
                <w:lang w:eastAsia="fr-FR"/>
              </w:rPr>
              <w:t>Indicative Deadline</w:t>
            </w:r>
          </w:p>
        </w:tc>
      </w:tr>
      <w:tr w:rsidR="002D742A" w14:paraId="68CB6BAC" w14:textId="77777777" w:rsidTr="002D742A">
        <w:trPr>
          <w:cnfStyle w:val="000000100000" w:firstRow="0" w:lastRow="0" w:firstColumn="0" w:lastColumn="0" w:oddVBand="0" w:evenVBand="0" w:oddHBand="1" w:evenHBand="0" w:firstRowFirstColumn="0" w:firstRowLastColumn="0" w:lastRowFirstColumn="0" w:lastRowLastColumn="0"/>
          <w:trHeight w:val="1123"/>
        </w:trPr>
        <w:tc>
          <w:tcPr>
            <w:cnfStyle w:val="001000000000" w:firstRow="0" w:lastRow="0" w:firstColumn="1" w:lastColumn="0" w:oddVBand="0" w:evenVBand="0" w:oddHBand="0" w:evenHBand="0" w:firstRowFirstColumn="0" w:firstRowLastColumn="0" w:lastRowFirstColumn="0" w:lastRowLastColumn="0"/>
            <w:tcW w:w="2525" w:type="dxa"/>
          </w:tcPr>
          <w:p w14:paraId="260EBCFE" w14:textId="77777777" w:rsidR="002D742A" w:rsidRDefault="004268AC">
            <w:pPr>
              <w:tabs>
                <w:tab w:val="clear" w:pos="9923"/>
              </w:tabs>
              <w:spacing w:after="0"/>
              <w:ind w:left="0"/>
              <w:jc w:val="left"/>
              <w:rPr>
                <w:rFonts w:eastAsia="Times New Roman" w:cs="Times New Roman"/>
                <w:iCs w:val="0"/>
                <w:color w:val="auto"/>
                <w:lang w:val="en-US" w:eastAsia="fr-FR"/>
              </w:rPr>
            </w:pPr>
            <w:r>
              <w:rPr>
                <w:lang w:val="en-US"/>
              </w:rPr>
              <w:t>D1 — Inception note</w:t>
            </w:r>
            <w:r>
              <w:rPr>
                <w:lang w:val="en-US"/>
              </w:rPr>
              <w:t xml:space="preserve"> and work plan</w:t>
            </w:r>
          </w:p>
        </w:tc>
        <w:tc>
          <w:tcPr>
            <w:tcW w:w="4924" w:type="dxa"/>
          </w:tcPr>
          <w:p w14:paraId="1E7532AB" w14:textId="77777777" w:rsidR="002D742A" w:rsidRDefault="004268AC">
            <w:pPr>
              <w:tabs>
                <w:tab w:val="clear" w:pos="9923"/>
              </w:tabs>
              <w:spacing w:after="0"/>
              <w:ind w:left="0"/>
              <w:jc w:val="left"/>
              <w:cnfStyle w:val="000000100000" w:firstRow="0" w:lastRow="0" w:firstColumn="0" w:lastColumn="0" w:oddVBand="0" w:evenVBand="0" w:oddHBand="1" w:evenHBand="0" w:firstRowFirstColumn="0" w:firstRowLastColumn="0" w:lastRowFirstColumn="0" w:lastRowLastColumn="0"/>
              <w:rPr>
                <w:rFonts w:eastAsia="Times New Roman" w:cs="Times New Roman"/>
                <w:iCs w:val="0"/>
                <w:color w:val="auto"/>
                <w:lang w:val="en-US" w:eastAsia="fr-FR"/>
              </w:rPr>
            </w:pPr>
            <w:r>
              <w:rPr>
                <w:lang w:val="en-US"/>
              </w:rPr>
              <w:t>Understanding of the assignment, proposed approach, data requirements, counterpart focal points confirmed with the Ministry of Finance, mission calendar and detailed timeline.</w:t>
            </w:r>
          </w:p>
        </w:tc>
        <w:tc>
          <w:tcPr>
            <w:tcW w:w="2020" w:type="dxa"/>
          </w:tcPr>
          <w:p w14:paraId="11258E29" w14:textId="77777777" w:rsidR="002D742A" w:rsidRDefault="004268AC">
            <w:pPr>
              <w:tabs>
                <w:tab w:val="clear" w:pos="9923"/>
              </w:tabs>
              <w:spacing w:after="0"/>
              <w:ind w:left="0"/>
              <w:jc w:val="left"/>
              <w:cnfStyle w:val="000000100000" w:firstRow="0" w:lastRow="0" w:firstColumn="0" w:lastColumn="0" w:oddVBand="0" w:evenVBand="0" w:oddHBand="1" w:evenHBand="0" w:firstRowFirstColumn="0" w:firstRowLastColumn="0" w:lastRowFirstColumn="0" w:lastRowLastColumn="0"/>
              <w:rPr>
                <w:rFonts w:eastAsia="Times New Roman" w:cs="Times New Roman"/>
                <w:iCs w:val="0"/>
                <w:color w:val="auto"/>
                <w:lang w:eastAsia="fr-FR"/>
              </w:rPr>
            </w:pPr>
            <w:r>
              <w:t>30 November 2026</w:t>
            </w:r>
          </w:p>
        </w:tc>
      </w:tr>
      <w:tr w:rsidR="002D742A" w14:paraId="7C9359F8" w14:textId="77777777" w:rsidTr="002D742A">
        <w:trPr>
          <w:trHeight w:val="1114"/>
        </w:trPr>
        <w:tc>
          <w:tcPr>
            <w:cnfStyle w:val="001000000000" w:firstRow="0" w:lastRow="0" w:firstColumn="1" w:lastColumn="0" w:oddVBand="0" w:evenVBand="0" w:oddHBand="0" w:evenHBand="0" w:firstRowFirstColumn="0" w:firstRowLastColumn="0" w:lastRowFirstColumn="0" w:lastRowLastColumn="0"/>
            <w:tcW w:w="2525" w:type="dxa"/>
          </w:tcPr>
          <w:p w14:paraId="5EEE88D6" w14:textId="77777777" w:rsidR="002D742A" w:rsidRDefault="004268AC">
            <w:pPr>
              <w:tabs>
                <w:tab w:val="clear" w:pos="9923"/>
              </w:tabs>
              <w:spacing w:after="0"/>
              <w:ind w:left="0"/>
              <w:jc w:val="left"/>
              <w:rPr>
                <w:rFonts w:eastAsia="Times New Roman" w:cs="Times New Roman"/>
                <w:iCs w:val="0"/>
                <w:color w:val="auto"/>
                <w:lang w:val="en-US" w:eastAsia="fr-FR"/>
              </w:rPr>
            </w:pPr>
            <w:r>
              <w:rPr>
                <w:lang w:val="en-US"/>
              </w:rPr>
              <w:t>D2 — Macro-Fiscal Unit operational framework note</w:t>
            </w:r>
          </w:p>
        </w:tc>
        <w:tc>
          <w:tcPr>
            <w:tcW w:w="4924" w:type="dxa"/>
          </w:tcPr>
          <w:p w14:paraId="00047467" w14:textId="77777777" w:rsidR="002D742A" w:rsidRDefault="004268AC">
            <w:pPr>
              <w:tabs>
                <w:tab w:val="clear" w:pos="9923"/>
              </w:tabs>
              <w:spacing w:after="0"/>
              <w:ind w:left="0"/>
              <w:jc w:val="left"/>
              <w:cnfStyle w:val="000000000000" w:firstRow="0" w:lastRow="0" w:firstColumn="0" w:lastColumn="0" w:oddVBand="0" w:evenVBand="0" w:oddHBand="0" w:evenHBand="0" w:firstRowFirstColumn="0" w:firstRowLastColumn="0" w:lastRowFirstColumn="0" w:lastRowLastColumn="0"/>
              <w:rPr>
                <w:rFonts w:eastAsia="Times New Roman" w:cs="Times New Roman"/>
                <w:iCs w:val="0"/>
                <w:color w:val="auto"/>
                <w:lang w:val="en-US" w:eastAsia="fr-FR"/>
              </w:rPr>
            </w:pPr>
            <w:r>
              <w:rPr>
                <w:lang w:val="en-US"/>
              </w:rPr>
              <w:t>Draft mandate, staffing profile and skill set, internal procedures, reporting lines and annual work calendar of the Unit, prepared with the Ministry of Finance and ready for its adoption.</w:t>
            </w:r>
          </w:p>
        </w:tc>
        <w:tc>
          <w:tcPr>
            <w:tcW w:w="2020" w:type="dxa"/>
          </w:tcPr>
          <w:p w14:paraId="45F25428" w14:textId="77777777" w:rsidR="002D742A" w:rsidRDefault="004268AC">
            <w:pPr>
              <w:tabs>
                <w:tab w:val="clear" w:pos="9923"/>
              </w:tabs>
              <w:spacing w:after="0"/>
              <w:ind w:left="0"/>
              <w:jc w:val="left"/>
              <w:cnfStyle w:val="000000000000" w:firstRow="0" w:lastRow="0" w:firstColumn="0" w:lastColumn="0" w:oddVBand="0" w:evenVBand="0" w:oddHBand="0" w:evenHBand="0" w:firstRowFirstColumn="0" w:firstRowLastColumn="0" w:lastRowFirstColumn="0" w:lastRowLastColumn="0"/>
              <w:rPr>
                <w:rFonts w:eastAsia="Times New Roman" w:cs="Times New Roman"/>
                <w:iCs w:val="0"/>
                <w:color w:val="auto"/>
                <w:lang w:eastAsia="fr-FR"/>
              </w:rPr>
            </w:pPr>
            <w:r>
              <w:t>15 January 2027</w:t>
            </w:r>
          </w:p>
        </w:tc>
      </w:tr>
      <w:tr w:rsidR="002D742A" w14:paraId="3E7E6500" w14:textId="77777777" w:rsidTr="002D742A">
        <w:trPr>
          <w:cnfStyle w:val="000000100000" w:firstRow="0" w:lastRow="0" w:firstColumn="0" w:lastColumn="0" w:oddVBand="0" w:evenVBand="0" w:oddHBand="1" w:evenHBand="0" w:firstRowFirstColumn="0" w:firstRowLastColumn="0" w:lastRowFirstColumn="0" w:lastRowLastColumn="0"/>
          <w:trHeight w:val="1348"/>
        </w:trPr>
        <w:tc>
          <w:tcPr>
            <w:cnfStyle w:val="001000000000" w:firstRow="0" w:lastRow="0" w:firstColumn="1" w:lastColumn="0" w:oddVBand="0" w:evenVBand="0" w:oddHBand="0" w:evenHBand="0" w:firstRowFirstColumn="0" w:firstRowLastColumn="0" w:lastRowFirstColumn="0" w:lastRowLastColumn="0"/>
            <w:tcW w:w="2525" w:type="dxa"/>
          </w:tcPr>
          <w:p w14:paraId="3BEF8C2F" w14:textId="77777777" w:rsidR="002D742A" w:rsidRDefault="004268AC">
            <w:pPr>
              <w:tabs>
                <w:tab w:val="clear" w:pos="9923"/>
              </w:tabs>
              <w:spacing w:after="0"/>
              <w:ind w:left="0"/>
              <w:jc w:val="left"/>
              <w:rPr>
                <w:rFonts w:eastAsia="Times New Roman" w:cs="Times New Roman"/>
                <w:iCs w:val="0"/>
                <w:color w:val="auto"/>
                <w:lang w:val="en-US" w:eastAsia="fr-FR"/>
              </w:rPr>
            </w:pPr>
            <w:r>
              <w:rPr>
                <w:lang w:val="en-US"/>
              </w:rPr>
              <w:t>D3 — Macro-fiscal data inventory, baseline datas</w:t>
            </w:r>
            <w:r>
              <w:rPr>
                <w:lang w:val="en-US"/>
              </w:rPr>
              <w:t>et and updating routine</w:t>
            </w:r>
          </w:p>
        </w:tc>
        <w:tc>
          <w:tcPr>
            <w:tcW w:w="4924" w:type="dxa"/>
          </w:tcPr>
          <w:p w14:paraId="6FE1C21C" w14:textId="77777777" w:rsidR="002D742A" w:rsidRDefault="004268AC">
            <w:pPr>
              <w:tabs>
                <w:tab w:val="clear" w:pos="9923"/>
              </w:tabs>
              <w:spacing w:after="0"/>
              <w:ind w:left="0"/>
              <w:jc w:val="left"/>
              <w:cnfStyle w:val="000000100000" w:firstRow="0" w:lastRow="0" w:firstColumn="0" w:lastColumn="0" w:oddVBand="0" w:evenVBand="0" w:oddHBand="1" w:evenHBand="0" w:firstRowFirstColumn="0" w:firstRowLastColumn="0" w:lastRowFirstColumn="0" w:lastRowLastColumn="0"/>
              <w:rPr>
                <w:rFonts w:eastAsia="Times New Roman" w:cs="Times New Roman"/>
                <w:iCs w:val="0"/>
                <w:color w:val="auto"/>
                <w:lang w:val="en-US" w:eastAsia="fr-FR"/>
              </w:rPr>
            </w:pPr>
            <w:r>
              <w:rPr>
                <w:lang w:val="en-US"/>
              </w:rPr>
              <w:t>Inventory of available sources with coverage and reliability assessment; identified gaps and proxies; structured baseline data file; written updating routine assigning source, responsibility, format and frequency.</w:t>
            </w:r>
          </w:p>
        </w:tc>
        <w:tc>
          <w:tcPr>
            <w:tcW w:w="2020" w:type="dxa"/>
          </w:tcPr>
          <w:p w14:paraId="42E0A09C" w14:textId="77777777" w:rsidR="002D742A" w:rsidRDefault="004268AC">
            <w:pPr>
              <w:tabs>
                <w:tab w:val="clear" w:pos="9923"/>
              </w:tabs>
              <w:spacing w:after="0"/>
              <w:ind w:left="0"/>
              <w:jc w:val="left"/>
              <w:cnfStyle w:val="000000100000" w:firstRow="0" w:lastRow="0" w:firstColumn="0" w:lastColumn="0" w:oddVBand="0" w:evenVBand="0" w:oddHBand="1" w:evenHBand="0" w:firstRowFirstColumn="0" w:firstRowLastColumn="0" w:lastRowFirstColumn="0" w:lastRowLastColumn="0"/>
              <w:rPr>
                <w:rFonts w:eastAsia="Times New Roman" w:cs="Times New Roman"/>
                <w:iCs w:val="0"/>
                <w:color w:val="auto"/>
                <w:lang w:eastAsia="fr-FR"/>
              </w:rPr>
            </w:pPr>
            <w:r>
              <w:t xml:space="preserve">28 </w:t>
            </w:r>
            <w:proofErr w:type="spellStart"/>
            <w:r>
              <w:t>February</w:t>
            </w:r>
            <w:proofErr w:type="spellEnd"/>
            <w:r>
              <w:t xml:space="preserve"> 2027</w:t>
            </w:r>
          </w:p>
        </w:tc>
      </w:tr>
      <w:tr w:rsidR="002D742A" w14:paraId="75BCB04E" w14:textId="77777777" w:rsidTr="002D742A">
        <w:trPr>
          <w:trHeight w:val="1348"/>
        </w:trPr>
        <w:tc>
          <w:tcPr>
            <w:cnfStyle w:val="001000000000" w:firstRow="0" w:lastRow="0" w:firstColumn="1" w:lastColumn="0" w:oddVBand="0" w:evenVBand="0" w:oddHBand="0" w:evenHBand="0" w:firstRowFirstColumn="0" w:firstRowLastColumn="0" w:lastRowFirstColumn="0" w:lastRowLastColumn="0"/>
            <w:tcW w:w="2525" w:type="dxa"/>
          </w:tcPr>
          <w:p w14:paraId="11F59329" w14:textId="77777777" w:rsidR="002D742A" w:rsidRDefault="004268AC">
            <w:pPr>
              <w:tabs>
                <w:tab w:val="clear" w:pos="9923"/>
              </w:tabs>
              <w:spacing w:after="0"/>
              <w:ind w:left="0"/>
              <w:jc w:val="left"/>
              <w:rPr>
                <w:rFonts w:eastAsia="Times New Roman" w:cs="Times New Roman"/>
                <w:iCs w:val="0"/>
                <w:color w:val="auto"/>
                <w:lang w:val="en-US" w:eastAsia="fr-FR"/>
              </w:rPr>
            </w:pPr>
            <w:r>
              <w:rPr>
                <w:lang w:val="en-US"/>
              </w:rPr>
              <w:t>D4 — Prototype macro-fiscal projection model and user guide</w:t>
            </w:r>
          </w:p>
        </w:tc>
        <w:tc>
          <w:tcPr>
            <w:tcW w:w="4924" w:type="dxa"/>
          </w:tcPr>
          <w:p w14:paraId="151B3D6D" w14:textId="77777777" w:rsidR="002D742A" w:rsidRDefault="004268AC">
            <w:pPr>
              <w:tabs>
                <w:tab w:val="clear" w:pos="9923"/>
              </w:tabs>
              <w:spacing w:after="0"/>
              <w:ind w:left="0"/>
              <w:jc w:val="left"/>
              <w:cnfStyle w:val="000000000000" w:firstRow="0" w:lastRow="0" w:firstColumn="0" w:lastColumn="0" w:oddVBand="0" w:evenVBand="0" w:oddHBand="0" w:evenHBand="0" w:firstRowFirstColumn="0" w:firstRowLastColumn="0" w:lastRowFirstColumn="0" w:lastRowLastColumn="0"/>
              <w:rPr>
                <w:rFonts w:eastAsia="Times New Roman" w:cs="Times New Roman"/>
                <w:iCs w:val="0"/>
                <w:color w:val="auto"/>
                <w:lang w:val="en-US" w:eastAsia="fr-FR"/>
              </w:rPr>
            </w:pPr>
            <w:r>
              <w:rPr>
                <w:lang w:val="en-US"/>
              </w:rPr>
              <w:t>Excel model covering oil and non-oil revenue, expenditure, fiscal balance and financing; baseline and one scenario; sensitivity to oil price and production; documented assumptions; unlocked and fu</w:t>
            </w:r>
            <w:r>
              <w:rPr>
                <w:lang w:val="en-US"/>
              </w:rPr>
              <w:t>lly formula-visible; bilingual user guide.</w:t>
            </w:r>
          </w:p>
        </w:tc>
        <w:tc>
          <w:tcPr>
            <w:tcW w:w="2020" w:type="dxa"/>
          </w:tcPr>
          <w:p w14:paraId="5110348C" w14:textId="77777777" w:rsidR="002D742A" w:rsidRDefault="004268AC">
            <w:pPr>
              <w:tabs>
                <w:tab w:val="clear" w:pos="9923"/>
              </w:tabs>
              <w:spacing w:after="0"/>
              <w:ind w:left="0"/>
              <w:jc w:val="left"/>
              <w:cnfStyle w:val="000000000000" w:firstRow="0" w:lastRow="0" w:firstColumn="0" w:lastColumn="0" w:oddVBand="0" w:evenVBand="0" w:oddHBand="0" w:evenHBand="0" w:firstRowFirstColumn="0" w:firstRowLastColumn="0" w:lastRowFirstColumn="0" w:lastRowLastColumn="0"/>
              <w:rPr>
                <w:rFonts w:eastAsia="Times New Roman" w:cs="Times New Roman"/>
                <w:iCs w:val="0"/>
                <w:color w:val="auto"/>
                <w:lang w:eastAsia="fr-FR"/>
              </w:rPr>
            </w:pPr>
            <w:r>
              <w:t>15 April 2027</w:t>
            </w:r>
          </w:p>
        </w:tc>
      </w:tr>
      <w:tr w:rsidR="002D742A" w14:paraId="5BC5B849" w14:textId="77777777" w:rsidTr="002D742A">
        <w:trPr>
          <w:cnfStyle w:val="000000100000" w:firstRow="0" w:lastRow="0" w:firstColumn="0" w:lastColumn="0" w:oddVBand="0" w:evenVBand="0" w:oddHBand="1" w:evenHBand="0" w:firstRowFirstColumn="0" w:firstRowLastColumn="0" w:lastRowFirstColumn="0" w:lastRowLastColumn="0"/>
          <w:trHeight w:val="1572"/>
        </w:trPr>
        <w:tc>
          <w:tcPr>
            <w:cnfStyle w:val="001000000000" w:firstRow="0" w:lastRow="0" w:firstColumn="1" w:lastColumn="0" w:oddVBand="0" w:evenVBand="0" w:oddHBand="0" w:evenHBand="0" w:firstRowFirstColumn="0" w:firstRowLastColumn="0" w:lastRowFirstColumn="0" w:lastRowLastColumn="0"/>
            <w:tcW w:w="2525" w:type="dxa"/>
          </w:tcPr>
          <w:p w14:paraId="62C48B2F" w14:textId="77777777" w:rsidR="002D742A" w:rsidRDefault="004268AC">
            <w:pPr>
              <w:tabs>
                <w:tab w:val="clear" w:pos="9923"/>
              </w:tabs>
              <w:spacing w:after="0"/>
              <w:ind w:left="0"/>
              <w:jc w:val="left"/>
              <w:rPr>
                <w:rFonts w:eastAsia="Times New Roman" w:cs="Times New Roman"/>
                <w:iCs w:val="0"/>
                <w:color w:val="auto"/>
                <w:lang w:val="en-US" w:eastAsia="fr-FR"/>
              </w:rPr>
            </w:pPr>
            <w:r>
              <w:rPr>
                <w:lang w:val="en-US"/>
              </w:rPr>
              <w:t>D5 — Training and coaching report</w:t>
            </w:r>
          </w:p>
        </w:tc>
        <w:tc>
          <w:tcPr>
            <w:tcW w:w="4924" w:type="dxa"/>
          </w:tcPr>
          <w:p w14:paraId="291C64D0" w14:textId="77777777" w:rsidR="002D742A" w:rsidRDefault="004268AC">
            <w:pPr>
              <w:tabs>
                <w:tab w:val="clear" w:pos="9923"/>
              </w:tabs>
              <w:spacing w:after="0"/>
              <w:ind w:left="0"/>
              <w:jc w:val="left"/>
              <w:cnfStyle w:val="000000100000" w:firstRow="0" w:lastRow="0" w:firstColumn="0" w:lastColumn="0" w:oddVBand="0" w:evenVBand="0" w:oddHBand="1" w:evenHBand="0" w:firstRowFirstColumn="0" w:firstRowLastColumn="0" w:lastRowFirstColumn="0" w:lastRowLastColumn="0"/>
              <w:rPr>
                <w:rFonts w:eastAsia="Times New Roman" w:cs="Times New Roman"/>
                <w:iCs w:val="0"/>
                <w:color w:val="auto"/>
                <w:lang w:val="en-US" w:eastAsia="fr-FR"/>
              </w:rPr>
            </w:pPr>
            <w:r>
              <w:rPr>
                <w:lang w:val="en-US"/>
              </w:rPr>
              <w:t>Delivery of two training workshop for Macro-Fiscal Unit and Budget Department staff and on-the-job coaching over one projection run; training materials, attendance records, evaluation results and an assessment of remaining capacity needs.</w:t>
            </w:r>
          </w:p>
        </w:tc>
        <w:tc>
          <w:tcPr>
            <w:tcW w:w="2020" w:type="dxa"/>
          </w:tcPr>
          <w:p w14:paraId="41545821" w14:textId="77777777" w:rsidR="002D742A" w:rsidRDefault="004268AC">
            <w:pPr>
              <w:tabs>
                <w:tab w:val="clear" w:pos="9923"/>
              </w:tabs>
              <w:spacing w:after="0"/>
              <w:ind w:left="0"/>
              <w:jc w:val="left"/>
              <w:cnfStyle w:val="000000100000" w:firstRow="0" w:lastRow="0" w:firstColumn="0" w:lastColumn="0" w:oddVBand="0" w:evenVBand="0" w:oddHBand="1" w:evenHBand="0" w:firstRowFirstColumn="0" w:firstRowLastColumn="0" w:lastRowFirstColumn="0" w:lastRowLastColumn="0"/>
              <w:rPr>
                <w:rFonts w:eastAsia="Times New Roman" w:cs="Times New Roman"/>
                <w:iCs w:val="0"/>
                <w:color w:val="auto"/>
                <w:lang w:eastAsia="fr-FR"/>
              </w:rPr>
            </w:pPr>
            <w:r>
              <w:t>December 2026 and May 2027</w:t>
            </w:r>
          </w:p>
        </w:tc>
      </w:tr>
      <w:tr w:rsidR="002D742A" w14:paraId="6651EBF3" w14:textId="77777777" w:rsidTr="002D742A">
        <w:trPr>
          <w:trHeight w:val="1338"/>
        </w:trPr>
        <w:tc>
          <w:tcPr>
            <w:cnfStyle w:val="001000000000" w:firstRow="0" w:lastRow="0" w:firstColumn="1" w:lastColumn="0" w:oddVBand="0" w:evenVBand="0" w:oddHBand="0" w:evenHBand="0" w:firstRowFirstColumn="0" w:firstRowLastColumn="0" w:lastRowFirstColumn="0" w:lastRowLastColumn="0"/>
            <w:tcW w:w="2525" w:type="dxa"/>
          </w:tcPr>
          <w:p w14:paraId="4B3BC19A" w14:textId="77777777" w:rsidR="002D742A" w:rsidRDefault="004268AC">
            <w:pPr>
              <w:tabs>
                <w:tab w:val="clear" w:pos="9923"/>
              </w:tabs>
              <w:spacing w:after="0"/>
              <w:ind w:left="0"/>
              <w:jc w:val="left"/>
              <w:rPr>
                <w:rFonts w:eastAsia="Times New Roman" w:cs="Times New Roman"/>
                <w:iCs w:val="0"/>
                <w:color w:val="auto"/>
                <w:lang w:val="en-US" w:eastAsia="fr-FR"/>
              </w:rPr>
            </w:pPr>
            <w:r>
              <w:t xml:space="preserve">D6 — Final </w:t>
            </w:r>
            <w:proofErr w:type="spellStart"/>
            <w:r>
              <w:t>assignment</w:t>
            </w:r>
            <w:proofErr w:type="spellEnd"/>
            <w:r>
              <w:t xml:space="preserve"> report</w:t>
            </w:r>
          </w:p>
        </w:tc>
        <w:tc>
          <w:tcPr>
            <w:tcW w:w="4924" w:type="dxa"/>
          </w:tcPr>
          <w:p w14:paraId="4E7F1F2A" w14:textId="77777777" w:rsidR="002D742A" w:rsidRDefault="004268AC">
            <w:pPr>
              <w:tabs>
                <w:tab w:val="clear" w:pos="9923"/>
              </w:tabs>
              <w:spacing w:after="0"/>
              <w:ind w:left="0"/>
              <w:jc w:val="left"/>
              <w:cnfStyle w:val="000000000000" w:firstRow="0" w:lastRow="0" w:firstColumn="0" w:lastColumn="0" w:oddVBand="0" w:evenVBand="0" w:oddHBand="0" w:evenHBand="0" w:firstRowFirstColumn="0" w:firstRowLastColumn="0" w:lastRowFirstColumn="0" w:lastRowLastColumn="0"/>
              <w:rPr>
                <w:rFonts w:eastAsia="Times New Roman" w:cs="Times New Roman"/>
                <w:iCs w:val="0"/>
                <w:color w:val="auto"/>
                <w:lang w:val="en-US" w:eastAsia="fr-FR"/>
              </w:rPr>
            </w:pPr>
            <w:r>
              <w:rPr>
                <w:lang w:val="en-US"/>
              </w:rPr>
              <w:t xml:space="preserve">Results achieved against the objectives, state of the Macro-Fiscal Unit at the end of the assignment, residual gaps, risks, </w:t>
            </w:r>
            <w:r>
              <w:rPr>
                <w:lang w:val="en-US"/>
              </w:rPr>
              <w:t>and a sequenced recommendation for the next phase (MTMF/MTFF/MTBF, fiscal risk annex, periodic macro-fiscal report).</w:t>
            </w:r>
          </w:p>
        </w:tc>
        <w:tc>
          <w:tcPr>
            <w:tcW w:w="2020" w:type="dxa"/>
          </w:tcPr>
          <w:p w14:paraId="7DDB6F83" w14:textId="77777777" w:rsidR="002D742A" w:rsidRDefault="004268AC">
            <w:pPr>
              <w:tabs>
                <w:tab w:val="clear" w:pos="9923"/>
              </w:tabs>
              <w:spacing w:after="0"/>
              <w:ind w:left="0"/>
              <w:jc w:val="left"/>
              <w:cnfStyle w:val="000000000000" w:firstRow="0" w:lastRow="0" w:firstColumn="0" w:lastColumn="0" w:oddVBand="0" w:evenVBand="0" w:oddHBand="0" w:evenHBand="0" w:firstRowFirstColumn="0" w:firstRowLastColumn="0" w:lastRowFirstColumn="0" w:lastRowLastColumn="0"/>
              <w:rPr>
                <w:rFonts w:eastAsia="Times New Roman" w:cs="Times New Roman"/>
                <w:iCs w:val="0"/>
                <w:color w:val="auto"/>
                <w:lang w:eastAsia="fr-FR"/>
              </w:rPr>
            </w:pPr>
            <w:r>
              <w:t>31 May 2027</w:t>
            </w:r>
          </w:p>
        </w:tc>
      </w:tr>
    </w:tbl>
    <w:p w14:paraId="6FD5B0C0" w14:textId="77777777" w:rsidR="002D742A" w:rsidRDefault="002D742A">
      <w:pPr>
        <w:rPr>
          <w:lang w:val="en-US"/>
        </w:rPr>
      </w:pPr>
    </w:p>
    <w:p w14:paraId="73EAB008" w14:textId="77777777" w:rsidR="002D742A" w:rsidRDefault="004268AC">
      <w:pPr>
        <w:pBdr>
          <w:top w:val="none" w:sz="4" w:space="0" w:color="000000"/>
          <w:left w:val="none" w:sz="4" w:space="0" w:color="000000"/>
          <w:bottom w:val="none" w:sz="4" w:space="0" w:color="000000"/>
          <w:right w:val="none" w:sz="4" w:space="0" w:color="000000"/>
        </w:pBdr>
      </w:pPr>
      <w:r>
        <w:rPr>
          <w:rFonts w:eastAsia="Tw Cen MT" w:cs="Tw Cen MT"/>
          <w:b/>
        </w:rPr>
        <w:t xml:space="preserve">Administrative </w:t>
      </w:r>
      <w:proofErr w:type="spellStart"/>
      <w:r>
        <w:rPr>
          <w:rFonts w:eastAsia="Tw Cen MT" w:cs="Tw Cen MT"/>
          <w:b/>
        </w:rPr>
        <w:t>deliverables</w:t>
      </w:r>
      <w:proofErr w:type="spellEnd"/>
      <w:r>
        <w:rPr>
          <w:rFonts w:eastAsia="Tw Cen MT" w:cs="Tw Cen MT"/>
          <w:b/>
        </w:rPr>
        <w:t xml:space="preserve"> :</w:t>
      </w:r>
      <w:r>
        <w:rPr>
          <w:rFonts w:eastAsia="Tw Cen MT" w:cs="Tw Cen MT"/>
        </w:rPr>
        <w:t xml:space="preserve"> </w:t>
      </w:r>
    </w:p>
    <w:p w14:paraId="0D700D88" w14:textId="77777777" w:rsidR="002D742A" w:rsidRDefault="004268AC" w:rsidP="004268AC">
      <w:pPr>
        <w:numPr>
          <w:ilvl w:val="0"/>
          <w:numId w:val="10"/>
        </w:numPr>
        <w:pBdr>
          <w:top w:val="none" w:sz="4" w:space="0" w:color="000000"/>
          <w:left w:val="none" w:sz="4" w:space="0" w:color="000000"/>
          <w:bottom w:val="none" w:sz="4" w:space="0" w:color="000000"/>
          <w:right w:val="none" w:sz="4" w:space="0" w:color="000000"/>
        </w:pBdr>
      </w:pPr>
      <w:r>
        <w:rPr>
          <w:rFonts w:eastAsia="Tw Cen MT" w:cs="Tw Cen MT"/>
        </w:rPr>
        <w:t xml:space="preserve">A </w:t>
      </w:r>
      <w:proofErr w:type="spellStart"/>
      <w:r>
        <w:rPr>
          <w:rFonts w:eastAsia="Tw Cen MT" w:cs="Tw Cen MT"/>
        </w:rPr>
        <w:t>detailed</w:t>
      </w:r>
      <w:proofErr w:type="spellEnd"/>
      <w:r>
        <w:rPr>
          <w:rFonts w:eastAsia="Tw Cen MT" w:cs="Tw Cen MT"/>
        </w:rPr>
        <w:t xml:space="preserve"> </w:t>
      </w:r>
      <w:proofErr w:type="spellStart"/>
      <w:r>
        <w:rPr>
          <w:rFonts w:eastAsia="Tw Cen MT" w:cs="Tw Cen MT"/>
        </w:rPr>
        <w:t>monthly</w:t>
      </w:r>
      <w:proofErr w:type="spellEnd"/>
      <w:r>
        <w:rPr>
          <w:rFonts w:eastAsia="Tw Cen MT" w:cs="Tw Cen MT"/>
        </w:rPr>
        <w:t xml:space="preserve"> </w:t>
      </w:r>
      <w:proofErr w:type="spellStart"/>
      <w:r>
        <w:rPr>
          <w:rFonts w:eastAsia="Tw Cen MT" w:cs="Tw Cen MT"/>
        </w:rPr>
        <w:t>timesheet</w:t>
      </w:r>
      <w:proofErr w:type="spellEnd"/>
      <w:r>
        <w:rPr>
          <w:rFonts w:eastAsia="Tw Cen MT" w:cs="Tw Cen MT"/>
        </w:rPr>
        <w:t xml:space="preserve"> </w:t>
      </w:r>
    </w:p>
    <w:p w14:paraId="1EC3E02B" w14:textId="77777777" w:rsidR="002D742A" w:rsidRPr="000227D2" w:rsidRDefault="004268AC" w:rsidP="004268AC">
      <w:pPr>
        <w:numPr>
          <w:ilvl w:val="0"/>
          <w:numId w:val="10"/>
        </w:numPr>
        <w:pBdr>
          <w:top w:val="none" w:sz="4" w:space="0" w:color="000000"/>
          <w:left w:val="none" w:sz="4" w:space="0" w:color="000000"/>
          <w:bottom w:val="none" w:sz="4" w:space="0" w:color="000000"/>
          <w:right w:val="none" w:sz="4" w:space="0" w:color="000000"/>
        </w:pBdr>
        <w:rPr>
          <w:lang w:val="en-GB"/>
        </w:rPr>
      </w:pPr>
      <w:r w:rsidRPr="000227D2">
        <w:rPr>
          <w:rFonts w:eastAsia="Tw Cen MT" w:cs="Tw Cen MT"/>
          <w:lang w:val="en-GB"/>
        </w:rPr>
        <w:t>A report after each training/ workshop, using EF's template, submitted to the Key expert.</w:t>
      </w:r>
    </w:p>
    <w:p w14:paraId="5B7B8937" w14:textId="77777777" w:rsidR="002D742A" w:rsidRDefault="002D742A">
      <w:pPr>
        <w:rPr>
          <w:lang w:val="en-US"/>
        </w:rPr>
      </w:pPr>
    </w:p>
    <w:p w14:paraId="2D4BFAA4" w14:textId="77777777" w:rsidR="002D742A" w:rsidRDefault="004268AC">
      <w:pPr>
        <w:pStyle w:val="Titre1"/>
        <w:rPr>
          <w:lang w:val="en-US"/>
        </w:rPr>
      </w:pPr>
      <w:r>
        <w:rPr>
          <w:lang w:val="en-US"/>
        </w:rPr>
        <w:t>Quality Assurance and Compliance Expectations</w:t>
      </w:r>
    </w:p>
    <w:p w14:paraId="56DB427D" w14:textId="77777777" w:rsidR="002D742A" w:rsidRDefault="004268AC">
      <w:pPr>
        <w:spacing w:after="160" w:line="276" w:lineRule="auto"/>
        <w:rPr>
          <w:lang w:val="en-US"/>
        </w:rPr>
      </w:pPr>
      <w:r>
        <w:rPr>
          <w:lang w:val="en-US"/>
        </w:rPr>
        <w:t>The following provisions apply.</w:t>
      </w:r>
    </w:p>
    <w:p w14:paraId="3492983E" w14:textId="77777777" w:rsidR="002D742A" w:rsidRDefault="004268AC">
      <w:pPr>
        <w:spacing w:after="160" w:line="276" w:lineRule="auto"/>
        <w:rPr>
          <w:lang w:val="en-US"/>
        </w:rPr>
      </w:pPr>
      <w:r>
        <w:rPr>
          <w:b/>
          <w:lang w:val="en-US"/>
        </w:rPr>
        <w:t xml:space="preserve">Acceptance of deliverables. </w:t>
      </w:r>
      <w:r>
        <w:rPr>
          <w:lang w:val="en-US"/>
        </w:rPr>
        <w:t xml:space="preserve">Expertise France provides written comments within ten (10) working days of receipt. The expert submits the revised version </w:t>
      </w:r>
      <w:r>
        <w:rPr>
          <w:lang w:val="en-US"/>
        </w:rPr>
        <w:t xml:space="preserve">within ten (10) working days of receiving the comments. A </w:t>
      </w:r>
      <w:r>
        <w:rPr>
          <w:lang w:val="en-US"/>
        </w:rPr>
        <w:lastRenderedPageBreak/>
        <w:t>deliverable that remains non-compliant after the second round may be rejected, in which case the corresponding days are not payable and the deliverable may be reassigned.</w:t>
      </w:r>
    </w:p>
    <w:p w14:paraId="76E74C66" w14:textId="77777777" w:rsidR="002D742A" w:rsidRDefault="004268AC">
      <w:pPr>
        <w:spacing w:after="160" w:line="276" w:lineRule="auto"/>
        <w:rPr>
          <w:lang w:val="en-US"/>
        </w:rPr>
      </w:pPr>
      <w:r>
        <w:rPr>
          <w:b/>
          <w:lang w:val="en-US"/>
        </w:rPr>
        <w:t xml:space="preserve">Working days and invoicing. </w:t>
      </w:r>
      <w:r>
        <w:rPr>
          <w:lang w:val="en-US"/>
        </w:rPr>
        <w:t>Working days are invoiced against accepted deliverables only. The expert submits a monthly timesheet stating the days worked, the activity and the deliverable concerned. Days that do not correspond to a deliverable accepted by Expertise France, or that ex</w:t>
      </w:r>
      <w:r>
        <w:rPr>
          <w:lang w:val="en-US"/>
        </w:rPr>
        <w:t xml:space="preserve">ceed the allocation set out in this document without prior written </w:t>
      </w:r>
      <w:proofErr w:type="spellStart"/>
      <w:r>
        <w:rPr>
          <w:lang w:val="en-US"/>
        </w:rPr>
        <w:t>authorisation</w:t>
      </w:r>
      <w:proofErr w:type="spellEnd"/>
      <w:r>
        <w:rPr>
          <w:lang w:val="en-US"/>
        </w:rPr>
        <w:t>, are not payable.</w:t>
      </w:r>
    </w:p>
    <w:p w14:paraId="226AE901" w14:textId="77777777" w:rsidR="002D742A" w:rsidRDefault="004268AC">
      <w:pPr>
        <w:spacing w:after="160" w:line="276" w:lineRule="auto"/>
        <w:rPr>
          <w:lang w:val="en-US"/>
        </w:rPr>
      </w:pPr>
      <w:r>
        <w:rPr>
          <w:b/>
          <w:lang w:val="en-US"/>
        </w:rPr>
        <w:t xml:space="preserve">Participation. </w:t>
      </w:r>
      <w:r>
        <w:rPr>
          <w:lang w:val="en-US"/>
        </w:rPr>
        <w:t>Participation in the workshops, coordination meetings and validation sessions scheduled under this assignment is a contractual obligation. Absence without prior written agreement from the Key Technical Expert of Component 1 results in the non-acceptance of the days concerned.</w:t>
      </w:r>
    </w:p>
    <w:p w14:paraId="7A79A041" w14:textId="77777777" w:rsidR="002D742A" w:rsidRDefault="004268AC">
      <w:pPr>
        <w:spacing w:after="160" w:line="276" w:lineRule="auto"/>
        <w:rPr>
          <w:lang w:val="en-US"/>
        </w:rPr>
      </w:pPr>
      <w:r>
        <w:rPr>
          <w:b/>
          <w:lang w:val="en-US"/>
        </w:rPr>
        <w:t xml:space="preserve">Duration, performance review and extension. </w:t>
      </w:r>
      <w:r>
        <w:rPr>
          <w:lang w:val="en-US"/>
        </w:rPr>
        <w:t>The initial period runs for a minimum of six (6) months from the date of sign</w:t>
      </w:r>
      <w:r>
        <w:rPr>
          <w:lang w:val="en-US"/>
        </w:rPr>
        <w:t>ature. A performance review is conducted in the final month of that period, covering technical quality, timeliness, counterpart engagement, responsiveness and compliance with reporting obligations. Any extension of the assignment, and any additional allocation of working days, is decided on the basis of that review.</w:t>
      </w:r>
    </w:p>
    <w:p w14:paraId="2705D61A" w14:textId="77777777" w:rsidR="002D742A" w:rsidRDefault="004268AC">
      <w:pPr>
        <w:spacing w:after="160" w:line="276" w:lineRule="auto"/>
        <w:rPr>
          <w:lang w:val="en-US"/>
        </w:rPr>
      </w:pPr>
      <w:r>
        <w:rPr>
          <w:b/>
          <w:lang w:val="en-US"/>
        </w:rPr>
        <w:t xml:space="preserve">Intellectual property. </w:t>
      </w:r>
      <w:r>
        <w:rPr>
          <w:lang w:val="en-US"/>
        </w:rPr>
        <w:t>All deliverables, data files, models and materials produced under this assignment are the property of Expertise France. They may not be reused, published or transferred to</w:t>
      </w:r>
      <w:r>
        <w:rPr>
          <w:lang w:val="en-US"/>
        </w:rPr>
        <w:t xml:space="preserve"> third parties without prior written </w:t>
      </w:r>
      <w:proofErr w:type="spellStart"/>
      <w:r>
        <w:rPr>
          <w:lang w:val="en-US"/>
        </w:rPr>
        <w:t>authorisation</w:t>
      </w:r>
      <w:proofErr w:type="spellEnd"/>
      <w:r>
        <w:rPr>
          <w:lang w:val="en-US"/>
        </w:rPr>
        <w:t>.</w:t>
      </w:r>
    </w:p>
    <w:p w14:paraId="25F359EC" w14:textId="77777777" w:rsidR="002D742A" w:rsidRDefault="004268AC">
      <w:pPr>
        <w:pStyle w:val="Titre1"/>
        <w:rPr>
          <w:rStyle w:val="lev"/>
          <w:b/>
          <w:bCs w:val="0"/>
        </w:rPr>
      </w:pPr>
      <w:r>
        <w:rPr>
          <w:rStyle w:val="lev"/>
          <w:b/>
          <w:bCs w:val="0"/>
        </w:rPr>
        <w:t xml:space="preserve">Profile and Expertise Required </w:t>
      </w:r>
    </w:p>
    <w:p w14:paraId="03CD683D" w14:textId="77777777" w:rsidR="002D742A" w:rsidRDefault="004268AC">
      <w:pPr>
        <w:pStyle w:val="Titre2"/>
        <w:rPr>
          <w:rStyle w:val="lev"/>
          <w:b w:val="0"/>
          <w:bCs w:val="0"/>
        </w:rPr>
      </w:pPr>
      <w:r>
        <w:rPr>
          <w:rStyle w:val="lev"/>
          <w:b w:val="0"/>
          <w:bCs w:val="0"/>
        </w:rPr>
        <w:t xml:space="preserve">Profile and Expertise </w:t>
      </w:r>
      <w:proofErr w:type="spellStart"/>
      <w:r>
        <w:rPr>
          <w:rStyle w:val="lev"/>
          <w:b w:val="0"/>
          <w:bCs w:val="0"/>
        </w:rPr>
        <w:t>Required</w:t>
      </w:r>
      <w:proofErr w:type="spellEnd"/>
    </w:p>
    <w:p w14:paraId="7A2493CB" w14:textId="77777777" w:rsidR="002D742A" w:rsidRDefault="004268AC">
      <w:pPr>
        <w:spacing w:after="160" w:line="276" w:lineRule="auto"/>
        <w:rPr>
          <w:lang w:val="en-US"/>
        </w:rPr>
      </w:pPr>
      <w:r>
        <w:rPr>
          <w:lang w:val="en-US"/>
        </w:rPr>
        <w:t>The expert shall meet the following requirements. Applications that do not evidence the required items will not be considered.</w:t>
      </w:r>
    </w:p>
    <w:p w14:paraId="6846D651" w14:textId="77777777" w:rsidR="002D742A" w:rsidRDefault="004268AC">
      <w:pPr>
        <w:spacing w:after="160" w:line="276" w:lineRule="auto"/>
        <w:rPr>
          <w:lang w:val="en-US"/>
        </w:rPr>
      </w:pPr>
      <w:r>
        <w:rPr>
          <w:b/>
          <w:lang w:val="en-US"/>
        </w:rPr>
        <w:t xml:space="preserve">Qualifications. </w:t>
      </w:r>
      <w:r>
        <w:rPr>
          <w:lang w:val="en-US"/>
        </w:rPr>
        <w:t>Master's degree or equivalent in economics, public finance, applied macroeconomics or a related field.</w:t>
      </w:r>
    </w:p>
    <w:p w14:paraId="0098E022" w14:textId="77777777" w:rsidR="002D742A" w:rsidRDefault="004268AC">
      <w:pPr>
        <w:spacing w:after="160" w:line="276" w:lineRule="auto"/>
        <w:rPr>
          <w:lang w:val="en-US"/>
        </w:rPr>
      </w:pPr>
      <w:r>
        <w:rPr>
          <w:b/>
          <w:lang w:val="en-US"/>
        </w:rPr>
        <w:t xml:space="preserve">Professional experience — required. </w:t>
      </w:r>
      <w:r>
        <w:rPr>
          <w:lang w:val="en-US"/>
        </w:rPr>
        <w:t>The following are eliminatory:</w:t>
      </w:r>
    </w:p>
    <w:p w14:paraId="03DB31C0"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 xml:space="preserve">At least ten (10) years of professional experience in macro-fiscal analysis, fiscal </w:t>
      </w:r>
      <w:r>
        <w:rPr>
          <w:lang w:val="en-US"/>
        </w:rPr>
        <w:t>forecasting or public finance economics.</w:t>
      </w:r>
    </w:p>
    <w:p w14:paraId="0B104B7A"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At least five (5) years within, or advising, a ministry of finance, a central bank or an international financial institution on the macro-fiscal function.</w:t>
      </w:r>
    </w:p>
    <w:p w14:paraId="0B2C3331"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Demonstrated experience, on at least two assignments, of building macro-fiscal projection models and supporting the preparation of medium-term fiscal frameworks (MTFF/MTBF), with references.</w:t>
      </w:r>
    </w:p>
    <w:p w14:paraId="39B484EC"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Demonstrated experience of macro-fiscal work in a hydrocarbon-dependent economy, including the treatment of oil revenue and o</w:t>
      </w:r>
      <w:r>
        <w:rPr>
          <w:lang w:val="en-US"/>
        </w:rPr>
        <w:t>il price volatility.</w:t>
      </w:r>
    </w:p>
    <w:p w14:paraId="5D5C1E84"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Proven ability to build and document Excel-based fiscal models usable by counterpart staff, and to train non-specialist users in their operation.</w:t>
      </w:r>
    </w:p>
    <w:p w14:paraId="320B96A1"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Arabic: professional working proficiency, written and spoken, sufficient to work directly with Ministry of Finance staff and to review Arabic-language fiscal documentation.</w:t>
      </w:r>
    </w:p>
    <w:p w14:paraId="019E6ED1"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English: professional working proficiency, written and spoken.</w:t>
      </w:r>
    </w:p>
    <w:p w14:paraId="360DF09D" w14:textId="77777777" w:rsidR="002D742A" w:rsidRDefault="004268AC">
      <w:pPr>
        <w:spacing w:after="160" w:line="276" w:lineRule="auto"/>
        <w:rPr>
          <w:lang w:val="en-US"/>
        </w:rPr>
      </w:pPr>
      <w:r>
        <w:rPr>
          <w:b/>
          <w:lang w:val="en-US"/>
        </w:rPr>
        <w:t xml:space="preserve">Professional experience — assets. </w:t>
      </w:r>
      <w:r>
        <w:rPr>
          <w:lang w:val="en-US"/>
        </w:rPr>
        <w:t>The following will be positively assessed:</w:t>
      </w:r>
    </w:p>
    <w:p w14:paraId="4FD482B7"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Experience in fragile or conflic</w:t>
      </w:r>
      <w:r>
        <w:rPr>
          <w:lang w:val="en-US"/>
        </w:rPr>
        <w:t>t-affected States, and of working with fragmented public-sector authority.</w:t>
      </w:r>
    </w:p>
    <w:p w14:paraId="26A776F5"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Experience in the MENA region, and in Libya in particular.</w:t>
      </w:r>
    </w:p>
    <w:p w14:paraId="018B4BA1"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lastRenderedPageBreak/>
        <w:t>Familiarity with IMF and World Bank PFM diagnostic and capacity-building instruments (PEFA, IMF Fiscal Affairs Department methodologies).</w:t>
      </w:r>
    </w:p>
    <w:p w14:paraId="57E122EC"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Experience of debt sustainability analysis and fiscal risk statements.</w:t>
      </w:r>
    </w:p>
    <w:p w14:paraId="7305A3DB" w14:textId="77777777" w:rsidR="002D742A" w:rsidRDefault="004268AC" w:rsidP="004268AC">
      <w:pPr>
        <w:pStyle w:val="Paragraphedeliste"/>
        <w:numPr>
          <w:ilvl w:val="0"/>
          <w:numId w:val="8"/>
        </w:numPr>
        <w:tabs>
          <w:tab w:val="clear" w:pos="9923"/>
        </w:tabs>
        <w:spacing w:after="100" w:line="276" w:lineRule="auto"/>
        <w:rPr>
          <w:lang w:val="en-US"/>
        </w:rPr>
      </w:pPr>
      <w:r>
        <w:rPr>
          <w:lang w:val="en-US"/>
        </w:rPr>
        <w:t>French language proficiency.</w:t>
      </w:r>
    </w:p>
    <w:p w14:paraId="3A6BF1FC" w14:textId="77777777" w:rsidR="002D742A" w:rsidRDefault="004268AC">
      <w:pPr>
        <w:spacing w:after="160" w:line="276" w:lineRule="auto"/>
        <w:rPr>
          <w:lang w:val="en-US"/>
        </w:rPr>
      </w:pPr>
      <w:r>
        <w:rPr>
          <w:b/>
          <w:lang w:val="en-US"/>
        </w:rPr>
        <w:t xml:space="preserve">Personal competencies. </w:t>
      </w:r>
      <w:r>
        <w:rPr>
          <w:lang w:val="en-US"/>
        </w:rPr>
        <w:t xml:space="preserve">Capacity to work in a politically sensitive environment; diplomacy and patience in counterpart relations; discipline </w:t>
      </w:r>
      <w:r>
        <w:rPr>
          <w:lang w:val="en-US"/>
        </w:rPr>
        <w:t>in meeting deadlines and reporting obligations; ability to deliver operational products rather than analytical commentary.</w:t>
      </w:r>
    </w:p>
    <w:p w14:paraId="5A2F19E7" w14:textId="77777777" w:rsidR="002D742A" w:rsidRDefault="004268AC">
      <w:pPr>
        <w:pStyle w:val="Titre1"/>
        <w:rPr>
          <w:lang w:val="en-US"/>
        </w:rPr>
      </w:pPr>
      <w:r>
        <w:rPr>
          <w:lang w:val="en-US"/>
        </w:rPr>
        <w:t>Ethical Standards, Confidentiality, and Data Protection</w:t>
      </w:r>
    </w:p>
    <w:p w14:paraId="5C018616" w14:textId="77777777" w:rsidR="002D742A" w:rsidRDefault="004268AC">
      <w:pPr>
        <w:rPr>
          <w:lang w:val="en-US" w:eastAsia="fr-FR"/>
        </w:rPr>
      </w:pPr>
      <w:r>
        <w:rPr>
          <w:lang w:val="en-US" w:eastAsia="fr-FR"/>
        </w:rPr>
        <w:t xml:space="preserve">All activities undertaken within the framework of this mission must strictly adhere to the </w:t>
      </w:r>
      <w:r>
        <w:rPr>
          <w:b/>
          <w:bCs/>
          <w:lang w:val="en-US" w:eastAsia="fr-FR"/>
        </w:rPr>
        <w:t>ethical standards and professional conduct principles</w:t>
      </w:r>
      <w:r>
        <w:rPr>
          <w:lang w:val="en-US" w:eastAsia="fr-FR"/>
        </w:rPr>
        <w:t xml:space="preserve"> established by </w:t>
      </w:r>
      <w:r>
        <w:rPr>
          <w:b/>
          <w:bCs/>
          <w:lang w:val="en-US" w:eastAsia="fr-FR"/>
        </w:rPr>
        <w:t>Expertise France (EF)</w:t>
      </w:r>
      <w:r>
        <w:rPr>
          <w:lang w:val="en-US" w:eastAsia="fr-FR"/>
        </w:rPr>
        <w:t xml:space="preserve"> and the </w:t>
      </w:r>
      <w:r>
        <w:rPr>
          <w:b/>
          <w:bCs/>
          <w:lang w:val="en-US" w:eastAsia="fr-FR"/>
        </w:rPr>
        <w:t>European Union</w:t>
      </w:r>
      <w:r>
        <w:rPr>
          <w:lang w:val="en-US" w:eastAsia="fr-FR"/>
        </w:rPr>
        <w:t xml:space="preserve">. The expert team shall uphold the highest standards of </w:t>
      </w:r>
      <w:r>
        <w:rPr>
          <w:b/>
          <w:bCs/>
          <w:lang w:val="en-US" w:eastAsia="fr-FR"/>
        </w:rPr>
        <w:t>integrity, impartiality, and accountability</w:t>
      </w:r>
      <w:r>
        <w:rPr>
          <w:lang w:val="en-US" w:eastAsia="fr-FR"/>
        </w:rPr>
        <w:t>, ensuring that no action or d</w:t>
      </w:r>
      <w:r>
        <w:rPr>
          <w:lang w:val="en-US" w:eastAsia="fr-FR"/>
        </w:rPr>
        <w:t>ecision compromises the credibility, neutrality, or independence of the assessment process.</w:t>
      </w:r>
    </w:p>
    <w:p w14:paraId="4181EBA9" w14:textId="77777777" w:rsidR="002D742A" w:rsidRDefault="004268AC">
      <w:pPr>
        <w:rPr>
          <w:lang w:val="en-US" w:eastAsia="fr-FR"/>
        </w:rPr>
      </w:pPr>
      <w:r>
        <w:rPr>
          <w:lang w:val="en-US" w:eastAsia="fr-FR"/>
        </w:rPr>
        <w:t xml:space="preserve">All experts must maintain </w:t>
      </w:r>
      <w:r>
        <w:rPr>
          <w:b/>
          <w:bCs/>
          <w:lang w:val="en-US" w:eastAsia="fr-FR"/>
        </w:rPr>
        <w:t>strict confidentiality</w:t>
      </w:r>
      <w:r>
        <w:rPr>
          <w:lang w:val="en-US" w:eastAsia="fr-FR"/>
        </w:rPr>
        <w:t xml:space="preserve"> regarding any information, data, or documentation obtained during the course of the mission. This obligation applies to all forms of communication — written, verbal, and digital — and remains in force even after the completion of the assignment.</w:t>
      </w:r>
      <w:r>
        <w:rPr>
          <w:lang w:val="en-US" w:eastAsia="fr-FR"/>
        </w:rPr>
        <w:br/>
        <w:t>Sensitive or classified data related to public finance, financial institutions, or national strategies must be handled with p</w:t>
      </w:r>
      <w:r>
        <w:rPr>
          <w:lang w:val="en-US" w:eastAsia="fr-FR"/>
        </w:rPr>
        <w:t xml:space="preserve">articular caution and shared exclusively through channels </w:t>
      </w:r>
      <w:proofErr w:type="spellStart"/>
      <w:r>
        <w:rPr>
          <w:lang w:val="en-US" w:eastAsia="fr-FR"/>
        </w:rPr>
        <w:t>authorised</w:t>
      </w:r>
      <w:proofErr w:type="spellEnd"/>
      <w:r>
        <w:rPr>
          <w:lang w:val="en-US" w:eastAsia="fr-FR"/>
        </w:rPr>
        <w:t xml:space="preserve"> by Expertise France.</w:t>
      </w:r>
    </w:p>
    <w:p w14:paraId="303A7AED" w14:textId="77777777" w:rsidR="002D742A" w:rsidRDefault="004268AC">
      <w:pPr>
        <w:rPr>
          <w:lang w:val="en-US" w:eastAsia="fr-FR"/>
        </w:rPr>
      </w:pPr>
      <w:r>
        <w:rPr>
          <w:lang w:val="en-US" w:eastAsia="fr-FR"/>
        </w:rPr>
        <w:t xml:space="preserve">In accordance with the </w:t>
      </w:r>
      <w:r>
        <w:rPr>
          <w:b/>
          <w:bCs/>
          <w:lang w:val="en-US" w:eastAsia="fr-FR"/>
        </w:rPr>
        <w:t>European Union General Data Protection Regulation (EU-GDPR 2016/679)</w:t>
      </w:r>
      <w:r>
        <w:rPr>
          <w:lang w:val="en-US" w:eastAsia="fr-FR"/>
        </w:rPr>
        <w:t xml:space="preserve">, all data collection, processing, storage, and transmission carried out by the experts shall comply with EU data-protection principles, including </w:t>
      </w:r>
      <w:r>
        <w:rPr>
          <w:b/>
          <w:bCs/>
          <w:lang w:val="en-US" w:eastAsia="fr-FR"/>
        </w:rPr>
        <w:t xml:space="preserve">lawfulness, purpose limitation, data </w:t>
      </w:r>
      <w:proofErr w:type="spellStart"/>
      <w:r>
        <w:rPr>
          <w:b/>
          <w:bCs/>
          <w:lang w:val="en-US" w:eastAsia="fr-FR"/>
        </w:rPr>
        <w:t>minimisation</w:t>
      </w:r>
      <w:proofErr w:type="spellEnd"/>
      <w:r>
        <w:rPr>
          <w:b/>
          <w:bCs/>
          <w:lang w:val="en-US" w:eastAsia="fr-FR"/>
        </w:rPr>
        <w:t>, accuracy, integrity, and confidentiality</w:t>
      </w:r>
      <w:r>
        <w:rPr>
          <w:lang w:val="en-US" w:eastAsia="fr-FR"/>
        </w:rPr>
        <w:t>. No personal or institutional data may be reproduced, stored, or transferred to third partie</w:t>
      </w:r>
      <w:r>
        <w:rPr>
          <w:lang w:val="en-US" w:eastAsia="fr-FR"/>
        </w:rPr>
        <w:t xml:space="preserve">s without the prior written </w:t>
      </w:r>
      <w:proofErr w:type="spellStart"/>
      <w:r>
        <w:rPr>
          <w:lang w:val="en-US" w:eastAsia="fr-FR"/>
        </w:rPr>
        <w:t>authorisation</w:t>
      </w:r>
      <w:proofErr w:type="spellEnd"/>
      <w:r>
        <w:rPr>
          <w:lang w:val="en-US" w:eastAsia="fr-FR"/>
        </w:rPr>
        <w:t xml:space="preserve"> of Expertise France.</w:t>
      </w:r>
    </w:p>
    <w:p w14:paraId="4E8AA958" w14:textId="77777777" w:rsidR="002D742A" w:rsidRDefault="004268AC">
      <w:pPr>
        <w:rPr>
          <w:lang w:val="en-US" w:eastAsia="fr-FR"/>
        </w:rPr>
      </w:pPr>
      <w:r>
        <w:rPr>
          <w:lang w:val="en-US" w:eastAsia="fr-FR"/>
        </w:rPr>
        <w:t xml:space="preserve">All team members must also comply with </w:t>
      </w:r>
      <w:r>
        <w:rPr>
          <w:b/>
          <w:bCs/>
          <w:lang w:val="en-US" w:eastAsia="fr-FR"/>
        </w:rPr>
        <w:t>EF’s internal Code of Ethics</w:t>
      </w:r>
      <w:r>
        <w:rPr>
          <w:lang w:val="en-US" w:eastAsia="fr-FR"/>
        </w:rPr>
        <w:t xml:space="preserve">, which mandates the prevention of conflicts of interest, non-discrimination, respect for human rights, and the responsible use of information. Any breach of ethical or data-protection obligations will result in </w:t>
      </w:r>
      <w:r>
        <w:rPr>
          <w:b/>
          <w:bCs/>
          <w:lang w:val="en-US" w:eastAsia="fr-FR"/>
        </w:rPr>
        <w:t>immediate contractual sanctions and disqualification</w:t>
      </w:r>
      <w:r>
        <w:rPr>
          <w:lang w:val="en-US" w:eastAsia="fr-FR"/>
        </w:rPr>
        <w:t>.</w:t>
      </w:r>
    </w:p>
    <w:p w14:paraId="388F673E" w14:textId="77777777" w:rsidR="002D742A" w:rsidRDefault="004268AC">
      <w:pPr>
        <w:rPr>
          <w:lang w:val="en-US" w:eastAsia="fr-FR"/>
        </w:rPr>
      </w:pPr>
      <w:r>
        <w:rPr>
          <w:lang w:val="en-US" w:eastAsia="fr-FR"/>
        </w:rPr>
        <w:t xml:space="preserve">This mission shall operate under a </w:t>
      </w:r>
      <w:r>
        <w:rPr>
          <w:b/>
          <w:bCs/>
          <w:lang w:val="en-US" w:eastAsia="fr-FR"/>
        </w:rPr>
        <w:t>zero-tolerance policy</w:t>
      </w:r>
      <w:r>
        <w:rPr>
          <w:lang w:val="en-US" w:eastAsia="fr-FR"/>
        </w:rPr>
        <w:t xml:space="preserve"> toward misconduct, ensuring that all actions reflect the in</w:t>
      </w:r>
      <w:r>
        <w:rPr>
          <w:lang w:val="en-US" w:eastAsia="fr-FR"/>
        </w:rPr>
        <w:t>tegrity and trust that underpin EU-funded cooperation.</w:t>
      </w:r>
    </w:p>
    <w:p w14:paraId="707879EE" w14:textId="77777777" w:rsidR="002D742A" w:rsidRDefault="004268AC">
      <w:pPr>
        <w:pStyle w:val="Titre1"/>
      </w:pPr>
      <w:r>
        <w:rPr>
          <w:rStyle w:val="lev"/>
          <w:b/>
          <w:bCs w:val="0"/>
        </w:rPr>
        <w:t>Reporting and Communication Protocols</w:t>
      </w:r>
    </w:p>
    <w:p w14:paraId="58EA9971" w14:textId="77777777" w:rsidR="002D742A" w:rsidRDefault="004268AC">
      <w:pPr>
        <w:pStyle w:val="Titre2"/>
        <w:rPr>
          <w:rStyle w:val="lev"/>
          <w:b w:val="0"/>
          <w:bCs w:val="0"/>
        </w:rPr>
      </w:pPr>
      <w:proofErr w:type="spellStart"/>
      <w:r>
        <w:rPr>
          <w:rStyle w:val="lev"/>
          <w:b w:val="0"/>
          <w:bCs w:val="0"/>
        </w:rPr>
        <w:t>Reporting</w:t>
      </w:r>
      <w:proofErr w:type="spellEnd"/>
      <w:r>
        <w:rPr>
          <w:rStyle w:val="lev"/>
          <w:b w:val="0"/>
          <w:bCs w:val="0"/>
        </w:rPr>
        <w:t xml:space="preserve"> Structure</w:t>
      </w:r>
    </w:p>
    <w:p w14:paraId="3B0D792A" w14:textId="77777777" w:rsidR="002D742A" w:rsidRDefault="004268AC">
      <w:pPr>
        <w:rPr>
          <w:lang w:val="en-US"/>
        </w:rPr>
      </w:pPr>
      <w:r>
        <w:rPr>
          <w:lang w:val="en-US"/>
        </w:rPr>
        <w:t>The expert will report directly to the Invest4Libya Technical Coordinator, under the technical coordination of the Key Technical Expert of Component 1. The Invest4Libya Project Leader retains final validation authority over all deliverables.</w:t>
      </w:r>
    </w:p>
    <w:p w14:paraId="0EEE166E" w14:textId="77777777" w:rsidR="002D742A" w:rsidRDefault="004268AC">
      <w:pPr>
        <w:pStyle w:val="Titre2"/>
        <w:rPr>
          <w:rStyle w:val="lev"/>
          <w:b w:val="0"/>
          <w:bCs w:val="0"/>
        </w:rPr>
      </w:pPr>
      <w:r>
        <w:rPr>
          <w:rStyle w:val="lev"/>
          <w:b w:val="0"/>
          <w:bCs w:val="0"/>
        </w:rPr>
        <w:t xml:space="preserve">Format and </w:t>
      </w:r>
      <w:proofErr w:type="spellStart"/>
      <w:r>
        <w:rPr>
          <w:rStyle w:val="lev"/>
          <w:b w:val="0"/>
          <w:bCs w:val="0"/>
        </w:rPr>
        <w:t>Branding</w:t>
      </w:r>
      <w:proofErr w:type="spellEnd"/>
    </w:p>
    <w:p w14:paraId="5EDF2917" w14:textId="77777777" w:rsidR="002D742A" w:rsidRDefault="004268AC">
      <w:pPr>
        <w:spacing w:after="160" w:line="276" w:lineRule="auto"/>
        <w:rPr>
          <w:lang w:val="en-US"/>
        </w:rPr>
      </w:pPr>
      <w:r>
        <w:rPr>
          <w:lang w:val="en-US"/>
        </w:rPr>
        <w:t>All reports must follow EF's standard format (Word/PDF, A4, EF and EU logos) and include: a cover page with title, assignment name, and d</w:t>
      </w:r>
      <w:r>
        <w:rPr>
          <w:lang w:val="en-US"/>
        </w:rPr>
        <w:t>ate; an executive summary (max. 2 pages) where relevant; a main body structured by analytical or thematic pillar; and annexes (data sources, references, validation records). All outputs must include the following disclaimer:</w:t>
      </w:r>
    </w:p>
    <w:p w14:paraId="32383ADD" w14:textId="77777777" w:rsidR="002D742A" w:rsidRDefault="004268AC">
      <w:pPr>
        <w:spacing w:after="160" w:line="276" w:lineRule="auto"/>
        <w:rPr>
          <w:lang w:val="en-US"/>
        </w:rPr>
      </w:pPr>
      <w:r>
        <w:rPr>
          <w:i/>
          <w:lang w:val="en-US"/>
        </w:rPr>
        <w:t>“This document was produced with the financial support of the European Union. Its contents are the sole responsibility of Expertise France and do not necessarily reflect the views of the European Union.”</w:t>
      </w:r>
    </w:p>
    <w:p w14:paraId="3236EC27" w14:textId="77777777" w:rsidR="002D742A" w:rsidRDefault="004268AC">
      <w:pPr>
        <w:pStyle w:val="Titre2"/>
        <w:rPr>
          <w:rStyle w:val="lev"/>
          <w:b w:val="0"/>
          <w:bCs w:val="0"/>
        </w:rPr>
      </w:pPr>
      <w:proofErr w:type="spellStart"/>
      <w:r>
        <w:rPr>
          <w:rStyle w:val="lev"/>
          <w:b w:val="0"/>
          <w:bCs w:val="0"/>
        </w:rPr>
        <w:t>Confidentiality</w:t>
      </w:r>
      <w:proofErr w:type="spellEnd"/>
      <w:r>
        <w:rPr>
          <w:rStyle w:val="lev"/>
          <w:b w:val="0"/>
          <w:bCs w:val="0"/>
        </w:rPr>
        <w:t xml:space="preserve"> and Communication </w:t>
      </w:r>
      <w:proofErr w:type="spellStart"/>
      <w:r>
        <w:rPr>
          <w:rStyle w:val="lev"/>
          <w:b w:val="0"/>
          <w:bCs w:val="0"/>
        </w:rPr>
        <w:t>Ethics</w:t>
      </w:r>
      <w:proofErr w:type="spellEnd"/>
    </w:p>
    <w:p w14:paraId="000E7308" w14:textId="77777777" w:rsidR="002D742A" w:rsidRDefault="004268AC">
      <w:pPr>
        <w:spacing w:after="160" w:line="276" w:lineRule="auto"/>
        <w:rPr>
          <w:lang w:val="en-US"/>
        </w:rPr>
      </w:pPr>
      <w:r>
        <w:rPr>
          <w:lang w:val="en-US"/>
        </w:rPr>
        <w:lastRenderedPageBreak/>
        <w:t>All public or external communications (inc</w:t>
      </w:r>
      <w:r>
        <w:rPr>
          <w:lang w:val="en-US"/>
        </w:rPr>
        <w:t xml:space="preserve">luding presentations, interviews, or citations) must receive prior written </w:t>
      </w:r>
      <w:proofErr w:type="spellStart"/>
      <w:r>
        <w:rPr>
          <w:lang w:val="en-US"/>
        </w:rPr>
        <w:t>authorisation</w:t>
      </w:r>
      <w:proofErr w:type="spellEnd"/>
      <w:r>
        <w:rPr>
          <w:lang w:val="en-US"/>
        </w:rPr>
        <w:t xml:space="preserve"> from Expertise France. No information collected during the assignment may be disclosed without EF's explicit consent.</w:t>
      </w:r>
    </w:p>
    <w:p w14:paraId="455FABBC" w14:textId="77777777" w:rsidR="002D742A" w:rsidRDefault="002D742A">
      <w:pPr>
        <w:spacing w:after="160" w:line="276" w:lineRule="auto"/>
        <w:rPr>
          <w:lang w:val="en-US"/>
        </w:rPr>
      </w:pPr>
    </w:p>
    <w:p w14:paraId="024C1D20" w14:textId="77777777" w:rsidR="002D742A" w:rsidRDefault="004268AC">
      <w:pPr>
        <w:pStyle w:val="Titre1"/>
      </w:pPr>
      <w:r>
        <w:rPr>
          <w:rStyle w:val="lev"/>
          <w:b/>
          <w:bCs w:val="0"/>
        </w:rPr>
        <w:t>Administrative and Logistical Arrangements</w:t>
      </w:r>
    </w:p>
    <w:p w14:paraId="3D05FCDD" w14:textId="77777777" w:rsidR="002D742A" w:rsidRDefault="004268AC">
      <w:pPr>
        <w:pStyle w:val="Titre2"/>
        <w:rPr>
          <w:rStyle w:val="lev"/>
        </w:rPr>
      </w:pPr>
      <w:r>
        <w:rPr>
          <w:rStyle w:val="lev"/>
        </w:rPr>
        <w:t xml:space="preserve">Mission Base and </w:t>
      </w:r>
      <w:proofErr w:type="spellStart"/>
      <w:r>
        <w:rPr>
          <w:rStyle w:val="lev"/>
        </w:rPr>
        <w:t>Mobility</w:t>
      </w:r>
      <w:proofErr w:type="spellEnd"/>
    </w:p>
    <w:p w14:paraId="29C27285" w14:textId="77777777" w:rsidR="002D742A" w:rsidRDefault="004268AC">
      <w:pPr>
        <w:pStyle w:val="NormalWeb"/>
        <w:rPr>
          <w:rFonts w:ascii="Tw Cen MT" w:hAnsi="Tw Cen MT"/>
          <w:lang w:val="en-US"/>
        </w:rPr>
      </w:pPr>
      <w:r>
        <w:rPr>
          <w:rFonts w:ascii="Tw Cen MT" w:hAnsi="Tw Cen MT"/>
          <w:lang w:val="en-US"/>
        </w:rPr>
        <w:t xml:space="preserve">The expert will be home-based, with missions to Tripoli and/or Tunis, subject to security conditions and access permissions. </w:t>
      </w:r>
    </w:p>
    <w:p w14:paraId="23B026B2" w14:textId="77777777" w:rsidR="002D742A" w:rsidRDefault="004268AC">
      <w:pPr>
        <w:pStyle w:val="Titre2"/>
        <w:rPr>
          <w:rStyle w:val="lev"/>
        </w:rPr>
      </w:pPr>
      <w:r>
        <w:rPr>
          <w:rStyle w:val="lev"/>
        </w:rPr>
        <w:t>Travel and Security</w:t>
      </w:r>
    </w:p>
    <w:p w14:paraId="37C92DFE" w14:textId="77777777" w:rsidR="002D742A" w:rsidRDefault="004268AC">
      <w:pPr>
        <w:pStyle w:val="NormalWeb"/>
        <w:rPr>
          <w:rFonts w:ascii="Tw Cen MT" w:hAnsi="Tw Cen MT"/>
          <w:lang w:val="en-US"/>
        </w:rPr>
      </w:pPr>
      <w:r>
        <w:rPr>
          <w:rFonts w:ascii="Tw Cen MT" w:hAnsi="Tw Cen MT"/>
          <w:lang w:val="en-US"/>
        </w:rPr>
        <w:t>All international and domestic travel must comply with EF's security and travel protocols</w:t>
      </w:r>
      <w:r>
        <w:rPr>
          <w:rFonts w:ascii="Tw Cen MT" w:hAnsi="Tw Cen MT"/>
          <w:lang w:val="en-US"/>
        </w:rPr>
        <w:t xml:space="preserve"> for service providers. The expert will receive a security briefing and clearance prior to deployment in Libya. Travel arrangements, accommodation, and on-ground logistics will be coordinated by EF Libya's Administration and Operations Unit.</w:t>
      </w:r>
    </w:p>
    <w:p w14:paraId="3BF62D02" w14:textId="77777777" w:rsidR="002D742A" w:rsidRDefault="004268AC">
      <w:pPr>
        <w:pStyle w:val="Titre2"/>
        <w:rPr>
          <w:rStyle w:val="lev"/>
        </w:rPr>
      </w:pPr>
      <w:r>
        <w:rPr>
          <w:rStyle w:val="lev"/>
        </w:rPr>
        <w:t>Administrative Coordination</w:t>
      </w:r>
    </w:p>
    <w:p w14:paraId="6E29875B" w14:textId="77777777" w:rsidR="002D742A" w:rsidRDefault="004268AC">
      <w:pPr>
        <w:pStyle w:val="NormalWeb"/>
        <w:rPr>
          <w:rFonts w:ascii="Tw Cen MT" w:hAnsi="Tw Cen MT"/>
          <w:lang w:val="en-US"/>
        </w:rPr>
      </w:pPr>
      <w:r>
        <w:rPr>
          <w:rFonts w:ascii="Tw Cen MT" w:hAnsi="Tw Cen MT"/>
          <w:lang w:val="en-US"/>
        </w:rPr>
        <w:t>EF Libya will facilitate visa requests and administrative clearances in coordination with national authorities, as well as office access and local transportation during in-country missions.</w:t>
      </w:r>
    </w:p>
    <w:p w14:paraId="4A3AA1E6" w14:textId="77777777" w:rsidR="002D742A" w:rsidRDefault="004268AC">
      <w:pPr>
        <w:pStyle w:val="Titre2"/>
        <w:rPr>
          <w:rStyle w:val="lev"/>
        </w:rPr>
      </w:pPr>
      <w:r>
        <w:rPr>
          <w:rStyle w:val="lev"/>
        </w:rPr>
        <w:t xml:space="preserve">Working </w:t>
      </w:r>
      <w:proofErr w:type="spellStart"/>
      <w:r>
        <w:rPr>
          <w:rStyle w:val="lev"/>
        </w:rPr>
        <w:t>Modalities</w:t>
      </w:r>
      <w:proofErr w:type="spellEnd"/>
    </w:p>
    <w:p w14:paraId="4661C780" w14:textId="77777777" w:rsidR="002D742A" w:rsidRDefault="004268AC">
      <w:pPr>
        <w:pStyle w:val="NormalWeb"/>
        <w:rPr>
          <w:rFonts w:ascii="Tw Cen MT" w:hAnsi="Tw Cen MT"/>
          <w:lang w:val="en-US"/>
        </w:rPr>
      </w:pPr>
      <w:r>
        <w:rPr>
          <w:rFonts w:ascii="Tw Cen MT" w:hAnsi="Tw Cen MT"/>
          <w:lang w:val="en-US"/>
        </w:rPr>
        <w:t>The expert is expected to work bo</w:t>
      </w:r>
      <w:r>
        <w:rPr>
          <w:rFonts w:ascii="Tw Cen MT" w:hAnsi="Tw Cen MT"/>
          <w:lang w:val="en-US"/>
        </w:rPr>
        <w:t xml:space="preserve">th remotely (home-based) and onsite through regular missions, maintaining continuous coordination with the Key Technical Expert of Component 1. </w:t>
      </w:r>
    </w:p>
    <w:p w14:paraId="302F5643" w14:textId="77777777" w:rsidR="002D742A" w:rsidRDefault="002D742A">
      <w:pPr>
        <w:rPr>
          <w:lang w:val="en-US"/>
        </w:rPr>
      </w:pPr>
    </w:p>
    <w:p w14:paraId="230D1D3C" w14:textId="77777777" w:rsidR="002D742A" w:rsidRDefault="002D742A">
      <w:pPr>
        <w:rPr>
          <w:lang w:val="en-US"/>
        </w:rPr>
      </w:pPr>
    </w:p>
    <w:p w14:paraId="492758EB" w14:textId="77777777" w:rsidR="002D742A" w:rsidRDefault="002D742A">
      <w:pPr>
        <w:rPr>
          <w:lang w:val="en-US"/>
        </w:rPr>
      </w:pPr>
    </w:p>
    <w:sectPr w:rsidR="002D742A">
      <w:pgSz w:w="11900" w:h="16840"/>
      <w:pgMar w:top="1134" w:right="1127" w:bottom="1134" w:left="1276" w:header="709" w:footer="59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74FF7" w14:textId="77777777" w:rsidR="004268AC" w:rsidRDefault="004268AC">
      <w:r>
        <w:separator/>
      </w:r>
    </w:p>
    <w:p w14:paraId="50F3AC5E" w14:textId="77777777" w:rsidR="004268AC" w:rsidRDefault="004268AC"/>
  </w:endnote>
  <w:endnote w:type="continuationSeparator" w:id="0">
    <w:p w14:paraId="3DCC0EAF" w14:textId="77777777" w:rsidR="004268AC" w:rsidRDefault="004268AC">
      <w:r>
        <w:continuationSeparator/>
      </w:r>
    </w:p>
    <w:p w14:paraId="585C2D75" w14:textId="77777777" w:rsidR="004268AC" w:rsidRDefault="00426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Verdana-Bold">
    <w:altName w:val="Verdana"/>
    <w:charset w:val="00"/>
    <w:family w:val="auto"/>
    <w:pitch w:val="default"/>
  </w:font>
  <w:font w:name="Verdana">
    <w:panose1 w:val="020B0604030504040204"/>
    <w:charset w:val="00"/>
    <w:family w:val="swiss"/>
    <w:pitch w:val="variable"/>
    <w:sig w:usb0="A00006FF" w:usb1="4000205B" w:usb2="00000010" w:usb3="00000000" w:csb0="0000019F" w:csb1="00000000"/>
  </w:font>
  <w:font w:name="MyriadPro-Regular-Identity-H">
    <w:altName w:val="Cambria"/>
    <w:charset w:val="00"/>
    <w:family w:val="auto"/>
    <w:pitch w:val="default"/>
  </w:font>
  <w:font w:name="Verdana-Italic">
    <w:altName w:val="Verdana"/>
    <w:charset w:val="00"/>
    <w:family w:val="auto"/>
    <w:pitch w:val="default"/>
  </w:font>
  <w:font w:name="Times New Roman (Corps CS)">
    <w:altName w:val="Courier New"/>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Italic">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A6C70" w14:textId="77777777" w:rsidR="002D742A" w:rsidRDefault="004268AC">
    <w:pPr>
      <w:pStyle w:val="Pieddepag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1</w:t>
    </w:r>
    <w:r>
      <w:rPr>
        <w:rStyle w:val="Numrodepage"/>
      </w:rPr>
      <w:fldChar w:fldCharType="end"/>
    </w:r>
  </w:p>
  <w:p w14:paraId="4B5ED60F" w14:textId="77777777" w:rsidR="002D742A" w:rsidRDefault="002D742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323B" w14:textId="77777777" w:rsidR="002D742A" w:rsidRDefault="004268AC">
    <w:pPr>
      <w:pStyle w:val="Pieddepage"/>
    </w:pPr>
    <w:r>
      <w:rPr>
        <w:noProof/>
        <w:lang w:eastAsia="fr-FR"/>
      </w:rPr>
      <mc:AlternateContent>
        <mc:Choice Requires="wps">
          <w:drawing>
            <wp:anchor distT="0" distB="0" distL="114300" distR="114300" simplePos="0" relativeHeight="251657728" behindDoc="1" locked="0" layoutInCell="1" allowOverlap="1" wp14:anchorId="0FF8C32C" wp14:editId="5564303F">
              <wp:simplePos x="0" y="0"/>
              <wp:positionH relativeFrom="column">
                <wp:posOffset>5456555</wp:posOffset>
              </wp:positionH>
              <wp:positionV relativeFrom="paragraph">
                <wp:posOffset>-116205</wp:posOffset>
              </wp:positionV>
              <wp:extent cx="447040" cy="447040"/>
              <wp:effectExtent l="0" t="0" r="10160" b="10160"/>
              <wp:wrapNone/>
              <wp:docPr id="2" name="Ellipse 26"/>
              <wp:cNvGraphicFramePr/>
              <a:graphic xmlns:a="http://schemas.openxmlformats.org/drawingml/2006/main">
                <a:graphicData uri="http://schemas.microsoft.com/office/word/2010/wordprocessingShape">
                  <wps:wsp>
                    <wps:cNvSpPr/>
                    <wps:spPr bwMode="auto">
                      <a:xfrm>
                        <a:off x="0" y="0"/>
                        <a:ext cx="447040" cy="447040"/>
                      </a:xfrm>
                      <a:prstGeom prst="ellipse">
                        <a:avLst/>
                      </a:prstGeom>
                      <a:solidFill>
                        <a:srgbClr val="E9E4DE"/>
                      </a:solidFill>
                      <a:ln>
                        <a:noFill/>
                      </a:ln>
                      <a:effectLst/>
                    </wps:spPr>
                    <wps:style>
                      <a:lnRef idx="1">
                        <a:schemeClr val="accent1"/>
                      </a:lnRef>
                      <a:fillRef idx="3">
                        <a:schemeClr val="accent1"/>
                      </a:fillRef>
                      <a:effectRef idx="2">
                        <a:schemeClr val="accent1"/>
                      </a:effectRef>
                      <a:fontRef idx="minor">
                        <a:schemeClr val="lt1"/>
                      </a:fontRef>
                    </wps:style>
                    <wps:txbx>
                      <w:txbxContent>
                        <w:p w14:paraId="0A29BD4B" w14:textId="77777777" w:rsidR="002D742A" w:rsidRDefault="004268AC">
                          <w:pPr>
                            <w:pStyle w:val="Pieddepage"/>
                            <w:rPr>
                              <w:rStyle w:val="Numrodepage"/>
                              <w:color w:val="004979"/>
                            </w:rPr>
                          </w:pPr>
                          <w:r>
                            <w:rPr>
                              <w:rStyle w:val="Numrodepage"/>
                              <w:color w:val="004979"/>
                            </w:rPr>
                            <w:fldChar w:fldCharType="begin"/>
                          </w:r>
                          <w:r>
                            <w:rPr>
                              <w:rStyle w:val="Numrodepage"/>
                              <w:color w:val="004979"/>
                            </w:rPr>
                            <w:instrText xml:space="preserve">PAGE  </w:instrText>
                          </w:r>
                          <w:r>
                            <w:rPr>
                              <w:rStyle w:val="Numrodepage"/>
                              <w:color w:val="004979"/>
                            </w:rPr>
                            <w:fldChar w:fldCharType="separate"/>
                          </w:r>
                          <w:r>
                            <w:rPr>
                              <w:rStyle w:val="Numrodepage"/>
                              <w:color w:val="004979"/>
                            </w:rPr>
                            <w:t>9</w:t>
                          </w:r>
                          <w:r>
                            <w:rPr>
                              <w:rStyle w:val="Numrodepage"/>
                              <w:color w:val="004979"/>
                            </w:rPr>
                            <w:fldChar w:fldCharType="end"/>
                          </w:r>
                        </w:p>
                        <w:p w14:paraId="7E4F96CC" w14:textId="77777777" w:rsidR="002D742A" w:rsidRDefault="004268AC">
                          <w:r>
                            <w:t>1</w:t>
                          </w:r>
                          <w:r>
                            <w:fldChar w:fldCharType="begin"/>
                          </w:r>
                          <w:r>
                            <w:instrText>PAGE   \* MERGEFORMAT</w:instrText>
                          </w:r>
                          <w:r>
                            <w:fldChar w:fldCharType="separate"/>
                          </w:r>
                          <w:r>
                            <w:t>9</w:t>
                          </w:r>
                          <w: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F8C32C" id="Ellipse 26" o:spid="_x0000_s1026" style="position:absolute;left:0;text-align:left;margin-left:429.65pt;margin-top:-9.15pt;width:35.2pt;height:3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" fillcolor="#e9e4de" stroked="f">
              <v:textbox>
                <w:txbxContent>
                  <w:p w14:paraId="0A29BD4B" w14:textId="77777777" w:rsidR="002D742A" w:rsidRDefault="004268AC">
                    <w:pPr>
                      <w:pStyle w:val="Pieddepage"/>
                      <w:rPr>
                        <w:rStyle w:val="Numrodepage"/>
                        <w:color w:val="004979"/>
                      </w:rPr>
                    </w:pPr>
                    <w:r>
                      <w:rPr>
                        <w:rStyle w:val="Numrodepage"/>
                        <w:color w:val="004979"/>
                      </w:rPr>
                      <w:fldChar w:fldCharType="begin"/>
                    </w:r>
                    <w:r>
                      <w:rPr>
                        <w:rStyle w:val="Numrodepage"/>
                        <w:color w:val="004979"/>
                      </w:rPr>
                      <w:instrText xml:space="preserve">PAGE  </w:instrText>
                    </w:r>
                    <w:r>
                      <w:rPr>
                        <w:rStyle w:val="Numrodepage"/>
                        <w:color w:val="004979"/>
                      </w:rPr>
                      <w:fldChar w:fldCharType="separate"/>
                    </w:r>
                    <w:r>
                      <w:rPr>
                        <w:rStyle w:val="Numrodepage"/>
                        <w:color w:val="004979"/>
                      </w:rPr>
                      <w:t>9</w:t>
                    </w:r>
                    <w:r>
                      <w:rPr>
                        <w:rStyle w:val="Numrodepage"/>
                        <w:color w:val="004979"/>
                      </w:rPr>
                      <w:fldChar w:fldCharType="end"/>
                    </w:r>
                  </w:p>
                  <w:p w14:paraId="7E4F96CC" w14:textId="77777777" w:rsidR="002D742A" w:rsidRDefault="004268AC">
                    <w:r>
                      <w:t>1</w:t>
                    </w:r>
                    <w:r>
                      <w:fldChar w:fldCharType="begin"/>
                    </w:r>
                    <w:r>
                      <w:instrText>PAGE   \* MERGEFORMAT</w:instrText>
                    </w:r>
                    <w:r>
                      <w:fldChar w:fldCharType="separate"/>
                    </w:r>
                    <w:r>
                      <w:t>9</w:t>
                    </w:r>
                    <w:r>
                      <w:fldChar w:fldCharType="end"/>
                    </w:r>
                  </w:p>
                </w:txbxContent>
              </v:textbox>
            </v:oval>
          </w:pict>
        </mc:Fallback>
      </mc:AlternateContent>
    </w:r>
    <w:r>
      <w:tab/>
    </w:r>
    <w:r>
      <w:tab/>
    </w:r>
    <w:r>
      <w:fldChar w:fldCharType="begin"/>
    </w:r>
    <w:r>
      <w:instrText>PAGE   \* MERGEFORMAT</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1E977" w14:textId="77777777" w:rsidR="004268AC" w:rsidRDefault="004268AC">
      <w:r>
        <w:separator/>
      </w:r>
    </w:p>
    <w:p w14:paraId="30D65B0A" w14:textId="77777777" w:rsidR="004268AC" w:rsidRDefault="004268AC"/>
  </w:footnote>
  <w:footnote w:type="continuationSeparator" w:id="0">
    <w:p w14:paraId="0D3050D7" w14:textId="77777777" w:rsidR="004268AC" w:rsidRDefault="004268AC">
      <w:r>
        <w:continuationSeparator/>
      </w:r>
    </w:p>
    <w:p w14:paraId="119A12D0" w14:textId="77777777" w:rsidR="004268AC" w:rsidRDefault="004268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4A075" w14:textId="77777777" w:rsidR="002D742A" w:rsidRDefault="004268AC">
    <w:pPr>
      <w:pStyle w:val="En-tte"/>
    </w:pPr>
    <w:r>
      <w:rPr>
        <w:rFonts w:asciiTheme="majorHAnsi" w:hAnsiTheme="majorHAnsi" w:cstheme="majorHAnsi"/>
        <w:b/>
        <w:noProof/>
        <w:color w:val="E36C0A" w:themeColor="accent6" w:themeShade="BF"/>
        <w:lang w:eastAsia="fr-FR"/>
      </w:rPr>
      <w:drawing>
        <wp:anchor distT="0" distB="0" distL="114300" distR="114300" simplePos="0" relativeHeight="251659776" behindDoc="0" locked="0" layoutInCell="1" allowOverlap="1" wp14:anchorId="6139938E" wp14:editId="78DEA1F9">
          <wp:simplePos x="0" y="0"/>
          <wp:positionH relativeFrom="margin">
            <wp:align>right</wp:align>
          </wp:positionH>
          <wp:positionV relativeFrom="paragraph">
            <wp:posOffset>-316865</wp:posOffset>
          </wp:positionV>
          <wp:extent cx="987425" cy="504825"/>
          <wp:effectExtent l="0" t="0" r="0" b="0"/>
          <wp:wrapSquare wrapText="bothSides"/>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xpertise France - Fond transparent.png"/>
                  <pic:cNvPicPr>
                    <a:picLocks noChangeAspect="1"/>
                  </pic:cNvPicPr>
                </pic:nvPicPr>
                <pic:blipFill rotWithShape="1">
                  <a:blip r:embed="rId1"/>
                  <a:stretch/>
                </pic:blipFill>
                <pic:spPr bwMode="auto">
                  <a:xfrm>
                    <a:off x="0" y="0"/>
                    <a:ext cx="987425" cy="5048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multilevel"/>
    <w:tmpl w:val="45565BE2"/>
    <w:lvl w:ilvl="0">
      <w:start w:val="1"/>
      <w:numFmt w:val="bullet"/>
      <w:pStyle w:val="Listepuces"/>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54D05EC"/>
    <w:multiLevelType w:val="multilevel"/>
    <w:tmpl w:val="3A568726"/>
    <w:lvl w:ilvl="0">
      <w:start w:val="1"/>
      <w:numFmt w:val="bullet"/>
      <w:pStyle w:val="puceEF"/>
      <w:lvlText w:val="»"/>
      <w:lvlJc w:val="left"/>
      <w:pPr>
        <w:ind w:left="1080" w:hanging="360"/>
      </w:pPr>
      <w:rPr>
        <w:rFonts w:ascii="Calibri" w:hAnsi="Calibri" w:hint="default"/>
        <w:b w:val="0"/>
        <w:i w:val="0"/>
        <w:color w:val="4F81BD" w:themeColor="accent1"/>
        <w:sz w:val="21"/>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1A090642"/>
    <w:multiLevelType w:val="multilevel"/>
    <w:tmpl w:val="040C001F"/>
    <w:styleLink w:val="111111"/>
    <w:lvl w:ilvl="0">
      <w:start w:val="1"/>
      <w:numFmt w:val="decimal"/>
      <w:pStyle w:val="EXP-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4D32CDA"/>
    <w:multiLevelType w:val="multilevel"/>
    <w:tmpl w:val="75E2FE70"/>
    <w:lvl w:ilvl="0">
      <w:start w:val="1"/>
      <w:numFmt w:val="bullet"/>
      <w:lvlText w:val="·"/>
      <w:lvlJc w:val="left"/>
      <w:pPr>
        <w:ind w:left="1069" w:hanging="360"/>
      </w:pPr>
      <w:rPr>
        <w:rFonts w:ascii="Symbol" w:eastAsia="Symbol" w:hAnsi="Symbol" w:cs="Symbol" w:hint="default"/>
      </w:rPr>
    </w:lvl>
    <w:lvl w:ilvl="1">
      <w:start w:val="1"/>
      <w:numFmt w:val="bullet"/>
      <w:lvlText w:val="o"/>
      <w:lvlJc w:val="left"/>
      <w:pPr>
        <w:ind w:left="1789" w:hanging="360"/>
      </w:pPr>
      <w:rPr>
        <w:rFonts w:ascii="Courier New" w:eastAsia="Courier New" w:hAnsi="Courier New" w:cs="Courier New" w:hint="default"/>
      </w:rPr>
    </w:lvl>
    <w:lvl w:ilvl="2">
      <w:start w:val="1"/>
      <w:numFmt w:val="bullet"/>
      <w:lvlText w:val="§"/>
      <w:lvlJc w:val="left"/>
      <w:pPr>
        <w:ind w:left="2509" w:hanging="360"/>
      </w:pPr>
      <w:rPr>
        <w:rFonts w:ascii="Wingdings" w:eastAsia="Wingdings" w:hAnsi="Wingdings" w:cs="Wingdings" w:hint="default"/>
      </w:rPr>
    </w:lvl>
    <w:lvl w:ilvl="3">
      <w:start w:val="1"/>
      <w:numFmt w:val="bullet"/>
      <w:lvlText w:val="·"/>
      <w:lvlJc w:val="left"/>
      <w:pPr>
        <w:ind w:left="3229" w:hanging="360"/>
      </w:pPr>
      <w:rPr>
        <w:rFonts w:ascii="Symbol" w:eastAsia="Symbol" w:hAnsi="Symbol" w:cs="Symbol" w:hint="default"/>
      </w:rPr>
    </w:lvl>
    <w:lvl w:ilvl="4">
      <w:start w:val="1"/>
      <w:numFmt w:val="bullet"/>
      <w:lvlText w:val="o"/>
      <w:lvlJc w:val="left"/>
      <w:pPr>
        <w:ind w:left="3949" w:hanging="360"/>
      </w:pPr>
      <w:rPr>
        <w:rFonts w:ascii="Courier New" w:eastAsia="Courier New" w:hAnsi="Courier New" w:cs="Courier New" w:hint="default"/>
      </w:rPr>
    </w:lvl>
    <w:lvl w:ilvl="5">
      <w:start w:val="1"/>
      <w:numFmt w:val="bullet"/>
      <w:lvlText w:val="§"/>
      <w:lvlJc w:val="left"/>
      <w:pPr>
        <w:ind w:left="4669" w:hanging="360"/>
      </w:pPr>
      <w:rPr>
        <w:rFonts w:ascii="Wingdings" w:eastAsia="Wingdings" w:hAnsi="Wingdings" w:cs="Wingdings" w:hint="default"/>
      </w:rPr>
    </w:lvl>
    <w:lvl w:ilvl="6">
      <w:start w:val="1"/>
      <w:numFmt w:val="bullet"/>
      <w:lvlText w:val="·"/>
      <w:lvlJc w:val="left"/>
      <w:pPr>
        <w:ind w:left="5389" w:hanging="360"/>
      </w:pPr>
      <w:rPr>
        <w:rFonts w:ascii="Symbol" w:eastAsia="Symbol" w:hAnsi="Symbol" w:cs="Symbol" w:hint="default"/>
      </w:rPr>
    </w:lvl>
    <w:lvl w:ilvl="7">
      <w:start w:val="1"/>
      <w:numFmt w:val="bullet"/>
      <w:lvlText w:val="o"/>
      <w:lvlJc w:val="left"/>
      <w:pPr>
        <w:ind w:left="6109" w:hanging="360"/>
      </w:pPr>
      <w:rPr>
        <w:rFonts w:ascii="Courier New" w:eastAsia="Courier New" w:hAnsi="Courier New" w:cs="Courier New" w:hint="default"/>
      </w:rPr>
    </w:lvl>
    <w:lvl w:ilvl="8">
      <w:start w:val="1"/>
      <w:numFmt w:val="bullet"/>
      <w:lvlText w:val="§"/>
      <w:lvlJc w:val="left"/>
      <w:pPr>
        <w:ind w:left="6829" w:hanging="360"/>
      </w:pPr>
      <w:rPr>
        <w:rFonts w:ascii="Wingdings" w:eastAsia="Wingdings" w:hAnsi="Wingdings" w:cs="Wingdings" w:hint="default"/>
      </w:rPr>
    </w:lvl>
  </w:abstractNum>
  <w:abstractNum w:abstractNumId="4" w15:restartNumberingAfterBreak="0">
    <w:nsid w:val="413E2F43"/>
    <w:multiLevelType w:val="multilevel"/>
    <w:tmpl w:val="AB2A1BA4"/>
    <w:lvl w:ilvl="0">
      <w:start w:val="1"/>
      <w:numFmt w:val="decimal"/>
      <w:lvlText w:val="%1."/>
      <w:lvlJc w:val="left"/>
      <w:pPr>
        <w:ind w:left="360" w:hanging="360"/>
      </w:pPr>
      <w:rPr>
        <w:rFonts w:hint="default"/>
        <w:b/>
        <w:bCs/>
        <w:i w:val="0"/>
        <w:iCs w:val="0"/>
        <w:color w:val="004979"/>
        <w:sz w:val="32"/>
        <w:szCs w:val="32"/>
        <w:u w:val="none"/>
      </w:rPr>
    </w:lvl>
    <w:lvl w:ilvl="1">
      <w:start w:val="1"/>
      <w:numFmt w:val="decimal"/>
      <w:pStyle w:val="EXP-Titre2"/>
      <w:lvlText w:val="%1.%2."/>
      <w:lvlJc w:val="left"/>
      <w:pPr>
        <w:ind w:left="792" w:hanging="432"/>
      </w:pPr>
      <w:rPr>
        <w:rFonts w:hint="default"/>
        <w:b/>
        <w:bCs/>
        <w:i w:val="0"/>
        <w:iCs w:val="0"/>
        <w:color w:val="68B1E6"/>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FE71B65"/>
    <w:multiLevelType w:val="multilevel"/>
    <w:tmpl w:val="CE8C745E"/>
    <w:lvl w:ilvl="0">
      <w:start w:val="1"/>
      <w:numFmt w:val="bullet"/>
      <w:pStyle w:val="Paragraphedeliste"/>
      <w:lvlText w:val="»"/>
      <w:lvlJc w:val="left"/>
      <w:pPr>
        <w:ind w:left="1429" w:hanging="360"/>
      </w:pPr>
      <w:rPr>
        <w:rFonts w:ascii="Calibri" w:hAnsi="Calibri" w:hint="default"/>
        <w:b w:val="0"/>
        <w:i w:val="0"/>
        <w:color w:val="4F81BD" w:themeColor="accent1"/>
        <w:sz w:val="21"/>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 w15:restartNumberingAfterBreak="0">
    <w:nsid w:val="55C94DDA"/>
    <w:multiLevelType w:val="multilevel"/>
    <w:tmpl w:val="040C001F"/>
    <w:numStyleLink w:val="111111"/>
  </w:abstractNum>
  <w:abstractNum w:abstractNumId="7" w15:restartNumberingAfterBreak="0">
    <w:nsid w:val="5B227988"/>
    <w:multiLevelType w:val="multilevel"/>
    <w:tmpl w:val="58C0258C"/>
    <w:lvl w:ilvl="0">
      <w:start w:val="1"/>
      <w:numFmt w:val="bullet"/>
      <w:isLgl/>
      <w:lvlText w:val=""/>
      <w:lvlJc w:val="left"/>
      <w:pPr>
        <w:tabs>
          <w:tab w:val="num" w:pos="0"/>
        </w:tabs>
        <w:ind w:left="480" w:hanging="240"/>
      </w:pPr>
      <w:rPr>
        <w:rFonts w:ascii="Symbol" w:hAnsi="Symbol" w:cs="Symbol" w:hint="default"/>
      </w:rPr>
    </w:lvl>
    <w:lvl w:ilvl="1">
      <w:start w:val="1"/>
      <w:numFmt w:val="bullet"/>
      <w:isLgl/>
      <w:lvlText w:val=""/>
      <w:lvlJc w:val="left"/>
      <w:pPr>
        <w:tabs>
          <w:tab w:val="num" w:pos="0"/>
        </w:tabs>
        <w:ind w:left="960" w:hanging="240"/>
      </w:pPr>
      <w:rPr>
        <w:rFonts w:ascii="Symbol" w:hAnsi="Symbol" w:cs="Symbol" w:hint="default"/>
      </w:rPr>
    </w:lvl>
    <w:lvl w:ilvl="2">
      <w:numFmt w:val="decimal"/>
      <w:isLgl/>
      <w:lvlText w:val=""/>
      <w:lvlJc w:val="left"/>
      <w:pPr>
        <w:tabs>
          <w:tab w:val="num" w:pos="0"/>
        </w:tabs>
        <w:ind w:left="0" w:firstLine="0"/>
      </w:pPr>
    </w:lvl>
    <w:lvl w:ilvl="3">
      <w:numFmt w:val="decimal"/>
      <w:isLgl/>
      <w:lvlText w:val=""/>
      <w:lvlJc w:val="left"/>
      <w:pPr>
        <w:tabs>
          <w:tab w:val="num" w:pos="0"/>
        </w:tabs>
        <w:ind w:left="0" w:firstLine="0"/>
      </w:pPr>
    </w:lvl>
    <w:lvl w:ilvl="4">
      <w:numFmt w:val="decimal"/>
      <w:isLgl/>
      <w:lvlText w:val=""/>
      <w:lvlJc w:val="left"/>
      <w:pPr>
        <w:tabs>
          <w:tab w:val="num" w:pos="0"/>
        </w:tabs>
        <w:ind w:left="0" w:firstLine="0"/>
      </w:pPr>
    </w:lvl>
    <w:lvl w:ilvl="5">
      <w:numFmt w:val="decimal"/>
      <w:isLgl/>
      <w:lvlText w:val=""/>
      <w:lvlJc w:val="left"/>
      <w:pPr>
        <w:tabs>
          <w:tab w:val="num" w:pos="0"/>
        </w:tabs>
        <w:ind w:left="0" w:firstLine="0"/>
      </w:pPr>
    </w:lvl>
    <w:lvl w:ilvl="6">
      <w:numFmt w:val="decimal"/>
      <w:isLgl/>
      <w:lvlText w:val=""/>
      <w:lvlJc w:val="left"/>
      <w:pPr>
        <w:tabs>
          <w:tab w:val="num" w:pos="0"/>
        </w:tabs>
        <w:ind w:left="0" w:firstLine="0"/>
      </w:pPr>
    </w:lvl>
    <w:lvl w:ilvl="7">
      <w:numFmt w:val="decimal"/>
      <w:isLgl/>
      <w:lvlText w:val=""/>
      <w:lvlJc w:val="left"/>
      <w:pPr>
        <w:tabs>
          <w:tab w:val="num" w:pos="0"/>
        </w:tabs>
        <w:ind w:left="0" w:firstLine="0"/>
      </w:pPr>
    </w:lvl>
    <w:lvl w:ilvl="8">
      <w:numFmt w:val="decimal"/>
      <w:isLgl/>
      <w:lvlText w:val=""/>
      <w:lvlJc w:val="left"/>
      <w:pPr>
        <w:tabs>
          <w:tab w:val="num" w:pos="0"/>
        </w:tabs>
        <w:ind w:left="0" w:firstLine="0"/>
      </w:pPr>
    </w:lvl>
  </w:abstractNum>
  <w:abstractNum w:abstractNumId="8" w15:restartNumberingAfterBreak="0">
    <w:nsid w:val="5D11138A"/>
    <w:multiLevelType w:val="multilevel"/>
    <w:tmpl w:val="234470FC"/>
    <w:lvl w:ilvl="0">
      <w:start w:val="1"/>
      <w:numFmt w:val="decimal"/>
      <w:pStyle w:val="Titre1"/>
      <w:lvlText w:val="%1"/>
      <w:lvlJc w:val="left"/>
      <w:pPr>
        <w:ind w:left="432" w:hanging="432"/>
      </w:pPr>
    </w:lvl>
    <w:lvl w:ilvl="1">
      <w:start w:val="1"/>
      <w:numFmt w:val="decimal"/>
      <w:pStyle w:val="Titre2"/>
      <w:lvlText w:val="%1.%2"/>
      <w:lvlJc w:val="left"/>
      <w:pPr>
        <w:ind w:left="1286" w:hanging="576"/>
      </w:pPr>
      <w:rPr>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2">
      <w:start w:val="1"/>
      <w:numFmt w:val="decimal"/>
      <w:pStyle w:val="Titre3"/>
      <w:lvlText w:val="%1.%2.%3"/>
      <w:lvlJc w:val="left"/>
      <w:pPr>
        <w:ind w:left="2280" w:hanging="720"/>
      </w:pPr>
    </w:lvl>
    <w:lvl w:ilvl="3">
      <w:start w:val="1"/>
      <w:numFmt w:val="decimal"/>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num w:numId="1" w16cid:durableId="1612317621">
    <w:abstractNumId w:val="2"/>
  </w:num>
  <w:num w:numId="2" w16cid:durableId="1168670321">
    <w:abstractNumId w:val="6"/>
    <w:lvlOverride w:ilvl="0">
      <w:lvl w:ilvl="0">
        <w:start w:val="1"/>
        <w:numFmt w:val="decimal"/>
        <w:pStyle w:val="EXP-Titre1"/>
        <w:lvlText w:val="%1."/>
        <w:lvlJc w:val="left"/>
        <w:pPr>
          <w:ind w:left="360" w:hanging="360"/>
        </w:pPr>
        <w:rPr>
          <w:b/>
          <w:color w:val="004979"/>
        </w:rPr>
      </w:lvl>
    </w:lvlOverride>
  </w:num>
  <w:num w:numId="3" w16cid:durableId="852452846">
    <w:abstractNumId w:val="4"/>
  </w:num>
  <w:num w:numId="4" w16cid:durableId="533269951">
    <w:abstractNumId w:val="5"/>
  </w:num>
  <w:num w:numId="5" w16cid:durableId="1908373992">
    <w:abstractNumId w:val="8"/>
  </w:num>
  <w:num w:numId="6" w16cid:durableId="1409186016">
    <w:abstractNumId w:val="1"/>
  </w:num>
  <w:num w:numId="7" w16cid:durableId="667513995">
    <w:abstractNumId w:val="0"/>
  </w:num>
  <w:num w:numId="8" w16cid:durableId="44523122">
    <w:abstractNumId w:val="7"/>
  </w:num>
  <w:num w:numId="9" w16cid:durableId="1946231670">
    <w:abstractNumId w:val="7"/>
    <w:lvlOverride w:ilvl="0">
      <w:startOverride w:val="1"/>
    </w:lvlOverride>
  </w:num>
  <w:num w:numId="10" w16cid:durableId="1522158181">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42A"/>
    <w:rsid w:val="000227D2"/>
    <w:rsid w:val="00236098"/>
    <w:rsid w:val="002D742A"/>
    <w:rsid w:val="004268AC"/>
    <w:rsid w:val="00767791"/>
    <w:rsid w:val="00E0059D"/>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FD83C"/>
  <w15:docId w15:val="{B2E87F4F-8D70-4BAF-BE11-DCDAAC6F6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right" w:leader="dot" w:pos="9923"/>
      </w:tabs>
      <w:spacing w:after="240"/>
      <w:ind w:left="360"/>
      <w:jc w:val="both"/>
    </w:pPr>
    <w:rPr>
      <w:rFonts w:ascii="Tw Cen MT" w:hAnsi="Tw Cen MT" w:cs="Arial"/>
      <w:iCs/>
      <w:color w:val="000000"/>
      <w:sz w:val="22"/>
      <w:szCs w:val="22"/>
      <w:lang w:val="fr-FR"/>
    </w:rPr>
  </w:style>
  <w:style w:type="paragraph" w:styleId="Titre1">
    <w:name w:val="heading 1"/>
    <w:basedOn w:val="EXP-Titre1"/>
    <w:next w:val="Normal"/>
    <w:link w:val="Titre1Car"/>
    <w:uiPriority w:val="9"/>
    <w:qFormat/>
    <w:pPr>
      <w:numPr>
        <w:numId w:val="5"/>
      </w:numPr>
      <w:pBdr>
        <w:top w:val="single" w:sz="4" w:space="1" w:color="000000"/>
        <w:left w:val="single" w:sz="4" w:space="4" w:color="000000"/>
        <w:bottom w:val="single" w:sz="4" w:space="1" w:color="000000"/>
        <w:right w:val="single" w:sz="4" w:space="4" w:color="000000"/>
      </w:pBdr>
      <w:shd w:val="clear" w:color="auto" w:fill="1F497D" w:themeFill="text2"/>
      <w:outlineLvl w:val="0"/>
    </w:pPr>
    <w:rPr>
      <w:b/>
    </w:rPr>
  </w:style>
  <w:style w:type="paragraph" w:styleId="Titre2">
    <w:name w:val="heading 2"/>
    <w:basedOn w:val="EXP-Titre2"/>
    <w:next w:val="Normal"/>
    <w:link w:val="Titre2Car"/>
    <w:uiPriority w:val="9"/>
    <w:unhideWhenUsed/>
    <w:qFormat/>
    <w:pPr>
      <w:numPr>
        <w:numId w:val="5"/>
      </w:numPr>
      <w:shd w:val="clear" w:color="auto" w:fill="95B3D7" w:themeFill="accent1" w:themeFillTint="99"/>
      <w:outlineLvl w:val="1"/>
    </w:pPr>
    <w:rPr>
      <w:shd w:val="clear" w:color="auto" w:fill="auto"/>
    </w:rPr>
  </w:style>
  <w:style w:type="paragraph" w:styleId="Titre3">
    <w:name w:val="heading 3"/>
    <w:basedOn w:val="Normal"/>
    <w:next w:val="Normal"/>
    <w:link w:val="Titre3Car"/>
    <w:uiPriority w:val="9"/>
    <w:unhideWhenUsed/>
    <w:qFormat/>
    <w:pPr>
      <w:keepNext/>
      <w:keepLines/>
      <w:numPr>
        <w:ilvl w:val="2"/>
        <w:numId w:val="5"/>
      </w:numPr>
      <w:spacing w:before="40"/>
      <w:outlineLvl w:val="2"/>
    </w:pPr>
    <w:rPr>
      <w:rFonts w:asciiTheme="majorHAnsi" w:eastAsiaTheme="majorEastAsia" w:hAnsiTheme="majorHAnsi" w:cstheme="majorBidi"/>
      <w:b/>
      <w:bCs/>
      <w:color w:val="243F60" w:themeColor="accent1" w:themeShade="7F"/>
    </w:rPr>
  </w:style>
  <w:style w:type="paragraph" w:styleId="Titre4">
    <w:name w:val="heading 4"/>
    <w:basedOn w:val="Normal"/>
    <w:next w:val="Normal"/>
    <w:link w:val="Titre4Car"/>
    <w:uiPriority w:val="9"/>
    <w:unhideWhenUsed/>
    <w:qFormat/>
    <w:pPr>
      <w:keepNext/>
      <w:keepLines/>
      <w:spacing w:before="40" w:after="0"/>
      <w:outlineLvl w:val="3"/>
    </w:pPr>
    <w:rPr>
      <w:rFonts w:asciiTheme="majorHAnsi" w:eastAsiaTheme="majorEastAsia" w:hAnsiTheme="majorHAnsi" w:cstheme="majorBidi"/>
      <w:i/>
      <w:iCs w:val="0"/>
      <w:color w:val="365F91" w:themeColor="accent1" w:themeShade="BF"/>
    </w:rPr>
  </w:style>
  <w:style w:type="paragraph" w:styleId="Titre5">
    <w:name w:val="heading 5"/>
    <w:basedOn w:val="Normal"/>
    <w:next w:val="Normal"/>
    <w:link w:val="Titre5Car"/>
    <w:uiPriority w:val="9"/>
    <w:unhideWhenUsed/>
    <w:qFormat/>
    <w:pPr>
      <w:keepNext/>
      <w:keepLines/>
      <w:numPr>
        <w:ilvl w:val="4"/>
        <w:numId w:val="5"/>
      </w:numPr>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unhideWhenUsed/>
    <w:qFormat/>
    <w:pPr>
      <w:keepNext/>
      <w:keepLines/>
      <w:numPr>
        <w:ilvl w:val="5"/>
        <w:numId w:val="5"/>
      </w:numPr>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unhideWhenUsed/>
    <w:qFormat/>
    <w:pPr>
      <w:keepNext/>
      <w:keepLines/>
      <w:numPr>
        <w:ilvl w:val="6"/>
        <w:numId w:val="5"/>
      </w:numPr>
      <w:spacing w:before="40" w:after="0"/>
      <w:outlineLvl w:val="6"/>
    </w:pPr>
    <w:rPr>
      <w:rFonts w:asciiTheme="majorHAnsi" w:eastAsiaTheme="majorEastAsia" w:hAnsiTheme="majorHAnsi" w:cstheme="majorBidi"/>
      <w:i/>
      <w:iCs w:val="0"/>
      <w:color w:val="243F60" w:themeColor="accent1" w:themeShade="7F"/>
    </w:rPr>
  </w:style>
  <w:style w:type="paragraph" w:styleId="Titre8">
    <w:name w:val="heading 8"/>
    <w:basedOn w:val="Normal"/>
    <w:next w:val="Normal"/>
    <w:link w:val="Titre8Car"/>
    <w:uiPriority w:val="9"/>
    <w:semiHidden/>
    <w:unhideWhenUsed/>
    <w:qFormat/>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pPr>
      <w:keepNext/>
      <w:keepLines/>
      <w:numPr>
        <w:ilvl w:val="8"/>
        <w:numId w:val="5"/>
      </w:numPr>
      <w:spacing w:before="40" w:after="0"/>
      <w:outlineLvl w:val="8"/>
    </w:pPr>
    <w:rPr>
      <w:rFonts w:asciiTheme="majorHAnsi" w:eastAsiaTheme="majorEastAsia" w:hAnsiTheme="majorHAnsi" w:cstheme="majorBidi"/>
      <w:i/>
      <w:iCs w:val="0"/>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2">
    <w:name w:val="Plain Table 2"/>
    <w:basedOn w:val="TableauNormal"/>
    <w:uiPriority w:val="59"/>
    <w:pPr>
      <w:spacing w:after="0"/>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pPr>
      <w:spacing w:after="0"/>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pPr>
      <w:spacing w:after="0"/>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pPr>
      <w:spacing w:after="0"/>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pPr>
      <w:spacing w:after="0"/>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pPr>
      <w:spacing w:after="0"/>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pPr>
      <w:spacing w:after="0"/>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pPr>
      <w:spacing w:after="0"/>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pPr>
      <w:spacing w:after="0"/>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pPr>
      <w:spacing w:after="0"/>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pPr>
      <w:spacing w:after="0"/>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pPr>
      <w:spacing w:after="0"/>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pPr>
      <w:spacing w:after="0"/>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pPr>
      <w:spacing w:after="0"/>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pPr>
      <w:spacing w:after="0"/>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pPr>
      <w:spacing w:after="0"/>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pPr>
      <w:spacing w:after="0"/>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pPr>
      <w:spacing w:after="0"/>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pPr>
      <w:spacing w:after="0"/>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pPr>
      <w:spacing w:after="0"/>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pPr>
      <w:spacing w:after="0"/>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pPr>
      <w:spacing w:after="0"/>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pPr>
      <w:spacing w:after="0"/>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pPr>
      <w:spacing w:after="0"/>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pPr>
      <w:spacing w:after="0"/>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pPr>
      <w:spacing w:after="0"/>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pPr>
      <w:spacing w:after="0"/>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pPr>
      <w:spacing w:after="0"/>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pPr>
      <w:spacing w:after="0"/>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pPr>
      <w:spacing w:after="0"/>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pPr>
      <w:spacing w:after="0"/>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pPr>
      <w:spacing w:after="0"/>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pPr>
      <w:spacing w:after="0"/>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pPr>
      <w:spacing w:after="0"/>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pPr>
      <w:spacing w:after="0"/>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pPr>
      <w:spacing w:after="0"/>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pPr>
      <w:spacing w:after="0"/>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pPr>
      <w:spacing w:after="0"/>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pPr>
      <w:spacing w:after="0"/>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pPr>
      <w:spacing w:after="0"/>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pPr>
      <w:spacing w:after="0"/>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pPr>
      <w:spacing w:after="0"/>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pPr>
      <w:spacing w:after="0"/>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pPr>
      <w:spacing w:after="0"/>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pPr>
      <w:spacing w:after="0"/>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pPr>
      <w:spacing w:after="0"/>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pPr>
      <w:spacing w:after="0"/>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pPr>
      <w:spacing w:after="0"/>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pPr>
      <w:spacing w:after="0"/>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pPr>
      <w:spacing w:after="0"/>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pPr>
      <w:spacing w:after="0"/>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pPr>
      <w:spacing w:after="0"/>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pPr>
      <w:spacing w:after="0"/>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pPr>
      <w:spacing w:after="0"/>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pPr>
      <w:spacing w:after="0"/>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pPr>
      <w:spacing w:after="0"/>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pPr>
      <w:spacing w:after="0"/>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pPr>
      <w:spacing w:after="0"/>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pPr>
      <w:spacing w:after="0"/>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pPr>
      <w:spacing w:after="0"/>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pPr>
      <w:spacing w:after="0"/>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pPr>
      <w:spacing w:after="0"/>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pPr>
      <w:spacing w:after="0"/>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pPr>
      <w:spacing w:after="0"/>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pPr>
      <w:spacing w:after="0"/>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pPr>
      <w:spacing w:after="0"/>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pPr>
      <w:spacing w:after="0"/>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pPr>
      <w:spacing w:after="0"/>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pPr>
      <w:spacing w:after="0"/>
    </w:pPr>
    <w:rPr>
      <w:color w:val="404040"/>
      <w:lang w:val="fr-FR"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pPr>
    <w:rPr>
      <w:color w:val="404040"/>
      <w:lang w:val="fr-FR" w:eastAsia="fr-FR"/>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pPr>
      <w:spacing w:after="0"/>
    </w:pPr>
    <w:rPr>
      <w:color w:val="404040"/>
      <w:lang w:val="fr-FR" w:eastAsia="fr-FR"/>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pPr>
      <w:spacing w:after="0"/>
    </w:pPr>
    <w:rPr>
      <w:color w:val="404040"/>
      <w:lang w:val="fr-FR" w:eastAsia="fr-FR"/>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pPr>
      <w:spacing w:after="0"/>
    </w:pPr>
    <w:rPr>
      <w:color w:val="404040"/>
      <w:lang w:val="fr-FR" w:eastAsia="fr-FR"/>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pPr>
      <w:spacing w:after="0"/>
    </w:pPr>
    <w:rPr>
      <w:color w:val="404040"/>
      <w:lang w:val="fr-FR" w:eastAsia="fr-FR"/>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pPr>
      <w:spacing w:after="0"/>
    </w:pPr>
    <w:rPr>
      <w:color w:val="404040"/>
      <w:lang w:val="fr-FR" w:eastAsia="fr-FR"/>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pPr>
      <w:spacing w:after="0"/>
    </w:pPr>
    <w:rPr>
      <w:color w:val="404040"/>
      <w:lang w:val="fr-FR"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pPr>
    <w:rPr>
      <w:color w:val="404040"/>
      <w:lang w:val="fr-FR" w:eastAsia="fr-FR"/>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pPr>
      <w:spacing w:after="0"/>
    </w:pPr>
    <w:rPr>
      <w:color w:val="404040"/>
      <w:lang w:val="fr-FR" w:eastAsia="fr-FR"/>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pPr>
      <w:spacing w:after="0"/>
    </w:pPr>
    <w:rPr>
      <w:color w:val="404040"/>
      <w:lang w:val="fr-FR" w:eastAsia="fr-FR"/>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pPr>
      <w:spacing w:after="0"/>
    </w:pPr>
    <w:rPr>
      <w:color w:val="404040"/>
      <w:lang w:val="fr-FR" w:eastAsia="fr-FR"/>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pPr>
      <w:spacing w:after="0"/>
    </w:pPr>
    <w:rPr>
      <w:color w:val="404040"/>
      <w:lang w:val="fr-FR" w:eastAsia="fr-FR"/>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pPr>
      <w:spacing w:after="0"/>
    </w:pPr>
    <w:rPr>
      <w:color w:val="404040"/>
      <w:lang w:val="fr-FR" w:eastAsia="fr-FR"/>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pPr>
      <w:spacing w:after="0"/>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pPr>
      <w:spacing w:after="0"/>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pPr>
      <w:spacing w:after="0"/>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pPr>
      <w:spacing w:after="0"/>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pPr>
      <w:spacing w:after="0"/>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pPr>
      <w:spacing w:after="0"/>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Heading3Char">
    <w:name w:val="Heading 3 Char"/>
    <w:basedOn w:val="Policepardfaut"/>
    <w:uiPriority w:val="9"/>
    <w:rPr>
      <w:rFonts w:ascii="Arial" w:eastAsia="Arial" w:hAnsi="Arial" w:cs="Arial"/>
      <w:color w:val="365F91" w:themeColor="accent1" w:themeShade="BF"/>
      <w:sz w:val="28"/>
      <w:szCs w:val="28"/>
    </w:rPr>
  </w:style>
  <w:style w:type="character" w:customStyle="1" w:styleId="Heading4Char">
    <w:name w:val="Heading 4 Char"/>
    <w:basedOn w:val="Policepardfaut"/>
    <w:uiPriority w:val="9"/>
    <w:rPr>
      <w:rFonts w:ascii="Arial" w:eastAsia="Arial" w:hAnsi="Arial" w:cs="Arial"/>
      <w:i/>
      <w:iCs/>
      <w:color w:val="365F91" w:themeColor="accent1" w:themeShade="BF"/>
    </w:rPr>
  </w:style>
  <w:style w:type="character" w:customStyle="1" w:styleId="Heading5Char">
    <w:name w:val="Heading 5 Char"/>
    <w:basedOn w:val="Policepardfaut"/>
    <w:uiPriority w:val="9"/>
    <w:rPr>
      <w:rFonts w:ascii="Arial" w:eastAsia="Arial" w:hAnsi="Arial" w:cs="Arial"/>
      <w:color w:val="365F9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ind w:left="360"/>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styleId="Accentuation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Accentuationlgre">
    <w:name w:val="Subtle Emphasis"/>
    <w:basedOn w:val="Policepardfaut"/>
    <w:uiPriority w:val="19"/>
    <w:qFormat/>
    <w:rPr>
      <w:i/>
      <w:iCs/>
      <w:color w:val="404040" w:themeColor="text1" w:themeTint="BF"/>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Tabledesillustrations">
    <w:name w:val="table of figures"/>
    <w:basedOn w:val="Normal"/>
    <w:next w:val="Normal"/>
    <w:uiPriority w:val="99"/>
    <w:unhideWhenUsed/>
    <w:pPr>
      <w:spacing w:after="0"/>
    </w:pPr>
  </w:style>
  <w:style w:type="paragraph" w:styleId="En-tte">
    <w:name w:val="header"/>
    <w:basedOn w:val="Normal"/>
    <w:link w:val="En-tteCar"/>
    <w:uiPriority w:val="99"/>
    <w:unhideWhenUsed/>
    <w:pPr>
      <w:tabs>
        <w:tab w:val="center" w:pos="4536"/>
        <w:tab w:val="right" w:pos="9072"/>
      </w:tabs>
      <w:spacing w:after="0"/>
    </w:pPr>
  </w:style>
  <w:style w:type="character" w:customStyle="1" w:styleId="En-tteCar">
    <w:name w:val="En-tête Car"/>
    <w:basedOn w:val="Policepardfaut"/>
    <w:link w:val="En-tte"/>
    <w:uiPriority w:val="99"/>
    <w:rPr>
      <w:sz w:val="24"/>
      <w:szCs w:val="24"/>
      <w:lang w:val="fr-FR"/>
    </w:rPr>
  </w:style>
  <w:style w:type="paragraph" w:styleId="Pieddepage">
    <w:name w:val="footer"/>
    <w:basedOn w:val="Normal"/>
    <w:link w:val="PieddepageCar"/>
    <w:uiPriority w:val="99"/>
    <w:unhideWhenUsed/>
    <w:pPr>
      <w:tabs>
        <w:tab w:val="center" w:pos="4536"/>
        <w:tab w:val="right" w:pos="9072"/>
      </w:tabs>
      <w:spacing w:after="0"/>
    </w:pPr>
  </w:style>
  <w:style w:type="character" w:customStyle="1" w:styleId="PieddepageCar">
    <w:name w:val="Pied de page Car"/>
    <w:basedOn w:val="Policepardfaut"/>
    <w:link w:val="Pieddepage"/>
    <w:uiPriority w:val="99"/>
    <w:rPr>
      <w:sz w:val="24"/>
      <w:szCs w:val="24"/>
      <w:lang w:val="fr-FR"/>
    </w:rPr>
  </w:style>
  <w:style w:type="paragraph" w:styleId="Paragraphedeliste">
    <w:name w:val="List Paragraph"/>
    <w:basedOn w:val="Normal"/>
    <w:link w:val="ParagraphedelisteCar"/>
    <w:qFormat/>
    <w:pPr>
      <w:numPr>
        <w:numId w:val="4"/>
      </w:numPr>
      <w:spacing w:after="120"/>
    </w:pPr>
  </w:style>
  <w:style w:type="character" w:styleId="Numrodepage">
    <w:name w:val="page number"/>
    <w:basedOn w:val="Policepardfaut"/>
    <w:uiPriority w:val="99"/>
    <w:semiHidden/>
    <w:unhideWhenUsed/>
  </w:style>
  <w:style w:type="numbering" w:styleId="111111">
    <w:name w:val="Outline List 2"/>
    <w:basedOn w:val="Aucuneliste"/>
    <w:uiPriority w:val="99"/>
    <w:semiHidden/>
    <w:unhideWhenUsed/>
    <w:pPr>
      <w:numPr>
        <w:numId w:val="1"/>
      </w:numPr>
    </w:pPr>
  </w:style>
  <w:style w:type="paragraph" w:customStyle="1" w:styleId="EXP-Titre1">
    <w:name w:val="EXP - Titre 1"/>
    <w:basedOn w:val="Paragraphedeliste"/>
    <w:link w:val="EXP-Titre1Car"/>
    <w:pPr>
      <w:numPr>
        <w:numId w:val="2"/>
      </w:numPr>
      <w:spacing w:after="240" w:line="300" w:lineRule="atLeast"/>
    </w:pPr>
    <w:rPr>
      <w:caps/>
      <w:color w:val="FFFFFF" w:themeColor="background1"/>
      <w:shd w:val="clear" w:color="auto" w:fill="004979"/>
    </w:rPr>
  </w:style>
  <w:style w:type="paragraph" w:customStyle="1" w:styleId="EXP-Titre2">
    <w:name w:val="EXP - Titre 2"/>
    <w:basedOn w:val="Paragraphedeliste"/>
    <w:link w:val="EXP-Titre2Car"/>
    <w:pPr>
      <w:numPr>
        <w:ilvl w:val="1"/>
        <w:numId w:val="3"/>
      </w:numPr>
      <w:spacing w:after="240" w:line="300" w:lineRule="atLeast"/>
      <w:ind w:left="709" w:hanging="792"/>
    </w:pPr>
    <w:rPr>
      <w:color w:val="FFFFFF" w:themeColor="background1"/>
      <w:shd w:val="clear" w:color="auto" w:fill="68B1E6"/>
    </w:rPr>
  </w:style>
  <w:style w:type="character" w:customStyle="1" w:styleId="ParagraphedelisteCar">
    <w:name w:val="Paragraphe de liste Car"/>
    <w:basedOn w:val="Policepardfaut"/>
    <w:link w:val="Paragraphedeliste"/>
    <w:qFormat/>
    <w:rPr>
      <w:rFonts w:ascii="Tw Cen MT" w:hAnsi="Tw Cen MT" w:cs="Arial"/>
      <w:iCs/>
      <w:color w:val="000000"/>
      <w:sz w:val="22"/>
      <w:szCs w:val="22"/>
      <w:lang w:val="fr-FR"/>
    </w:rPr>
  </w:style>
  <w:style w:type="character" w:customStyle="1" w:styleId="EXP-Titre1Car">
    <w:name w:val="EXP - Titre 1 Car"/>
    <w:basedOn w:val="ParagraphedelisteCar"/>
    <w:link w:val="EXP-Titre1"/>
    <w:rPr>
      <w:rFonts w:ascii="Tw Cen MT" w:hAnsi="Tw Cen MT" w:cs="Arial"/>
      <w:iCs/>
      <w:caps/>
      <w:color w:val="FFFFFF" w:themeColor="background1"/>
      <w:sz w:val="22"/>
      <w:szCs w:val="22"/>
      <w:lang w:val="fr-FR"/>
    </w:rPr>
  </w:style>
  <w:style w:type="paragraph" w:customStyle="1" w:styleId="EXP-Titre3">
    <w:name w:val="EXP - Titre 3"/>
    <w:basedOn w:val="Normal"/>
    <w:link w:val="EXP-Titre3Car"/>
    <w:rPr>
      <w:b/>
      <w:color w:val="004979"/>
      <w:shd w:val="clear" w:color="auto" w:fill="E9E4DE"/>
    </w:rPr>
  </w:style>
  <w:style w:type="character" w:customStyle="1" w:styleId="EXP-Titre2Car">
    <w:name w:val="EXP - Titre 2 Car"/>
    <w:basedOn w:val="ParagraphedelisteCar"/>
    <w:link w:val="EXP-Titre2"/>
    <w:rPr>
      <w:rFonts w:ascii="Tw Cen MT" w:hAnsi="Tw Cen MT" w:cs="Arial"/>
      <w:iCs/>
      <w:color w:val="FFFFFF" w:themeColor="background1"/>
      <w:sz w:val="22"/>
      <w:szCs w:val="22"/>
      <w:lang w:val="fr-FR"/>
    </w:rPr>
  </w:style>
  <w:style w:type="paragraph" w:customStyle="1" w:styleId="EXP-Titre4">
    <w:name w:val="EXP - Titre 4"/>
    <w:basedOn w:val="Normal"/>
    <w:link w:val="EXP-Titre4Car"/>
    <w:rPr>
      <w:b/>
      <w:color w:val="004979"/>
      <w:u w:val="single"/>
    </w:rPr>
  </w:style>
  <w:style w:type="character" w:customStyle="1" w:styleId="EXP-Titre3Car">
    <w:name w:val="EXP - Titre 3 Car"/>
    <w:basedOn w:val="Policepardfaut"/>
    <w:link w:val="EXP-Titre3"/>
    <w:rPr>
      <w:rFonts w:ascii="Arial" w:hAnsi="Arial" w:cs="Arial"/>
      <w:b/>
      <w:color w:val="004979"/>
      <w:sz w:val="22"/>
      <w:szCs w:val="22"/>
      <w:lang w:val="fr-FR"/>
    </w:rPr>
  </w:style>
  <w:style w:type="paragraph" w:customStyle="1" w:styleId="EXP-Contenu">
    <w:name w:val="EXP - Contenu"/>
    <w:basedOn w:val="Normal"/>
    <w:link w:val="EXP-ContenuCar"/>
  </w:style>
  <w:style w:type="character" w:customStyle="1" w:styleId="EXP-Titre4Car">
    <w:name w:val="EXP - Titre 4 Car"/>
    <w:basedOn w:val="Policepardfaut"/>
    <w:link w:val="EXP-Titre4"/>
    <w:rPr>
      <w:rFonts w:ascii="Arial" w:hAnsi="Arial" w:cs="Arial"/>
      <w:b/>
      <w:color w:val="004979"/>
      <w:sz w:val="22"/>
      <w:szCs w:val="22"/>
      <w:u w:val="single"/>
      <w:lang w:val="fr-FR"/>
    </w:rPr>
  </w:style>
  <w:style w:type="character" w:customStyle="1" w:styleId="Titre1Car">
    <w:name w:val="Titre 1 Car"/>
    <w:basedOn w:val="Policepardfaut"/>
    <w:link w:val="Titre1"/>
    <w:uiPriority w:val="9"/>
    <w:rPr>
      <w:rFonts w:ascii="Tw Cen MT" w:hAnsi="Tw Cen MT" w:cs="Arial"/>
      <w:b/>
      <w:iCs/>
      <w:caps/>
      <w:color w:val="FFFFFF" w:themeColor="background1"/>
      <w:sz w:val="22"/>
      <w:szCs w:val="22"/>
      <w:shd w:val="clear" w:color="auto" w:fill="1F497D" w:themeFill="text2"/>
      <w:lang w:val="fr-FR"/>
    </w:rPr>
  </w:style>
  <w:style w:type="character" w:customStyle="1" w:styleId="EXP-ContenuCar">
    <w:name w:val="EXP - Contenu Car"/>
    <w:basedOn w:val="Policepardfaut"/>
    <w:link w:val="EXP-Contenu"/>
    <w:rPr>
      <w:rFonts w:ascii="Arial" w:hAnsi="Arial" w:cs="Arial"/>
      <w:sz w:val="22"/>
      <w:szCs w:val="22"/>
      <w:lang w:val="fr-FR"/>
    </w:rPr>
  </w:style>
  <w:style w:type="character" w:customStyle="1" w:styleId="Titre2Car">
    <w:name w:val="Titre 2 Car"/>
    <w:basedOn w:val="Policepardfaut"/>
    <w:link w:val="Titre2"/>
    <w:uiPriority w:val="9"/>
    <w:rPr>
      <w:rFonts w:ascii="Tw Cen MT" w:hAnsi="Tw Cen MT" w:cs="Arial"/>
      <w:iCs/>
      <w:color w:val="FFFFFF" w:themeColor="background1"/>
      <w:sz w:val="22"/>
      <w:szCs w:val="22"/>
      <w:shd w:val="clear" w:color="auto" w:fill="95B3D7" w:themeFill="accent1" w:themeFillTint="99"/>
      <w:lang w:val="fr-FR"/>
    </w:rPr>
  </w:style>
  <w:style w:type="character" w:customStyle="1" w:styleId="Titre3Car">
    <w:name w:val="Titre 3 Car"/>
    <w:basedOn w:val="Policepardfaut"/>
    <w:link w:val="Titre3"/>
    <w:uiPriority w:val="9"/>
    <w:rPr>
      <w:rFonts w:asciiTheme="majorHAnsi" w:eastAsiaTheme="majorEastAsia" w:hAnsiTheme="majorHAnsi" w:cstheme="majorBidi"/>
      <w:b/>
      <w:bCs/>
      <w:iCs/>
      <w:color w:val="243F60" w:themeColor="accent1" w:themeShade="7F"/>
      <w:sz w:val="22"/>
      <w:szCs w:val="22"/>
      <w:lang w:val="fr-FR"/>
    </w:rPr>
  </w:style>
  <w:style w:type="paragraph" w:styleId="TM1">
    <w:name w:val="toc 1"/>
    <w:basedOn w:val="Sansinterligne"/>
    <w:next w:val="Normal"/>
    <w:uiPriority w:val="39"/>
    <w:unhideWhenUsed/>
    <w:pPr>
      <w:spacing w:after="100"/>
    </w:pPr>
    <w:rPr>
      <w:rFonts w:ascii="Arial" w:hAnsi="Arial"/>
      <w:b/>
      <w:caps/>
      <w:color w:val="004979"/>
    </w:rPr>
  </w:style>
  <w:style w:type="paragraph" w:styleId="TM2">
    <w:name w:val="toc 2"/>
    <w:basedOn w:val="Sansinterligne"/>
    <w:next w:val="Normal"/>
    <w:uiPriority w:val="39"/>
    <w:unhideWhenUsed/>
    <w:pPr>
      <w:spacing w:after="100"/>
      <w:ind w:left="240"/>
    </w:pPr>
    <w:rPr>
      <w:rFonts w:ascii="Arial" w:hAnsi="Arial"/>
      <w:color w:val="68B1E6"/>
    </w:rPr>
  </w:style>
  <w:style w:type="character" w:styleId="Lienhypertexte">
    <w:name w:val="Hyperlink"/>
    <w:basedOn w:val="Policepardfaut"/>
    <w:uiPriority w:val="99"/>
    <w:unhideWhenUsed/>
    <w:rPr>
      <w:color w:val="0000FF" w:themeColor="hyperlink"/>
      <w:u w:val="single"/>
    </w:r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cs="Times New Roman"/>
      <w:lang w:eastAsia="fr-FR"/>
    </w:rPr>
  </w:style>
  <w:style w:type="paragraph" w:styleId="Notedebasdepage">
    <w:name w:val="footnote text"/>
    <w:basedOn w:val="Normal"/>
    <w:link w:val="NotedebasdepageCar"/>
    <w:semiHidden/>
    <w:unhideWhenUsed/>
    <w:qFormat/>
    <w:pPr>
      <w:spacing w:after="0"/>
    </w:pPr>
    <w:rPr>
      <w:sz w:val="20"/>
      <w:szCs w:val="20"/>
    </w:rPr>
  </w:style>
  <w:style w:type="character" w:customStyle="1" w:styleId="NotedebasdepageCar">
    <w:name w:val="Note de bas de page Car"/>
    <w:basedOn w:val="Policepardfaut"/>
    <w:link w:val="Notedebasdepage"/>
    <w:semiHidden/>
    <w:rPr>
      <w:lang w:val="fr-FR"/>
    </w:rPr>
  </w:style>
  <w:style w:type="character" w:styleId="Appelnotedebasdep">
    <w:name w:val="footnote reference"/>
    <w:basedOn w:val="Policepardfaut"/>
    <w:link w:val="BVIfnrCharCar1CarChar"/>
    <w:unhideWhenUsed/>
    <w:rPr>
      <w:vertAlign w:val="superscript"/>
    </w:rPr>
  </w:style>
  <w:style w:type="paragraph" w:styleId="En-ttedetabledesmatires">
    <w:name w:val="TOC Heading"/>
    <w:basedOn w:val="Titre1"/>
    <w:next w:val="Normal"/>
    <w:uiPriority w:val="39"/>
    <w:unhideWhenUsed/>
    <w:qFormat/>
    <w:pPr>
      <w:spacing w:line="259" w:lineRule="auto"/>
      <w:outlineLvl w:val="9"/>
    </w:pPr>
    <w:rPr>
      <w:lang w:eastAsia="fr-FR"/>
    </w:rPr>
  </w:style>
  <w:style w:type="paragraph" w:styleId="Sansinterligne">
    <w:name w:val="No Spacing"/>
    <w:uiPriority w:val="1"/>
    <w:qFormat/>
    <w:pPr>
      <w:spacing w:after="0"/>
    </w:pPr>
    <w:rPr>
      <w:sz w:val="24"/>
      <w:szCs w:val="24"/>
      <w:lang w:val="fr-FR"/>
    </w:rPr>
  </w:style>
  <w:style w:type="paragraph" w:customStyle="1" w:styleId="EXPsous-titrefonc">
    <w:name w:val="EXP_sous-titre foncé"/>
    <w:basedOn w:val="Normal"/>
    <w:link w:val="EXPsous-titrefoncCar"/>
    <w:qFormat/>
    <w:pPr>
      <w:spacing w:after="0"/>
    </w:pPr>
    <w:rPr>
      <w:color w:val="FFFFFF" w:themeColor="background1"/>
      <w:sz w:val="50"/>
      <w:szCs w:val="50"/>
      <w:shd w:val="clear" w:color="auto" w:fill="004979"/>
    </w:rPr>
  </w:style>
  <w:style w:type="paragraph" w:customStyle="1" w:styleId="EXP-soustitredfonc">
    <w:name w:val="EXP-sous titre défoncé"/>
    <w:basedOn w:val="Normal"/>
    <w:link w:val="EXP-soustitredfoncCar"/>
    <w:qFormat/>
    <w:pPr>
      <w:spacing w:after="0"/>
    </w:pPr>
    <w:rPr>
      <w:color w:val="C0B5B2"/>
      <w:sz w:val="50"/>
      <w:szCs w:val="50"/>
      <w:shd w:val="clear" w:color="auto" w:fill="FFFFFF"/>
    </w:rPr>
  </w:style>
  <w:style w:type="character" w:customStyle="1" w:styleId="EXPsous-titrefoncCar">
    <w:name w:val="EXP_sous-titre foncé Car"/>
    <w:basedOn w:val="Policepardfaut"/>
    <w:link w:val="EXPsous-titrefonc"/>
    <w:rPr>
      <w:rFonts w:ascii="Arial" w:hAnsi="Arial" w:cs="Arial"/>
      <w:color w:val="FFFFFF" w:themeColor="background1"/>
      <w:sz w:val="50"/>
      <w:szCs w:val="50"/>
      <w:lang w:val="fr-FR"/>
    </w:rPr>
  </w:style>
  <w:style w:type="table" w:styleId="Grilledutableau">
    <w:name w:val="Table Grid"/>
    <w:basedOn w:val="TableauNormal"/>
    <w:uiPriority w:val="59"/>
    <w:pPr>
      <w:spacing w:after="0"/>
    </w:pPr>
    <w:rPr>
      <w:rFonts w:eastAsiaTheme="minorHAnsi"/>
      <w:sz w:val="22"/>
      <w:szCs w:val="22"/>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XP-soustitredfoncCar">
    <w:name w:val="EXP-sous titre défoncé Car"/>
    <w:basedOn w:val="Policepardfaut"/>
    <w:link w:val="EXP-soustitredfonc"/>
    <w:rPr>
      <w:rFonts w:ascii="Arial" w:hAnsi="Arial" w:cs="Arial"/>
      <w:color w:val="C0B5B2"/>
      <w:sz w:val="50"/>
      <w:szCs w:val="50"/>
      <w:lang w:val="fr-FR"/>
    </w:rPr>
  </w:style>
  <w:style w:type="paragraph" w:customStyle="1" w:styleId="2Tableaunormal">
    <w:name w:val="2Tableau_normal"/>
    <w:basedOn w:val="Normal"/>
    <w:link w:val="2TableaunormalCar"/>
    <w:pPr>
      <w:tabs>
        <w:tab w:val="clear" w:pos="9923"/>
      </w:tabs>
      <w:spacing w:after="60"/>
      <w:ind w:left="0"/>
    </w:pPr>
    <w:rPr>
      <w:rFonts w:cstheme="minorBidi"/>
      <w:sz w:val="20"/>
      <w:lang w:eastAsia="en-US"/>
    </w:rPr>
  </w:style>
  <w:style w:type="character" w:customStyle="1" w:styleId="2TableaunormalCar">
    <w:name w:val="2Tableau_normal Car"/>
    <w:basedOn w:val="Policepardfaut"/>
    <w:link w:val="2Tableaunormal"/>
    <w:rPr>
      <w:rFonts w:ascii="Arial" w:hAnsi="Arial"/>
      <w:szCs w:val="22"/>
      <w:lang w:val="fr-FR" w:eastAsia="en-US"/>
    </w:rPr>
  </w:style>
  <w:style w:type="character" w:customStyle="1" w:styleId="Mentionnonrsolue1">
    <w:name w:val="Mention non résolue1"/>
    <w:basedOn w:val="Policepardfaut"/>
    <w:uiPriority w:val="99"/>
    <w:semiHidden/>
    <w:unhideWhenUsed/>
    <w:rPr>
      <w:color w:val="605E5C"/>
      <w:shd w:val="clear" w:color="auto" w:fill="E1DFDD"/>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fontstyle01">
    <w:name w:val="fontstyle01"/>
    <w:basedOn w:val="Policepardfaut"/>
    <w:rPr>
      <w:rFonts w:ascii="Verdana-Bold" w:hAnsi="Verdana-Bold" w:hint="default"/>
      <w:b/>
      <w:bCs/>
      <w:i w:val="0"/>
      <w:iCs w:val="0"/>
      <w:color w:val="000000"/>
      <w:sz w:val="20"/>
      <w:szCs w:val="20"/>
    </w:rPr>
  </w:style>
  <w:style w:type="character" w:customStyle="1" w:styleId="fontstyle21">
    <w:name w:val="fontstyle21"/>
    <w:basedOn w:val="Policepardfaut"/>
    <w:rPr>
      <w:rFonts w:ascii="Verdana" w:hAnsi="Verdana" w:hint="default"/>
      <w:b w:val="0"/>
      <w:bCs w:val="0"/>
      <w:i w:val="0"/>
      <w:iCs w:val="0"/>
      <w:color w:val="000000"/>
      <w:sz w:val="18"/>
      <w:szCs w:val="18"/>
    </w:rPr>
  </w:style>
  <w:style w:type="paragraph" w:styleId="Lgende">
    <w:name w:val="caption"/>
    <w:basedOn w:val="Normal"/>
    <w:next w:val="Normal"/>
    <w:uiPriority w:val="35"/>
    <w:unhideWhenUsed/>
    <w:qFormat/>
    <w:pPr>
      <w:spacing w:after="200"/>
    </w:pPr>
    <w:rPr>
      <w:i/>
      <w:iCs w:val="0"/>
      <w:color w:val="1F497D" w:themeColor="text2"/>
      <w:sz w:val="18"/>
      <w:szCs w:val="18"/>
    </w:rPr>
  </w:style>
  <w:style w:type="character" w:customStyle="1" w:styleId="Titre4Car">
    <w:name w:val="Titre 4 Car"/>
    <w:basedOn w:val="Policepardfaut"/>
    <w:link w:val="Titre4"/>
    <w:uiPriority w:val="9"/>
    <w:rPr>
      <w:rFonts w:asciiTheme="majorHAnsi" w:eastAsiaTheme="majorEastAsia" w:hAnsiTheme="majorHAnsi" w:cstheme="majorBidi"/>
      <w:i/>
      <w:iCs/>
      <w:color w:val="365F91" w:themeColor="accent1" w:themeShade="BF"/>
      <w:sz w:val="22"/>
      <w:szCs w:val="22"/>
      <w:lang w:val="fr-FR"/>
    </w:rPr>
  </w:style>
  <w:style w:type="paragraph" w:styleId="Citation">
    <w:name w:val="Quote"/>
    <w:basedOn w:val="Normal"/>
    <w:next w:val="Normal"/>
    <w:link w:val="CitationCar"/>
    <w:uiPriority w:val="29"/>
    <w:qFormat/>
    <w:pPr>
      <w:spacing w:before="200" w:after="160"/>
      <w:ind w:left="864" w:right="864"/>
      <w:jc w:val="center"/>
    </w:pPr>
    <w:rPr>
      <w:i/>
      <w:iCs w:val="0"/>
      <w:color w:val="404040" w:themeColor="text1" w:themeTint="BF"/>
    </w:rPr>
  </w:style>
  <w:style w:type="character" w:customStyle="1" w:styleId="CitationCar">
    <w:name w:val="Citation Car"/>
    <w:basedOn w:val="Policepardfaut"/>
    <w:link w:val="Citation"/>
    <w:uiPriority w:val="29"/>
    <w:rPr>
      <w:rFonts w:ascii="Arial" w:hAnsi="Arial" w:cs="Arial"/>
      <w:i/>
      <w:iCs/>
      <w:color w:val="404040" w:themeColor="text1" w:themeTint="BF"/>
      <w:sz w:val="22"/>
      <w:szCs w:val="22"/>
      <w:lang w:val="en-GB"/>
    </w:rPr>
  </w:style>
  <w:style w:type="character" w:customStyle="1" w:styleId="Titre5Car">
    <w:name w:val="Titre 5 Car"/>
    <w:basedOn w:val="Policepardfaut"/>
    <w:link w:val="Titre5"/>
    <w:uiPriority w:val="9"/>
    <w:rPr>
      <w:rFonts w:asciiTheme="majorHAnsi" w:eastAsiaTheme="majorEastAsia" w:hAnsiTheme="majorHAnsi" w:cstheme="majorBidi"/>
      <w:iCs/>
      <w:color w:val="365F91" w:themeColor="accent1" w:themeShade="BF"/>
      <w:sz w:val="22"/>
      <w:szCs w:val="22"/>
      <w:lang w:val="fr-FR"/>
    </w:rPr>
  </w:style>
  <w:style w:type="character" w:customStyle="1" w:styleId="Titre6Car">
    <w:name w:val="Titre 6 Car"/>
    <w:basedOn w:val="Policepardfaut"/>
    <w:link w:val="Titre6"/>
    <w:uiPriority w:val="9"/>
    <w:rPr>
      <w:rFonts w:asciiTheme="majorHAnsi" w:eastAsiaTheme="majorEastAsia" w:hAnsiTheme="majorHAnsi" w:cstheme="majorBidi"/>
      <w:iCs/>
      <w:color w:val="243F60" w:themeColor="accent1" w:themeShade="7F"/>
      <w:sz w:val="22"/>
      <w:szCs w:val="22"/>
      <w:lang w:val="fr-FR"/>
    </w:rPr>
  </w:style>
  <w:style w:type="character" w:customStyle="1" w:styleId="Titre7Car">
    <w:name w:val="Titre 7 Car"/>
    <w:basedOn w:val="Policepardfaut"/>
    <w:link w:val="Titre7"/>
    <w:uiPriority w:val="9"/>
    <w:rPr>
      <w:rFonts w:asciiTheme="majorHAnsi" w:eastAsiaTheme="majorEastAsia" w:hAnsiTheme="majorHAnsi" w:cstheme="majorBidi"/>
      <w:i/>
      <w:color w:val="243F60" w:themeColor="accent1" w:themeShade="7F"/>
      <w:sz w:val="22"/>
      <w:szCs w:val="22"/>
      <w:lang w:val="fr-FR"/>
    </w:rPr>
  </w:style>
  <w:style w:type="character" w:customStyle="1" w:styleId="Titre8Car">
    <w:name w:val="Titre 8 Car"/>
    <w:basedOn w:val="Policepardfaut"/>
    <w:link w:val="Titre8"/>
    <w:uiPriority w:val="9"/>
    <w:semiHidden/>
    <w:rPr>
      <w:rFonts w:asciiTheme="majorHAnsi" w:eastAsiaTheme="majorEastAsia" w:hAnsiTheme="majorHAnsi" w:cstheme="majorBidi"/>
      <w:iCs/>
      <w:color w:val="272727" w:themeColor="text1" w:themeTint="D8"/>
      <w:sz w:val="21"/>
      <w:szCs w:val="21"/>
      <w:lang w:val="fr-FR"/>
    </w:rPr>
  </w:style>
  <w:style w:type="character" w:customStyle="1" w:styleId="Titre9Car">
    <w:name w:val="Titre 9 Car"/>
    <w:basedOn w:val="Policepardfaut"/>
    <w:link w:val="Titre9"/>
    <w:uiPriority w:val="9"/>
    <w:semiHidden/>
    <w:rPr>
      <w:rFonts w:asciiTheme="majorHAnsi" w:eastAsiaTheme="majorEastAsia" w:hAnsiTheme="majorHAnsi" w:cstheme="majorBidi"/>
      <w:i/>
      <w:color w:val="272727" w:themeColor="text1" w:themeTint="D8"/>
      <w:sz w:val="21"/>
      <w:szCs w:val="21"/>
      <w:lang w:val="fr-FR"/>
    </w:rPr>
  </w:style>
  <w:style w:type="character" w:customStyle="1" w:styleId="fontstyle11">
    <w:name w:val="fontstyle11"/>
    <w:basedOn w:val="Policepardfaut"/>
    <w:rPr>
      <w:rFonts w:ascii="MyriadPro-Regular-Identity-H" w:hAnsi="MyriadPro-Regular-Identity-H" w:hint="default"/>
      <w:b w:val="0"/>
      <w:bCs w:val="0"/>
      <w:i w:val="0"/>
      <w:iCs w:val="0"/>
      <w:color w:val="242021"/>
      <w:sz w:val="18"/>
      <w:szCs w:val="18"/>
    </w:rPr>
  </w:style>
  <w:style w:type="character" w:customStyle="1" w:styleId="fontstyle31">
    <w:name w:val="fontstyle31"/>
    <w:basedOn w:val="Policepardfaut"/>
    <w:rPr>
      <w:rFonts w:ascii="Verdana-Italic" w:hAnsi="Verdana-Italic" w:hint="default"/>
      <w:b w:val="0"/>
      <w:bCs w:val="0"/>
      <w:i/>
      <w:iCs/>
      <w:color w:val="000000"/>
      <w:sz w:val="18"/>
      <w:szCs w:val="18"/>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Arial" w:hAnsi="Arial" w:cs="Arial"/>
      <w:lang w:val="en-GB"/>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Arial" w:hAnsi="Arial" w:cs="Arial"/>
      <w:b/>
      <w:bCs/>
      <w:lang w:val="en-GB"/>
    </w:rPr>
  </w:style>
  <w:style w:type="paragraph" w:styleId="TM3">
    <w:name w:val="toc 3"/>
    <w:basedOn w:val="Normal"/>
    <w:next w:val="Normal"/>
    <w:uiPriority w:val="39"/>
    <w:unhideWhenUsed/>
    <w:pPr>
      <w:tabs>
        <w:tab w:val="clear" w:pos="9923"/>
      </w:tabs>
      <w:spacing w:after="100"/>
      <w:ind w:left="440"/>
    </w:pPr>
  </w:style>
  <w:style w:type="character" w:customStyle="1" w:styleId="Titre10">
    <w:name w:val="Titre1"/>
    <w:basedOn w:val="Policepardfaut"/>
  </w:style>
  <w:style w:type="table" w:customStyle="1" w:styleId="Focus">
    <w:name w:val="Focus"/>
    <w:basedOn w:val="TableauNormal"/>
    <w:uiPriority w:val="99"/>
    <w:pPr>
      <w:spacing w:after="0"/>
    </w:pPr>
    <w:rPr>
      <w:rFonts w:eastAsiaTheme="minorHAnsi" w:cs="Times New Roman (Corps CS)"/>
      <w:sz w:val="21"/>
      <w:szCs w:val="24"/>
      <w:lang w:val="fr-FR"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113" w:type="dxa"/>
        <w:left w:w="198" w:type="dxa"/>
        <w:bottom w:w="113" w:type="dxa"/>
        <w:right w:w="198" w:type="dxa"/>
      </w:tblCellMar>
    </w:tblPr>
    <w:tcPr>
      <w:shd w:val="clear" w:color="auto" w:fill="F5F5F5"/>
    </w:tcPr>
    <w:tblStylePr w:type="firstRow">
      <w:rPr>
        <w:rFonts w:asciiTheme="minorHAnsi" w:hAnsiTheme="minorHAnsi"/>
      </w:rPr>
    </w:tblStylePr>
    <w:tblStylePr w:type="lastRow">
      <w:rPr>
        <w:rFonts w:asciiTheme="minorHAnsi" w:hAnsiTheme="minorHAnsi"/>
      </w:rPr>
    </w:tblStylePr>
    <w:tblStylePr w:type="firstCol">
      <w:rPr>
        <w:rFonts w:asciiTheme="minorHAnsi" w:hAnsiTheme="minorHAnsi"/>
      </w:rPr>
    </w:tblStylePr>
    <w:tblStylePr w:type="lastCol">
      <w:rPr>
        <w:rFonts w:asciiTheme="minorHAnsi" w:hAnsiTheme="minorHAnsi"/>
      </w:rPr>
    </w:tblStylePr>
    <w:tblStylePr w:type="band1Vert">
      <w:rPr>
        <w:rFonts w:asciiTheme="minorHAnsi" w:hAnsiTheme="minorHAnsi"/>
      </w:rPr>
    </w:tblStylePr>
    <w:tblStylePr w:type="band2Vert">
      <w:rPr>
        <w:rFonts w:asciiTheme="minorHAnsi" w:hAnsiTheme="minorHAnsi"/>
      </w:rPr>
    </w:tblStylePr>
    <w:tblStylePr w:type="band1Horz">
      <w:rPr>
        <w:rFonts w:asciiTheme="minorHAnsi" w:hAnsiTheme="minorHAnsi"/>
      </w:rPr>
    </w:tblStylePr>
    <w:tblStylePr w:type="band2Horz">
      <w:rPr>
        <w:rFonts w:asciiTheme="minorHAnsi" w:hAnsiTheme="minorHAnsi"/>
      </w:rPr>
    </w:tblStylePr>
    <w:tblStylePr w:type="neCell">
      <w:rPr>
        <w:rFonts w:asciiTheme="minorHAnsi" w:hAnsiTheme="minorHAnsi"/>
      </w:rPr>
    </w:tblStylePr>
    <w:tblStylePr w:type="nwCell">
      <w:rPr>
        <w:rFonts w:asciiTheme="minorHAnsi" w:hAnsiTheme="minorHAnsi"/>
      </w:rPr>
    </w:tblStylePr>
    <w:tblStylePr w:type="seCell">
      <w:rPr>
        <w:rFonts w:asciiTheme="minorHAnsi" w:hAnsiTheme="minorHAnsi"/>
      </w:rPr>
    </w:tblStylePr>
    <w:tblStylePr w:type="swCell">
      <w:rPr>
        <w:rFonts w:asciiTheme="minorHAnsi" w:hAnsiTheme="minorHAnsi"/>
      </w:rPr>
    </w:tblStylePr>
  </w:style>
  <w:style w:type="paragraph" w:customStyle="1" w:styleId="Default">
    <w:name w:val="Default"/>
    <w:pPr>
      <w:spacing w:after="0"/>
    </w:pPr>
    <w:rPr>
      <w:rFonts w:ascii="Verdana" w:eastAsiaTheme="minorHAnsi" w:hAnsi="Verdana" w:cs="Verdana"/>
      <w:color w:val="000000"/>
      <w:sz w:val="24"/>
      <w:szCs w:val="24"/>
      <w:lang w:val="fr-FR" w:eastAsia="en-US"/>
    </w:rPr>
  </w:style>
  <w:style w:type="paragraph" w:customStyle="1" w:styleId="StyleStyleChecklist105ptAvant6ptHautPasdebordure">
    <w:name w:val="Style Style Check list + 105 pt Avant : 6 pt Haut: (Pas de bordure)..."/>
    <w:basedOn w:val="Default"/>
    <w:next w:val="Default"/>
    <w:uiPriority w:val="99"/>
    <w:rPr>
      <w:rFonts w:cstheme="minorBidi"/>
      <w:color w:val="auto"/>
    </w:rPr>
  </w:style>
  <w:style w:type="paragraph" w:styleId="Listepuces">
    <w:name w:val="List Bullet"/>
    <w:basedOn w:val="Normal"/>
    <w:uiPriority w:val="99"/>
    <w:semiHidden/>
    <w:unhideWhenUsed/>
    <w:pPr>
      <w:numPr>
        <w:numId w:val="7"/>
      </w:numPr>
      <w:contextualSpacing/>
    </w:pPr>
  </w:style>
  <w:style w:type="paragraph" w:customStyle="1" w:styleId="puceEF">
    <w:name w:val="puce_EF"/>
    <w:basedOn w:val="Paragraphedeliste"/>
    <w:link w:val="puceEFCar"/>
    <w:qFormat/>
    <w:pPr>
      <w:numPr>
        <w:numId w:val="6"/>
      </w:numPr>
    </w:pPr>
  </w:style>
  <w:style w:type="character" w:customStyle="1" w:styleId="puceEFCar">
    <w:name w:val="puce_EF Car"/>
    <w:basedOn w:val="ParagraphedelisteCar"/>
    <w:link w:val="puceEF"/>
    <w:rPr>
      <w:rFonts w:ascii="Tw Cen MT" w:hAnsi="Tw Cen MT" w:cs="Arial"/>
      <w:iCs/>
      <w:color w:val="000000"/>
      <w:sz w:val="22"/>
      <w:szCs w:val="22"/>
      <w:lang w:val="fr-FR"/>
    </w:rPr>
  </w:style>
  <w:style w:type="table" w:styleId="TableauGrille1Clair-Accentuation1">
    <w:name w:val="Grid Table 1 Light Accent 1"/>
    <w:basedOn w:val="TableauNormal"/>
    <w:uiPriority w:val="46"/>
    <w:pPr>
      <w:spacing w:after="0"/>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2" w:space="0" w:color="95B3D7" w:themeColor="accent1" w:themeTint="99"/>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i/>
      <w:iCs/>
      <w:color w:val="000000"/>
      <w:sz w:val="18"/>
      <w:szCs w:val="18"/>
      <w:lang w:val="fr-FR"/>
    </w:rPr>
  </w:style>
  <w:style w:type="paragraph" w:customStyle="1" w:styleId="BVIfnrCharCar1CarChar">
    <w:name w:val="BVI fnr Char Car1 Car Char"/>
    <w:basedOn w:val="Normal"/>
    <w:next w:val="Normal"/>
    <w:link w:val="Appelnotedebasdep"/>
    <w:pPr>
      <w:tabs>
        <w:tab w:val="clear" w:pos="9923"/>
      </w:tabs>
      <w:spacing w:after="160" w:line="240" w:lineRule="exact"/>
      <w:ind w:left="0"/>
      <w:jc w:val="left"/>
    </w:pPr>
    <w:rPr>
      <w:rFonts w:asciiTheme="minorHAnsi" w:hAnsiTheme="minorHAnsi" w:cstheme="minorBidi"/>
      <w:i/>
      <w:iCs w:val="0"/>
      <w:color w:val="auto"/>
      <w:sz w:val="20"/>
      <w:szCs w:val="20"/>
      <w:vertAlign w:val="superscript"/>
      <w:lang w:val="en-US"/>
    </w:rPr>
  </w:style>
  <w:style w:type="paragraph" w:styleId="PrformatHTML">
    <w:name w:val="HTML Preformatted"/>
    <w:basedOn w:val="Normal"/>
    <w:link w:val="PrformatHTMLCar"/>
    <w:uiPriority w:val="99"/>
    <w:semiHidden/>
    <w:unhideWhenUsed/>
    <w:pPr>
      <w:tabs>
        <w:tab w:val="clear" w:pos="992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left"/>
    </w:pPr>
    <w:rPr>
      <w:rFonts w:ascii="Courier New" w:eastAsia="Times New Roman" w:hAnsi="Courier New" w:cs="Courier New"/>
      <w:i/>
      <w:iCs w:val="0"/>
      <w:color w:val="auto"/>
      <w:sz w:val="20"/>
      <w:szCs w:val="20"/>
      <w:lang w:val="en-GB" w:eastAsia="en-GB"/>
    </w:rPr>
  </w:style>
  <w:style w:type="character" w:customStyle="1" w:styleId="PrformatHTMLCar">
    <w:name w:val="Préformaté HTML Car"/>
    <w:basedOn w:val="Policepardfaut"/>
    <w:link w:val="PrformatHTML"/>
    <w:uiPriority w:val="99"/>
    <w:semiHidden/>
    <w:rPr>
      <w:rFonts w:ascii="Courier New" w:eastAsia="Times New Roman" w:hAnsi="Courier New" w:cs="Courier New"/>
      <w:lang w:val="en-GB" w:eastAsia="en-GB"/>
    </w:rPr>
  </w:style>
  <w:style w:type="character" w:customStyle="1" w:styleId="y2iqfc">
    <w:name w:val="y2iqfc"/>
    <w:basedOn w:val="Policepardfaut"/>
  </w:style>
  <w:style w:type="paragraph" w:styleId="Rvision">
    <w:name w:val="Revision"/>
    <w:hidden/>
    <w:uiPriority w:val="99"/>
    <w:semiHidden/>
    <w:pPr>
      <w:spacing w:after="0"/>
    </w:pPr>
    <w:rPr>
      <w:rFonts w:ascii="Calibri-Italic" w:hAnsi="Calibri-Italic" w:cs="Arial"/>
      <w:i/>
      <w:iCs/>
      <w:color w:val="000000"/>
      <w:sz w:val="22"/>
      <w:szCs w:val="22"/>
      <w:lang w:val="fr-FR"/>
    </w:rPr>
  </w:style>
  <w:style w:type="character" w:styleId="lev">
    <w:name w:val="Strong"/>
    <w:basedOn w:val="Policepardfaut"/>
    <w:uiPriority w:val="22"/>
    <w:qFormat/>
    <w:rPr>
      <w:b/>
      <w:bCs/>
    </w:rPr>
  </w:style>
  <w:style w:type="table" w:styleId="TableauListe3-Accentuation1">
    <w:name w:val="List Table 3 Accent 1"/>
    <w:basedOn w:val="TableauNormal"/>
    <w:uiPriority w:val="48"/>
    <w:pPr>
      <w:spacing w:after="0"/>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4" w:space="0" w:color="4F81BD" w:themeColor="accen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4F81BD" w:themeColor="accent1"/>
          <w:left w:val="none" w:sz="4" w:space="0" w:color="000000"/>
        </w:tcBorders>
      </w:tcPr>
    </w:tblStylePr>
    <w:tblStylePr w:type="swCell">
      <w:tblPr/>
      <w:tcPr>
        <w:tcBorders>
          <w:top w:val="single" w:sz="4" w:space="0" w:color="4F81BD" w:themeColor="accent1"/>
          <w:right w:val="none" w:sz="4" w:space="0" w:color="000000"/>
        </w:tcBorders>
      </w:tcPr>
    </w:tblStylePr>
  </w:style>
  <w:style w:type="table" w:styleId="TableauGrille4-Accentuation1">
    <w:name w:val="Grid Table 4 Accent 1"/>
    <w:basedOn w:val="TableauNormal"/>
    <w:uiPriority w:val="49"/>
    <w:pPr>
      <w:spacing w:after="0"/>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tcPr>
    </w:tblStylePr>
    <w:tblStylePr w:type="lastRow">
      <w:rPr>
        <w:b/>
        <w:bCs/>
      </w:rPr>
      <w:tblPr/>
      <w:tcPr>
        <w:tcBorders>
          <w:top w:val="sing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Rfrenceintense">
    <w:name w:val="Intense Reference"/>
    <w:basedOn w:val="Policepardfaut"/>
    <w:uiPriority w:val="32"/>
    <w:qFormat/>
    <w:rPr>
      <w:b/>
      <w:bCs/>
      <w:smallCaps/>
      <w:color w:val="4F81BD" w:themeColor="accent1"/>
      <w:spacing w:val="5"/>
    </w:rPr>
  </w:style>
  <w:style w:type="paragraph" w:styleId="Titre">
    <w:name w:val="Title"/>
    <w:basedOn w:val="Normal"/>
    <w:next w:val="Normal"/>
    <w:link w:val="TitreCar"/>
    <w:uiPriority w:val="10"/>
    <w:qFormat/>
    <w:pPr>
      <w:spacing w:after="0"/>
      <w:contextualSpacing/>
    </w:pPr>
    <w:rPr>
      <w:rFonts w:asciiTheme="majorHAnsi" w:eastAsiaTheme="majorEastAsia" w:hAnsiTheme="majorHAnsi" w:cstheme="majorBidi"/>
      <w:color w:val="auto"/>
      <w:spacing w:val="-10"/>
      <w:sz w:val="56"/>
      <w:szCs w:val="56"/>
    </w:rPr>
  </w:style>
  <w:style w:type="character" w:customStyle="1" w:styleId="TitreCar">
    <w:name w:val="Titre Car"/>
    <w:basedOn w:val="Policepardfaut"/>
    <w:link w:val="Titre"/>
    <w:uiPriority w:val="10"/>
    <w:rPr>
      <w:rFonts w:asciiTheme="majorHAnsi" w:eastAsiaTheme="majorEastAsia" w:hAnsiTheme="majorHAnsi" w:cstheme="majorBidi"/>
      <w:iCs/>
      <w:spacing w:val="-10"/>
      <w:sz w:val="56"/>
      <w:szCs w:val="56"/>
      <w:lang w:val="fr-FR"/>
    </w:rPr>
  </w:style>
  <w:style w:type="character" w:styleId="Accentuation">
    <w:name w:val="Emphasis"/>
    <w:basedOn w:val="Policepardfaut"/>
    <w:uiPriority w:val="20"/>
    <w:qFormat/>
    <w:rPr>
      <w:i/>
      <w:iCs/>
    </w:rPr>
  </w:style>
  <w:style w:type="table" w:styleId="Tableausimple1">
    <w:name w:val="Plain Table 1"/>
    <w:basedOn w:val="TableauNormal"/>
    <w:uiPriority w:val="99"/>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xpertisefrance.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Arial"/>
        <a:cs typeface="Arial"/>
      </a:majorFont>
      <a:minorFont>
        <a:latin typeface="Cambria"/>
        <a:ea typeface="Arial"/>
        <a:cs typeface="Arial"/>
      </a:minorFont>
    </a:fontScheme>
    <a:fmtScheme name="Bureau">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Tri par nom" Version="2003"/>
</file>

<file path=customXml/itemProps1.xml><?xml version="1.0" encoding="utf-8"?>
<ds:datastoreItem xmlns:ds="http://schemas.openxmlformats.org/officeDocument/2006/customXml" ds:itemID="{2011D01D-D59C-4504-BEE4-3DD0051DA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9</Pages>
  <Words>3488</Words>
  <Characters>19188</Characters>
  <Application>Microsoft Office Word</Application>
  <DocSecurity>0</DocSecurity>
  <Lines>159</Lines>
  <Paragraphs>45</Paragraphs>
  <ScaleCrop>false</ScaleCrop>
  <HeadingPairs>
    <vt:vector size="2" baseType="variant">
      <vt:variant>
        <vt:lpstr>Titre</vt:lpstr>
      </vt:variant>
      <vt:variant>
        <vt:i4>1</vt:i4>
      </vt:variant>
    </vt:vector>
  </HeadingPairs>
  <TitlesOfParts>
    <vt:vector size="1" baseType="lpstr">
      <vt:lpstr/>
    </vt:vector>
  </TitlesOfParts>
  <Company>Luciole</Company>
  <LinksUpToDate>false</LinksUpToDate>
  <CharactersWithSpaces>22631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Oussama JEBALI</dc:creator>
  <cp:keywords/>
  <dc:description/>
  <cp:lastModifiedBy>Saida SAFTA</cp:lastModifiedBy>
  <cp:revision>1</cp:revision>
  <dcterms:created xsi:type="dcterms:W3CDTF">2026-09-14T07:33:00Z</dcterms:created>
  <dcterms:modified xsi:type="dcterms:W3CDTF">2026-10-30T13:55:00Z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a59f59573da81401e8890725f266715230cd992846397b05d55d3ada5a2d368f</vt:lpwstr>
  </property>
</Properties>
</file>