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Look w:val="04A0" w:firstRow="1" w:lastRow="0" w:firstColumn="1" w:lastColumn="0" w:noHBand="0" w:noVBand="1"/>
      </w:tblPr>
      <w:tblGrid>
        <w:gridCol w:w="3005"/>
        <w:gridCol w:w="3005"/>
        <w:gridCol w:w="3006"/>
      </w:tblGrid>
      <w:tr w:rsidR="00A57389" w14:paraId="2FCEDF8B" w14:textId="77777777" w:rsidTr="00A57389">
        <w:tc>
          <w:tcPr>
            <w:tcW w:w="3005" w:type="dxa"/>
          </w:tcPr>
          <w:p w14:paraId="44F81251" w14:textId="77777777" w:rsidR="00437BCA" w:rsidRDefault="00A71772" w:rsidP="00437BCA">
            <w:pPr>
              <w:pStyle w:val="Paragraphedeliste"/>
              <w:spacing w:line="276" w:lineRule="auto"/>
              <w:ind w:left="170"/>
              <w:jc w:val="center"/>
              <w:rPr>
                <w:rStyle w:val="lev"/>
                <w:rFonts w:ascii="Times New Roman" w:hAnsi="Times New Roman" w:cs="Times New Roman"/>
              </w:rPr>
            </w:pPr>
            <w:r w:rsidRPr="00625B47">
              <w:rPr>
                <w:rStyle w:val="lev"/>
                <w:rFonts w:ascii="Times New Roman" w:hAnsi="Times New Roman" w:cs="Times New Roman"/>
              </w:rPr>
              <w:t>Experts requirements</w:t>
            </w:r>
          </w:p>
          <w:p w14:paraId="5DF821A0" w14:textId="27F3E069" w:rsidR="00A71772" w:rsidRPr="00625B47" w:rsidRDefault="00A71772" w:rsidP="00437BCA">
            <w:pPr>
              <w:pStyle w:val="Paragraphedeliste"/>
              <w:spacing w:line="276" w:lineRule="auto"/>
              <w:ind w:left="170"/>
              <w:jc w:val="center"/>
              <w:rPr>
                <w:rFonts w:ascii="Times New Roman" w:hAnsi="Times New Roman" w:cs="Times New Roman"/>
                <w:b/>
                <w:iCs/>
                <w:sz w:val="18"/>
                <w:szCs w:val="18"/>
              </w:rPr>
            </w:pPr>
            <w:r w:rsidRPr="00625B47">
              <w:rPr>
                <w:rFonts w:ascii="Times New Roman" w:hAnsi="Times New Roman" w:cs="Times New Roman"/>
                <w:b/>
                <w:iCs/>
                <w:sz w:val="18"/>
                <w:szCs w:val="18"/>
              </w:rPr>
              <w:t>Article 8</w:t>
            </w:r>
            <w:r w:rsidR="00437BCA">
              <w:rPr>
                <w:rFonts w:ascii="Times New Roman" w:hAnsi="Times New Roman" w:cs="Times New Roman"/>
                <w:b/>
                <w:iCs/>
                <w:sz w:val="18"/>
                <w:szCs w:val="18"/>
              </w:rPr>
              <w:t xml:space="preserve"> </w:t>
            </w:r>
            <w:r w:rsidR="00437BCA" w:rsidRPr="00437BCA">
              <w:rPr>
                <w:rFonts w:ascii="Times New Roman" w:hAnsi="Times New Roman" w:cs="Times New Roman"/>
                <w:b/>
                <w:bCs/>
                <w:iCs/>
                <w:sz w:val="18"/>
                <w:szCs w:val="18"/>
              </w:rPr>
              <w:t>Book of Rules</w:t>
            </w:r>
          </w:p>
          <w:p w14:paraId="132EE157" w14:textId="77777777" w:rsidR="00A71772" w:rsidRPr="003D431E" w:rsidRDefault="00A71772" w:rsidP="00437BCA">
            <w:pPr>
              <w:spacing w:line="276" w:lineRule="auto"/>
              <w:ind w:left="170"/>
              <w:jc w:val="center"/>
              <w:rPr>
                <w:rFonts w:ascii="Times New Roman" w:hAnsi="Times New Roman" w:cs="Times New Roman"/>
                <w:b/>
                <w:iCs/>
                <w:sz w:val="18"/>
                <w:szCs w:val="18"/>
              </w:rPr>
            </w:pPr>
            <w:r w:rsidRPr="003D431E">
              <w:rPr>
                <w:rFonts w:ascii="Times New Roman" w:hAnsi="Times New Roman" w:cs="Times New Roman"/>
                <w:b/>
                <w:iCs/>
                <w:sz w:val="18"/>
                <w:szCs w:val="18"/>
              </w:rPr>
              <w:t>Minimum qualifications of external experts</w:t>
            </w:r>
          </w:p>
          <w:p w14:paraId="3E631691" w14:textId="0887791C" w:rsidR="00A57389" w:rsidRPr="007B4E8E" w:rsidRDefault="00A57389" w:rsidP="00437BCA">
            <w:pPr>
              <w:ind w:left="170"/>
              <w:rPr>
                <w:rFonts w:ascii="Times New Roman" w:hAnsi="Times New Roman" w:cs="Times New Roman"/>
              </w:rPr>
            </w:pPr>
          </w:p>
        </w:tc>
        <w:tc>
          <w:tcPr>
            <w:tcW w:w="3005" w:type="dxa"/>
          </w:tcPr>
          <w:p w14:paraId="7478147B" w14:textId="77777777" w:rsidR="00A57389" w:rsidRDefault="00A57389" w:rsidP="00A57389">
            <w:pPr>
              <w:jc w:val="both"/>
              <w:rPr>
                <w:rFonts w:ascii="Times New Roman" w:hAnsi="Times New Roman" w:cs="Times New Roman"/>
              </w:rPr>
            </w:pPr>
          </w:p>
          <w:p w14:paraId="7A65907D" w14:textId="236D26B5" w:rsidR="00B319D9" w:rsidRPr="007B4E8E" w:rsidRDefault="0081568F" w:rsidP="00A57389">
            <w:pPr>
              <w:jc w:val="both"/>
              <w:rPr>
                <w:rFonts w:ascii="Times New Roman" w:hAnsi="Times New Roman" w:cs="Times New Roman"/>
              </w:rPr>
            </w:pPr>
            <w:r>
              <w:rPr>
                <w:rFonts w:ascii="Times New Roman" w:hAnsi="Times New Roman" w:cs="Times New Roman"/>
              </w:rPr>
              <w:t xml:space="preserve">Relevant experiences related to the functions listed in the article 86h </w:t>
            </w:r>
          </w:p>
        </w:tc>
        <w:tc>
          <w:tcPr>
            <w:tcW w:w="3006" w:type="dxa"/>
          </w:tcPr>
          <w:p w14:paraId="56D22E83" w14:textId="77777777" w:rsidR="00B319D9" w:rsidRDefault="00B319D9" w:rsidP="00A57389">
            <w:pPr>
              <w:rPr>
                <w:rFonts w:ascii="Times New Roman" w:hAnsi="Times New Roman" w:cs="Times New Roman"/>
              </w:rPr>
            </w:pPr>
          </w:p>
          <w:p w14:paraId="2565071E" w14:textId="3B4EBDBF" w:rsidR="00A57389" w:rsidRPr="00555C6F" w:rsidRDefault="00B319D9" w:rsidP="00A57389">
            <w:pPr>
              <w:rPr>
                <w:rFonts w:ascii="Times New Roman" w:hAnsi="Times New Roman" w:cs="Times New Roman"/>
              </w:rPr>
            </w:pPr>
            <w:r>
              <w:rPr>
                <w:rFonts w:ascii="Times New Roman" w:hAnsi="Times New Roman" w:cs="Times New Roman"/>
              </w:rPr>
              <w:t>Duration</w:t>
            </w:r>
          </w:p>
        </w:tc>
      </w:tr>
      <w:tr w:rsidR="00A71772" w14:paraId="4E9FA379" w14:textId="77777777" w:rsidTr="00A57389">
        <w:tc>
          <w:tcPr>
            <w:tcW w:w="3005" w:type="dxa"/>
          </w:tcPr>
          <w:p w14:paraId="0699DEAD" w14:textId="534CA4D4" w:rsidR="00B319D9" w:rsidRDefault="00A71772" w:rsidP="00437BCA">
            <w:pPr>
              <w:numPr>
                <w:ilvl w:val="0"/>
                <w:numId w:val="3"/>
              </w:numPr>
              <w:spacing w:line="276" w:lineRule="auto"/>
              <w:ind w:left="170" w:firstLine="0"/>
              <w:jc w:val="both"/>
              <w:rPr>
                <w:rFonts w:ascii="Times New Roman" w:hAnsi="Times New Roman" w:cs="Times New Roman"/>
                <w:bCs/>
                <w:iCs/>
                <w:sz w:val="18"/>
                <w:szCs w:val="18"/>
              </w:rPr>
            </w:pPr>
            <w:r w:rsidRPr="003D431E">
              <w:rPr>
                <w:rFonts w:ascii="Times New Roman" w:hAnsi="Times New Roman" w:cs="Times New Roman"/>
                <w:iCs/>
                <w:sz w:val="18"/>
                <w:szCs w:val="18"/>
              </w:rPr>
              <w:t xml:space="preserve">External experts must have professional qualifications for carrying out functions and competences outlined in Article 86h of the Law on the HJPC BiH. </w:t>
            </w:r>
          </w:p>
          <w:p w14:paraId="719F12A9" w14:textId="413FF5D6" w:rsidR="00B319D9" w:rsidRPr="00CD7D90" w:rsidRDefault="00B319D9" w:rsidP="00437BCA">
            <w:pPr>
              <w:spacing w:line="276" w:lineRule="auto"/>
              <w:ind w:left="170"/>
              <w:jc w:val="center"/>
              <w:rPr>
                <w:rFonts w:ascii="Times New Roman" w:hAnsi="Times New Roman" w:cs="Times New Roman"/>
                <w:bCs/>
                <w:i/>
                <w:sz w:val="18"/>
                <w:szCs w:val="18"/>
              </w:rPr>
            </w:pPr>
            <w:r w:rsidRPr="00CD7D90">
              <w:rPr>
                <w:rFonts w:ascii="Times New Roman" w:hAnsi="Times New Roman" w:cs="Times New Roman"/>
                <w:bCs/>
                <w:i/>
                <w:sz w:val="18"/>
                <w:szCs w:val="18"/>
                <w:u w:val="single"/>
              </w:rPr>
              <w:t>Comment</w:t>
            </w:r>
            <w:proofErr w:type="gramStart"/>
            <w:r w:rsidRPr="00CD7D90">
              <w:rPr>
                <w:rFonts w:ascii="Times New Roman" w:hAnsi="Times New Roman" w:cs="Times New Roman"/>
                <w:bCs/>
                <w:i/>
                <w:sz w:val="18"/>
                <w:szCs w:val="18"/>
                <w:u w:val="single"/>
              </w:rPr>
              <w:t>:</w:t>
            </w:r>
            <w:proofErr w:type="gramEnd"/>
            <w:r w:rsidRPr="00CD7D90">
              <w:rPr>
                <w:rFonts w:ascii="Times New Roman" w:hAnsi="Times New Roman" w:cs="Times New Roman"/>
                <w:bCs/>
                <w:i/>
                <w:sz w:val="18"/>
                <w:szCs w:val="18"/>
              </w:rPr>
              <w:br/>
            </w:r>
            <w:r w:rsidR="00F87F22" w:rsidRPr="00CD7D90">
              <w:rPr>
                <w:rFonts w:ascii="Times New Roman" w:hAnsi="Times New Roman" w:cs="Times New Roman"/>
                <w:bCs/>
                <w:i/>
                <w:sz w:val="18"/>
                <w:szCs w:val="18"/>
              </w:rPr>
              <w:t>Art. 86h</w:t>
            </w:r>
            <w:r w:rsidRPr="00CD7D90">
              <w:rPr>
                <w:rFonts w:ascii="Times New Roman" w:hAnsi="Times New Roman" w:cs="Times New Roman"/>
                <w:bCs/>
                <w:i/>
                <w:sz w:val="18"/>
                <w:szCs w:val="18"/>
              </w:rPr>
              <w:t xml:space="preserve"> reads</w:t>
            </w:r>
          </w:p>
          <w:p w14:paraId="6628A3BC" w14:textId="2D1261EB" w:rsidR="00B319D9" w:rsidRPr="00CD7D90" w:rsidRDefault="00B319D9" w:rsidP="00437BCA">
            <w:pPr>
              <w:spacing w:line="276" w:lineRule="auto"/>
              <w:ind w:left="170"/>
              <w:jc w:val="both"/>
              <w:rPr>
                <w:rFonts w:ascii="Times New Roman" w:hAnsi="Times New Roman" w:cs="Times New Roman"/>
                <w:bCs/>
                <w:i/>
                <w:sz w:val="18"/>
                <w:szCs w:val="18"/>
              </w:rPr>
            </w:pPr>
            <w:r w:rsidRPr="0081568F">
              <w:rPr>
                <w:rFonts w:ascii="Times New Roman" w:hAnsi="Times New Roman" w:cs="Times New Roman"/>
                <w:b/>
                <w:bCs/>
                <w:i/>
                <w:sz w:val="18"/>
                <w:szCs w:val="18"/>
              </w:rPr>
              <w:t>“(1)</w:t>
            </w:r>
            <w:r w:rsidRPr="00CD7D90">
              <w:rPr>
                <w:rFonts w:ascii="Times New Roman" w:hAnsi="Times New Roman" w:cs="Times New Roman"/>
                <w:bCs/>
                <w:i/>
                <w:sz w:val="18"/>
                <w:szCs w:val="18"/>
              </w:rPr>
              <w:tab/>
              <w:t xml:space="preserve">For the purpose of monitoring the work of the Department on collecting, verifying and publishing the declarations, as well as monitoring the overall functioning of the Department and monitoring the disciplinary proceedings based on declaration verification results, the Council shall hire experts in an advisory role. Experts </w:t>
            </w:r>
            <w:proofErr w:type="gramStart"/>
            <w:r w:rsidRPr="00CD7D90">
              <w:rPr>
                <w:rFonts w:ascii="Times New Roman" w:hAnsi="Times New Roman" w:cs="Times New Roman"/>
                <w:bCs/>
                <w:i/>
                <w:sz w:val="18"/>
                <w:szCs w:val="18"/>
              </w:rPr>
              <w:t>shall be retained</w:t>
            </w:r>
            <w:proofErr w:type="gramEnd"/>
            <w:r w:rsidRPr="00CD7D90">
              <w:rPr>
                <w:rFonts w:ascii="Times New Roman" w:hAnsi="Times New Roman" w:cs="Times New Roman"/>
                <w:bCs/>
                <w:i/>
                <w:sz w:val="18"/>
                <w:szCs w:val="18"/>
              </w:rPr>
              <w:t xml:space="preserve"> for a period of four years, and if necessary, the Council shall decide on the period for their continued engagement.</w:t>
            </w:r>
          </w:p>
          <w:p w14:paraId="67B3E47E" w14:textId="35432ED1" w:rsidR="00B319D9" w:rsidRPr="00CD7D90" w:rsidRDefault="00B319D9" w:rsidP="00437BCA">
            <w:pPr>
              <w:spacing w:line="276" w:lineRule="auto"/>
              <w:ind w:left="170"/>
              <w:jc w:val="both"/>
              <w:rPr>
                <w:rFonts w:ascii="Times New Roman" w:hAnsi="Times New Roman" w:cs="Times New Roman"/>
                <w:bCs/>
                <w:i/>
                <w:sz w:val="18"/>
                <w:szCs w:val="18"/>
              </w:rPr>
            </w:pPr>
            <w:r w:rsidRPr="00CD7D90">
              <w:rPr>
                <w:rFonts w:ascii="Times New Roman" w:hAnsi="Times New Roman" w:cs="Times New Roman"/>
                <w:bCs/>
                <w:i/>
                <w:sz w:val="18"/>
                <w:szCs w:val="18"/>
              </w:rPr>
              <w:t>(2)</w:t>
            </w:r>
            <w:r w:rsidRPr="00CD7D90">
              <w:rPr>
                <w:rFonts w:ascii="Times New Roman" w:hAnsi="Times New Roman" w:cs="Times New Roman"/>
                <w:bCs/>
                <w:i/>
                <w:sz w:val="18"/>
                <w:szCs w:val="18"/>
              </w:rPr>
              <w:tab/>
              <w:t>The experts referred to in paragraph (1) of this Article shall have direct and unimpeded access to all information and data on persons and their declarations, as well as to the documents available to the Department, with the exception of data covered by secret data protection regulations.</w:t>
            </w:r>
          </w:p>
          <w:p w14:paraId="7B5191A2" w14:textId="77777777" w:rsidR="00B319D9" w:rsidRPr="00CD7D90" w:rsidRDefault="00B319D9" w:rsidP="00437BCA">
            <w:pPr>
              <w:spacing w:line="276" w:lineRule="auto"/>
              <w:ind w:left="170"/>
              <w:jc w:val="both"/>
              <w:rPr>
                <w:rFonts w:ascii="Times New Roman" w:hAnsi="Times New Roman" w:cs="Times New Roman"/>
                <w:bCs/>
                <w:i/>
                <w:sz w:val="18"/>
                <w:szCs w:val="18"/>
              </w:rPr>
            </w:pPr>
            <w:r w:rsidRPr="00CD7D90">
              <w:rPr>
                <w:rFonts w:ascii="Times New Roman" w:hAnsi="Times New Roman" w:cs="Times New Roman"/>
                <w:bCs/>
                <w:i/>
                <w:sz w:val="18"/>
                <w:szCs w:val="18"/>
              </w:rPr>
              <w:t>(3)</w:t>
            </w:r>
            <w:r w:rsidRPr="00CD7D90">
              <w:rPr>
                <w:rFonts w:ascii="Times New Roman" w:hAnsi="Times New Roman" w:cs="Times New Roman"/>
                <w:bCs/>
                <w:i/>
                <w:sz w:val="18"/>
                <w:szCs w:val="18"/>
              </w:rPr>
              <w:tab/>
              <w:t xml:space="preserve">The experts shall have the right to monitor the recruitment process in the Department and in the process issue written recommendations to the hiring board. Such recommendations </w:t>
            </w:r>
            <w:proofErr w:type="gramStart"/>
            <w:r w:rsidRPr="00CD7D90">
              <w:rPr>
                <w:rFonts w:ascii="Times New Roman" w:hAnsi="Times New Roman" w:cs="Times New Roman"/>
                <w:bCs/>
                <w:i/>
                <w:sz w:val="18"/>
                <w:szCs w:val="18"/>
              </w:rPr>
              <w:t>can be rejected</w:t>
            </w:r>
            <w:proofErr w:type="gramEnd"/>
            <w:r w:rsidRPr="00CD7D90">
              <w:rPr>
                <w:rFonts w:ascii="Times New Roman" w:hAnsi="Times New Roman" w:cs="Times New Roman"/>
                <w:bCs/>
                <w:i/>
                <w:sz w:val="18"/>
                <w:szCs w:val="18"/>
              </w:rPr>
              <w:t>, but the reasons for rejection shall be provided in writing within 15 days from the date of receiving the written recommendation.</w:t>
            </w:r>
          </w:p>
          <w:p w14:paraId="034CE838" w14:textId="77777777" w:rsidR="00B319D9" w:rsidRPr="00CD7D90" w:rsidRDefault="00B319D9" w:rsidP="00437BCA">
            <w:pPr>
              <w:spacing w:line="276" w:lineRule="auto"/>
              <w:ind w:left="170"/>
              <w:jc w:val="both"/>
              <w:rPr>
                <w:rFonts w:ascii="Times New Roman" w:hAnsi="Times New Roman" w:cs="Times New Roman"/>
                <w:bCs/>
                <w:i/>
                <w:sz w:val="18"/>
                <w:szCs w:val="18"/>
              </w:rPr>
            </w:pPr>
          </w:p>
          <w:p w14:paraId="0A6E0705" w14:textId="6D67D579" w:rsidR="00B319D9" w:rsidRPr="00CD7D90" w:rsidRDefault="00B319D9" w:rsidP="00437BCA">
            <w:pPr>
              <w:spacing w:line="276" w:lineRule="auto"/>
              <w:ind w:left="170"/>
              <w:jc w:val="both"/>
              <w:rPr>
                <w:rFonts w:ascii="Times New Roman" w:hAnsi="Times New Roman" w:cs="Times New Roman"/>
                <w:bCs/>
                <w:i/>
                <w:sz w:val="18"/>
                <w:szCs w:val="18"/>
              </w:rPr>
            </w:pPr>
            <w:r w:rsidRPr="00CD7D90">
              <w:rPr>
                <w:rFonts w:ascii="Times New Roman" w:hAnsi="Times New Roman" w:cs="Times New Roman"/>
                <w:bCs/>
                <w:i/>
                <w:sz w:val="18"/>
                <w:szCs w:val="18"/>
              </w:rPr>
              <w:t>(4)</w:t>
            </w:r>
            <w:r w:rsidRPr="00CD7D90">
              <w:rPr>
                <w:rFonts w:ascii="Times New Roman" w:hAnsi="Times New Roman" w:cs="Times New Roman"/>
                <w:bCs/>
                <w:i/>
                <w:sz w:val="18"/>
                <w:szCs w:val="18"/>
              </w:rPr>
              <w:tab/>
              <w:t>In cases when the Department acts pursuant to Article 86d paragraph (3) of this Law, and informs the Office of the Disciplinary Counsel about irregularities identified during the check, the experts shall monitor the disciplinary proceedings and shall make a report referred to in paragraph (9) of this Article.</w:t>
            </w:r>
          </w:p>
          <w:p w14:paraId="10930C54" w14:textId="43758316" w:rsidR="00B319D9" w:rsidRPr="00CD7D90" w:rsidRDefault="00B319D9" w:rsidP="00437BCA">
            <w:pPr>
              <w:spacing w:line="276" w:lineRule="auto"/>
              <w:ind w:left="170"/>
              <w:jc w:val="both"/>
              <w:rPr>
                <w:rFonts w:ascii="Times New Roman" w:hAnsi="Times New Roman" w:cs="Times New Roman"/>
                <w:bCs/>
                <w:i/>
                <w:sz w:val="18"/>
                <w:szCs w:val="18"/>
              </w:rPr>
            </w:pPr>
            <w:r w:rsidRPr="00CD7D90">
              <w:rPr>
                <w:rFonts w:ascii="Times New Roman" w:hAnsi="Times New Roman" w:cs="Times New Roman"/>
                <w:bCs/>
                <w:i/>
                <w:sz w:val="18"/>
                <w:szCs w:val="18"/>
              </w:rPr>
              <w:lastRenderedPageBreak/>
              <w:t>(5)</w:t>
            </w:r>
            <w:r w:rsidRPr="00CD7D90">
              <w:rPr>
                <w:rFonts w:ascii="Times New Roman" w:hAnsi="Times New Roman" w:cs="Times New Roman"/>
                <w:bCs/>
                <w:i/>
                <w:sz w:val="18"/>
                <w:szCs w:val="18"/>
              </w:rPr>
              <w:tab/>
              <w:t xml:space="preserve">The experts may propose disciplinary proceedings to </w:t>
            </w:r>
            <w:proofErr w:type="gramStart"/>
            <w:r w:rsidRPr="00CD7D90">
              <w:rPr>
                <w:rFonts w:ascii="Times New Roman" w:hAnsi="Times New Roman" w:cs="Times New Roman"/>
                <w:bCs/>
                <w:i/>
                <w:sz w:val="18"/>
                <w:szCs w:val="18"/>
              </w:rPr>
              <w:t>be initiated</w:t>
            </w:r>
            <w:proofErr w:type="gramEnd"/>
            <w:r w:rsidRPr="00CD7D90">
              <w:rPr>
                <w:rFonts w:ascii="Times New Roman" w:hAnsi="Times New Roman" w:cs="Times New Roman"/>
                <w:bCs/>
                <w:i/>
                <w:sz w:val="18"/>
                <w:szCs w:val="18"/>
              </w:rPr>
              <w:t xml:space="preserve"> against employees of the Department.</w:t>
            </w:r>
          </w:p>
          <w:p w14:paraId="3E04165D" w14:textId="0E32ADD9" w:rsidR="00B319D9" w:rsidRPr="00CD7D90" w:rsidRDefault="00B319D9" w:rsidP="00437BCA">
            <w:pPr>
              <w:spacing w:line="276" w:lineRule="auto"/>
              <w:ind w:left="170"/>
              <w:jc w:val="both"/>
              <w:rPr>
                <w:rFonts w:ascii="Times New Roman" w:hAnsi="Times New Roman" w:cs="Times New Roman"/>
                <w:bCs/>
                <w:i/>
                <w:sz w:val="18"/>
                <w:szCs w:val="18"/>
              </w:rPr>
            </w:pPr>
            <w:r w:rsidRPr="00CD7D90">
              <w:rPr>
                <w:rFonts w:ascii="Times New Roman" w:hAnsi="Times New Roman" w:cs="Times New Roman"/>
                <w:bCs/>
                <w:i/>
                <w:sz w:val="18"/>
                <w:szCs w:val="18"/>
              </w:rPr>
              <w:t>(6)</w:t>
            </w:r>
            <w:r w:rsidRPr="00CD7D90">
              <w:rPr>
                <w:rFonts w:ascii="Times New Roman" w:hAnsi="Times New Roman" w:cs="Times New Roman"/>
                <w:bCs/>
                <w:i/>
                <w:sz w:val="18"/>
                <w:szCs w:val="18"/>
              </w:rPr>
              <w:tab/>
              <w:t>The experts shall maintain the confidentiality of all information defined as classified in line with the Law on Protection of Secret Data.</w:t>
            </w:r>
          </w:p>
          <w:p w14:paraId="0E99063F" w14:textId="494422EA" w:rsidR="00B319D9" w:rsidRPr="00CD7D90" w:rsidRDefault="00B319D9" w:rsidP="00437BCA">
            <w:pPr>
              <w:spacing w:line="276" w:lineRule="auto"/>
              <w:ind w:left="170"/>
              <w:jc w:val="both"/>
              <w:rPr>
                <w:rFonts w:ascii="Times New Roman" w:hAnsi="Times New Roman" w:cs="Times New Roman"/>
                <w:bCs/>
                <w:i/>
                <w:sz w:val="18"/>
                <w:szCs w:val="18"/>
              </w:rPr>
            </w:pPr>
            <w:r w:rsidRPr="00CD7D90">
              <w:rPr>
                <w:rFonts w:ascii="Times New Roman" w:hAnsi="Times New Roman" w:cs="Times New Roman"/>
                <w:bCs/>
                <w:i/>
                <w:sz w:val="18"/>
                <w:szCs w:val="18"/>
              </w:rPr>
              <w:t>(7)</w:t>
            </w:r>
            <w:r w:rsidRPr="00CD7D90">
              <w:rPr>
                <w:rFonts w:ascii="Times New Roman" w:hAnsi="Times New Roman" w:cs="Times New Roman"/>
                <w:bCs/>
                <w:i/>
                <w:sz w:val="18"/>
                <w:szCs w:val="18"/>
              </w:rPr>
              <w:tab/>
              <w:t>The experts shall provide written recommendations to the Head of the Department regarding the handling of a specific declaration verification case and the overall Department operation, with an aim to improve the efficiency and effectiveness of its work.</w:t>
            </w:r>
          </w:p>
          <w:p w14:paraId="26703BAE" w14:textId="55FC56FA" w:rsidR="00B319D9" w:rsidRPr="00CD7D90" w:rsidRDefault="00B319D9" w:rsidP="00437BCA">
            <w:pPr>
              <w:spacing w:line="276" w:lineRule="auto"/>
              <w:ind w:left="170"/>
              <w:jc w:val="both"/>
              <w:rPr>
                <w:rFonts w:ascii="Times New Roman" w:hAnsi="Times New Roman" w:cs="Times New Roman"/>
                <w:bCs/>
                <w:i/>
                <w:sz w:val="18"/>
                <w:szCs w:val="18"/>
              </w:rPr>
            </w:pPr>
            <w:r w:rsidRPr="00CD7D90">
              <w:rPr>
                <w:rFonts w:ascii="Times New Roman" w:hAnsi="Times New Roman" w:cs="Times New Roman"/>
                <w:bCs/>
                <w:i/>
                <w:sz w:val="18"/>
                <w:szCs w:val="18"/>
              </w:rPr>
              <w:t>(8)</w:t>
            </w:r>
            <w:r w:rsidRPr="00CD7D90">
              <w:rPr>
                <w:rFonts w:ascii="Times New Roman" w:hAnsi="Times New Roman" w:cs="Times New Roman"/>
                <w:bCs/>
                <w:i/>
                <w:sz w:val="18"/>
                <w:szCs w:val="18"/>
              </w:rPr>
              <w:tab/>
              <w:t xml:space="preserve">Recommendations by the experts referred to in this Article </w:t>
            </w:r>
            <w:proofErr w:type="gramStart"/>
            <w:r w:rsidRPr="00CD7D90">
              <w:rPr>
                <w:rFonts w:ascii="Times New Roman" w:hAnsi="Times New Roman" w:cs="Times New Roman"/>
                <w:bCs/>
                <w:i/>
                <w:sz w:val="18"/>
                <w:szCs w:val="18"/>
              </w:rPr>
              <w:t>can be rejected</w:t>
            </w:r>
            <w:proofErr w:type="gramEnd"/>
            <w:r w:rsidRPr="00CD7D90">
              <w:rPr>
                <w:rFonts w:ascii="Times New Roman" w:hAnsi="Times New Roman" w:cs="Times New Roman"/>
                <w:bCs/>
                <w:i/>
                <w:sz w:val="18"/>
                <w:szCs w:val="18"/>
              </w:rPr>
              <w:t>, and in such cases, the Head of the Department shall explain in writing the reasons for rejection within 15 days from receiving the written recommendation.</w:t>
            </w:r>
          </w:p>
          <w:p w14:paraId="3F73B8D8" w14:textId="4CA1AB35" w:rsidR="00A71772" w:rsidRPr="00DD0762" w:rsidRDefault="00B319D9" w:rsidP="00437BCA">
            <w:pPr>
              <w:spacing w:line="276" w:lineRule="auto"/>
              <w:ind w:left="170"/>
              <w:jc w:val="both"/>
              <w:rPr>
                <w:rFonts w:ascii="Times New Roman" w:hAnsi="Times New Roman" w:cs="Times New Roman"/>
                <w:bCs/>
                <w:iCs/>
                <w:sz w:val="18"/>
                <w:szCs w:val="18"/>
              </w:rPr>
            </w:pPr>
            <w:r w:rsidRPr="00CD7D90">
              <w:rPr>
                <w:rFonts w:ascii="Times New Roman" w:hAnsi="Times New Roman" w:cs="Times New Roman"/>
                <w:bCs/>
                <w:i/>
                <w:sz w:val="18"/>
                <w:szCs w:val="18"/>
              </w:rPr>
              <w:t>(9)</w:t>
            </w:r>
            <w:r w:rsidRPr="00CD7D90">
              <w:rPr>
                <w:rFonts w:ascii="Times New Roman" w:hAnsi="Times New Roman" w:cs="Times New Roman"/>
                <w:bCs/>
                <w:i/>
                <w:sz w:val="18"/>
                <w:szCs w:val="18"/>
              </w:rPr>
              <w:tab/>
              <w:t>At least once a year, the experts shall prepare and publish a report on the work and functioning of the Department, and the declaration verification procedures and disciplinary proceedings based on the declaration verification results.</w:t>
            </w:r>
          </w:p>
        </w:tc>
        <w:tc>
          <w:tcPr>
            <w:tcW w:w="3005" w:type="dxa"/>
          </w:tcPr>
          <w:p w14:paraId="6246CF1F" w14:textId="77777777" w:rsidR="00A71772" w:rsidRDefault="00A71772" w:rsidP="00A57389">
            <w:pPr>
              <w:jc w:val="both"/>
              <w:rPr>
                <w:rFonts w:ascii="Times New Roman" w:hAnsi="Times New Roman" w:cs="Times New Roman"/>
              </w:rPr>
            </w:pPr>
          </w:p>
          <w:p w14:paraId="6AFEFDA0" w14:textId="77777777" w:rsidR="00F87F22" w:rsidRDefault="00F87F22" w:rsidP="00A57389">
            <w:pPr>
              <w:jc w:val="both"/>
              <w:rPr>
                <w:rFonts w:ascii="Times New Roman" w:hAnsi="Times New Roman" w:cs="Times New Roman"/>
              </w:rPr>
            </w:pPr>
          </w:p>
          <w:p w14:paraId="75637B94" w14:textId="77777777" w:rsidR="00F87F22" w:rsidRDefault="00F87F22" w:rsidP="00A57389">
            <w:pPr>
              <w:jc w:val="both"/>
              <w:rPr>
                <w:rFonts w:ascii="Times New Roman" w:hAnsi="Times New Roman" w:cs="Times New Roman"/>
              </w:rPr>
            </w:pPr>
          </w:p>
          <w:p w14:paraId="1274FDB4" w14:textId="77777777" w:rsidR="00F87F22" w:rsidRDefault="00F87F22" w:rsidP="00A57389">
            <w:pPr>
              <w:jc w:val="both"/>
              <w:rPr>
                <w:rFonts w:ascii="Times New Roman" w:hAnsi="Times New Roman" w:cs="Times New Roman"/>
              </w:rPr>
            </w:pPr>
          </w:p>
          <w:p w14:paraId="7AFCE03E" w14:textId="77777777" w:rsidR="00F87F22" w:rsidRDefault="00F87F22" w:rsidP="00A57389">
            <w:pPr>
              <w:jc w:val="both"/>
              <w:rPr>
                <w:rFonts w:ascii="Times New Roman" w:hAnsi="Times New Roman" w:cs="Times New Roman"/>
              </w:rPr>
            </w:pPr>
          </w:p>
          <w:p w14:paraId="1FB6FAF3" w14:textId="77777777" w:rsidR="00F87F22" w:rsidRDefault="00F87F22" w:rsidP="00A57389">
            <w:pPr>
              <w:jc w:val="both"/>
              <w:rPr>
                <w:rFonts w:ascii="Times New Roman" w:hAnsi="Times New Roman" w:cs="Times New Roman"/>
              </w:rPr>
            </w:pPr>
          </w:p>
          <w:p w14:paraId="495AB2FC" w14:textId="77777777" w:rsidR="00F87F22" w:rsidRDefault="00F87F22" w:rsidP="00A57389">
            <w:pPr>
              <w:jc w:val="both"/>
              <w:rPr>
                <w:rFonts w:ascii="Times New Roman" w:hAnsi="Times New Roman" w:cs="Times New Roman"/>
              </w:rPr>
            </w:pPr>
          </w:p>
          <w:p w14:paraId="5A5B5EEC" w14:textId="77777777" w:rsidR="00F87F22" w:rsidRDefault="00F87F22" w:rsidP="00A57389">
            <w:pPr>
              <w:jc w:val="both"/>
              <w:rPr>
                <w:rFonts w:ascii="Times New Roman" w:hAnsi="Times New Roman" w:cs="Times New Roman"/>
              </w:rPr>
            </w:pPr>
          </w:p>
          <w:p w14:paraId="558702E5" w14:textId="68FB5A80" w:rsidR="00DD0762" w:rsidRPr="007B4E8E" w:rsidRDefault="00DD0762" w:rsidP="00A57389">
            <w:pPr>
              <w:jc w:val="both"/>
              <w:rPr>
                <w:rFonts w:ascii="Times New Roman" w:hAnsi="Times New Roman" w:cs="Times New Roman"/>
              </w:rPr>
            </w:pPr>
          </w:p>
        </w:tc>
        <w:tc>
          <w:tcPr>
            <w:tcW w:w="3006" w:type="dxa"/>
          </w:tcPr>
          <w:p w14:paraId="3786EF85" w14:textId="77777777" w:rsidR="00A71772" w:rsidRPr="00555C6F" w:rsidRDefault="00A71772" w:rsidP="00A57389">
            <w:pPr>
              <w:rPr>
                <w:rFonts w:ascii="Times New Roman" w:hAnsi="Times New Roman" w:cs="Times New Roman"/>
              </w:rPr>
            </w:pPr>
          </w:p>
        </w:tc>
      </w:tr>
      <w:tr w:rsidR="0081568F" w14:paraId="63DBAF56" w14:textId="77777777" w:rsidTr="0081568F">
        <w:trPr>
          <w:trHeight w:val="722"/>
        </w:trPr>
        <w:tc>
          <w:tcPr>
            <w:tcW w:w="9016" w:type="dxa"/>
            <w:gridSpan w:val="3"/>
            <w:shd w:val="clear" w:color="auto" w:fill="D0CECE" w:themeFill="background2" w:themeFillShade="E6"/>
            <w:vAlign w:val="center"/>
          </w:tcPr>
          <w:p w14:paraId="5C0FC3E9" w14:textId="4A851454" w:rsidR="0081568F" w:rsidRPr="0081568F" w:rsidRDefault="0081568F" w:rsidP="0081568F">
            <w:pPr>
              <w:numPr>
                <w:ilvl w:val="0"/>
                <w:numId w:val="3"/>
              </w:numPr>
              <w:spacing w:line="276" w:lineRule="auto"/>
              <w:ind w:left="170" w:firstLine="0"/>
              <w:jc w:val="center"/>
              <w:rPr>
                <w:rFonts w:ascii="Times New Roman" w:hAnsi="Times New Roman" w:cs="Times New Roman"/>
                <w:b/>
                <w:bCs/>
                <w:iCs/>
                <w:sz w:val="18"/>
                <w:szCs w:val="18"/>
              </w:rPr>
            </w:pPr>
            <w:r w:rsidRPr="0081568F">
              <w:rPr>
                <w:rFonts w:ascii="Times New Roman" w:hAnsi="Times New Roman" w:cs="Times New Roman"/>
                <w:b/>
                <w:iCs/>
                <w:sz w:val="18"/>
                <w:szCs w:val="18"/>
              </w:rPr>
              <w:t>INDEPENDENT EXTERNAL EXPERTS MUST MEET AT LEAST THE FOLLOWING MINIMUM REQUIREMENTS:</w:t>
            </w:r>
          </w:p>
        </w:tc>
      </w:tr>
      <w:tr w:rsidR="0081568F" w14:paraId="715DFBFA" w14:textId="77777777" w:rsidTr="0081568F">
        <w:tc>
          <w:tcPr>
            <w:tcW w:w="3005" w:type="dxa"/>
            <w:vAlign w:val="center"/>
          </w:tcPr>
          <w:p w14:paraId="0CCF3197" w14:textId="09C25A92" w:rsidR="0081568F" w:rsidRPr="0081568F" w:rsidRDefault="0081568F" w:rsidP="0081568F">
            <w:pPr>
              <w:spacing w:line="276" w:lineRule="auto"/>
              <w:ind w:left="170"/>
              <w:jc w:val="center"/>
              <w:rPr>
                <w:rFonts w:ascii="Times New Roman" w:hAnsi="Times New Roman" w:cs="Times New Roman"/>
                <w:b/>
                <w:iCs/>
                <w:sz w:val="18"/>
                <w:szCs w:val="18"/>
              </w:rPr>
            </w:pPr>
            <w:r w:rsidRPr="0081568F">
              <w:rPr>
                <w:rFonts w:ascii="Times New Roman" w:hAnsi="Times New Roman" w:cs="Times New Roman"/>
                <w:b/>
                <w:iCs/>
                <w:sz w:val="18"/>
                <w:szCs w:val="18"/>
              </w:rPr>
              <w:t>REQUIREMENTS</w:t>
            </w:r>
          </w:p>
        </w:tc>
        <w:tc>
          <w:tcPr>
            <w:tcW w:w="3005" w:type="dxa"/>
            <w:vAlign w:val="center"/>
          </w:tcPr>
          <w:p w14:paraId="03AE14BF" w14:textId="03697EC3" w:rsidR="0081568F" w:rsidRPr="0081568F" w:rsidRDefault="0081568F" w:rsidP="0081568F">
            <w:pPr>
              <w:jc w:val="center"/>
              <w:rPr>
                <w:rFonts w:ascii="Times New Roman" w:hAnsi="Times New Roman" w:cs="Times New Roman"/>
                <w:b/>
              </w:rPr>
            </w:pPr>
            <w:r w:rsidRPr="0081568F">
              <w:rPr>
                <w:rFonts w:ascii="Times New Roman" w:hAnsi="Times New Roman" w:cs="Times New Roman"/>
                <w:b/>
              </w:rPr>
              <w:t>Relevant Information</w:t>
            </w:r>
          </w:p>
        </w:tc>
        <w:tc>
          <w:tcPr>
            <w:tcW w:w="3006" w:type="dxa"/>
            <w:vAlign w:val="center"/>
          </w:tcPr>
          <w:p w14:paraId="485EA147" w14:textId="1B70CF67" w:rsidR="0081568F" w:rsidRPr="0081568F" w:rsidRDefault="0081568F" w:rsidP="0081568F">
            <w:pPr>
              <w:jc w:val="center"/>
              <w:rPr>
                <w:rFonts w:ascii="Times New Roman" w:hAnsi="Times New Roman" w:cs="Times New Roman"/>
                <w:b/>
              </w:rPr>
            </w:pPr>
            <w:r w:rsidRPr="0081568F">
              <w:rPr>
                <w:rFonts w:ascii="Times New Roman" w:hAnsi="Times New Roman" w:cs="Times New Roman"/>
                <w:b/>
              </w:rPr>
              <w:t>Date/Duration</w:t>
            </w:r>
          </w:p>
        </w:tc>
      </w:tr>
      <w:tr w:rsidR="00A71772" w14:paraId="2E6F4A3E" w14:textId="77777777" w:rsidTr="00A57389">
        <w:tc>
          <w:tcPr>
            <w:tcW w:w="3005" w:type="dxa"/>
          </w:tcPr>
          <w:p w14:paraId="223A31A7" w14:textId="2C8222C2" w:rsidR="00A71772" w:rsidRPr="003D431E" w:rsidRDefault="00A71772" w:rsidP="00437BCA">
            <w:pPr>
              <w:numPr>
                <w:ilvl w:val="1"/>
                <w:numId w:val="3"/>
              </w:numPr>
              <w:spacing w:line="276" w:lineRule="auto"/>
              <w:ind w:left="170" w:firstLine="0"/>
              <w:jc w:val="both"/>
              <w:rPr>
                <w:rFonts w:ascii="Times New Roman" w:hAnsi="Times New Roman" w:cs="Times New Roman"/>
                <w:bCs/>
                <w:iCs/>
                <w:sz w:val="18"/>
                <w:szCs w:val="18"/>
              </w:rPr>
            </w:pPr>
            <w:r w:rsidRPr="003D431E">
              <w:rPr>
                <w:rFonts w:ascii="Times New Roman" w:hAnsi="Times New Roman" w:cs="Times New Roman"/>
                <w:iCs/>
                <w:sz w:val="18"/>
                <w:szCs w:val="18"/>
              </w:rPr>
              <w:t>hold a degree in law or related social sciences,</w:t>
            </w:r>
          </w:p>
          <w:p w14:paraId="58461403" w14:textId="77777777" w:rsidR="00A71772" w:rsidRPr="007B4E8E" w:rsidRDefault="00A71772" w:rsidP="00437BCA">
            <w:pPr>
              <w:ind w:left="170"/>
              <w:rPr>
                <w:rFonts w:ascii="Times New Roman" w:hAnsi="Times New Roman" w:cs="Times New Roman"/>
              </w:rPr>
            </w:pPr>
          </w:p>
        </w:tc>
        <w:tc>
          <w:tcPr>
            <w:tcW w:w="3005" w:type="dxa"/>
          </w:tcPr>
          <w:p w14:paraId="137A9354" w14:textId="4D1D4F2F" w:rsidR="00A71772" w:rsidRPr="007B4E8E" w:rsidRDefault="00A71772" w:rsidP="00A57389">
            <w:pPr>
              <w:jc w:val="both"/>
              <w:rPr>
                <w:rFonts w:ascii="Times New Roman" w:hAnsi="Times New Roman" w:cs="Times New Roman"/>
              </w:rPr>
            </w:pPr>
          </w:p>
        </w:tc>
        <w:tc>
          <w:tcPr>
            <w:tcW w:w="3006" w:type="dxa"/>
          </w:tcPr>
          <w:p w14:paraId="6072C7FE" w14:textId="455ED601" w:rsidR="00A71772" w:rsidRPr="00555C6F" w:rsidRDefault="00A71772" w:rsidP="00A57389">
            <w:pPr>
              <w:rPr>
                <w:rFonts w:ascii="Times New Roman" w:hAnsi="Times New Roman" w:cs="Times New Roman"/>
              </w:rPr>
            </w:pPr>
          </w:p>
        </w:tc>
      </w:tr>
      <w:tr w:rsidR="00A71772" w14:paraId="4D92FC39" w14:textId="77777777" w:rsidTr="00A57389">
        <w:tc>
          <w:tcPr>
            <w:tcW w:w="3005" w:type="dxa"/>
          </w:tcPr>
          <w:p w14:paraId="077B7D71" w14:textId="5BC627BC" w:rsidR="00A71772" w:rsidRPr="003D431E" w:rsidRDefault="00A71772" w:rsidP="00437BCA">
            <w:pPr>
              <w:numPr>
                <w:ilvl w:val="1"/>
                <w:numId w:val="3"/>
              </w:numPr>
              <w:spacing w:line="276" w:lineRule="auto"/>
              <w:ind w:left="170" w:firstLine="0"/>
              <w:jc w:val="both"/>
              <w:rPr>
                <w:rFonts w:ascii="Times New Roman" w:hAnsi="Times New Roman" w:cs="Times New Roman"/>
                <w:bCs/>
                <w:iCs/>
                <w:sz w:val="18"/>
                <w:szCs w:val="18"/>
              </w:rPr>
            </w:pPr>
            <w:proofErr w:type="gramStart"/>
            <w:r w:rsidRPr="003D431E">
              <w:rPr>
                <w:rFonts w:ascii="Times New Roman" w:hAnsi="Times New Roman" w:cs="Times New Roman"/>
                <w:iCs/>
                <w:sz w:val="18"/>
                <w:szCs w:val="18"/>
              </w:rPr>
              <w:t>have</w:t>
            </w:r>
            <w:proofErr w:type="gramEnd"/>
            <w:r w:rsidRPr="003D431E">
              <w:rPr>
                <w:rFonts w:ascii="Times New Roman" w:hAnsi="Times New Roman" w:cs="Times New Roman"/>
                <w:iCs/>
                <w:sz w:val="18"/>
                <w:szCs w:val="18"/>
              </w:rPr>
              <w:t xml:space="preserve"> relevant professional experience of at least fifteen (15) years after obtaining a degree, including related experience in,</w:t>
            </w:r>
            <w:r w:rsidR="0032460A">
              <w:rPr>
                <w:rFonts w:ascii="Times New Roman" w:hAnsi="Times New Roman" w:cs="Times New Roman"/>
                <w:iCs/>
                <w:sz w:val="18"/>
                <w:szCs w:val="18"/>
              </w:rPr>
              <w:t>..</w:t>
            </w:r>
          </w:p>
          <w:p w14:paraId="513FBA59" w14:textId="77777777" w:rsidR="00A71772" w:rsidRPr="007B4E8E" w:rsidRDefault="00A71772" w:rsidP="00437BCA">
            <w:pPr>
              <w:ind w:left="170"/>
              <w:rPr>
                <w:rFonts w:ascii="Times New Roman" w:hAnsi="Times New Roman" w:cs="Times New Roman"/>
              </w:rPr>
            </w:pPr>
          </w:p>
        </w:tc>
        <w:tc>
          <w:tcPr>
            <w:tcW w:w="3005" w:type="dxa"/>
          </w:tcPr>
          <w:p w14:paraId="14DCCC97" w14:textId="183890F2" w:rsidR="00BD539C" w:rsidRPr="00BD539C" w:rsidRDefault="00BD539C" w:rsidP="0081568F">
            <w:pPr>
              <w:jc w:val="both"/>
              <w:rPr>
                <w:rFonts w:ascii="Times New Roman" w:hAnsi="Times New Roman" w:cs="Times New Roman"/>
              </w:rPr>
            </w:pPr>
          </w:p>
        </w:tc>
        <w:tc>
          <w:tcPr>
            <w:tcW w:w="3006" w:type="dxa"/>
          </w:tcPr>
          <w:p w14:paraId="75A171AD" w14:textId="321A5DCC" w:rsidR="0046484F" w:rsidRPr="00555C6F" w:rsidRDefault="0046484F" w:rsidP="00A57389">
            <w:pPr>
              <w:rPr>
                <w:rFonts w:ascii="Times New Roman" w:hAnsi="Times New Roman" w:cs="Times New Roman"/>
              </w:rPr>
            </w:pPr>
          </w:p>
        </w:tc>
      </w:tr>
      <w:tr w:rsidR="0032460A" w14:paraId="65B4C8D8" w14:textId="77777777" w:rsidTr="00A57389">
        <w:tc>
          <w:tcPr>
            <w:tcW w:w="3005" w:type="dxa"/>
          </w:tcPr>
          <w:p w14:paraId="1FD8E210" w14:textId="1031E57B" w:rsidR="0032460A" w:rsidRPr="003D431E" w:rsidRDefault="0032460A" w:rsidP="00437BCA">
            <w:pPr>
              <w:spacing w:line="276" w:lineRule="auto"/>
              <w:ind w:left="170"/>
              <w:jc w:val="both"/>
              <w:rPr>
                <w:rFonts w:ascii="Times New Roman" w:hAnsi="Times New Roman" w:cs="Times New Roman"/>
                <w:iCs/>
                <w:sz w:val="18"/>
                <w:szCs w:val="18"/>
              </w:rPr>
            </w:pPr>
            <w:r w:rsidRPr="003D431E">
              <w:rPr>
                <w:rFonts w:ascii="Times New Roman" w:hAnsi="Times New Roman" w:cs="Times New Roman"/>
                <w:iCs/>
                <w:sz w:val="18"/>
                <w:szCs w:val="18"/>
              </w:rPr>
              <w:t xml:space="preserve">matters of conflict of interest and </w:t>
            </w:r>
            <w:r>
              <w:rPr>
                <w:rFonts w:ascii="Times New Roman" w:hAnsi="Times New Roman" w:cs="Times New Roman"/>
                <w:iCs/>
                <w:sz w:val="18"/>
                <w:szCs w:val="18"/>
              </w:rPr>
              <w:t>unexplained wealth</w:t>
            </w:r>
            <w:r w:rsidRPr="003D431E">
              <w:rPr>
                <w:rFonts w:ascii="Times New Roman" w:hAnsi="Times New Roman" w:cs="Times New Roman"/>
                <w:iCs/>
                <w:sz w:val="18"/>
                <w:szCs w:val="18"/>
              </w:rPr>
              <w:t>,</w:t>
            </w:r>
          </w:p>
        </w:tc>
        <w:tc>
          <w:tcPr>
            <w:tcW w:w="3005" w:type="dxa"/>
          </w:tcPr>
          <w:p w14:paraId="5E6549FD" w14:textId="5E361F85" w:rsidR="0032460A" w:rsidRPr="007B4E8E" w:rsidRDefault="0032460A" w:rsidP="00A57389">
            <w:pPr>
              <w:jc w:val="both"/>
              <w:rPr>
                <w:rFonts w:ascii="Times New Roman" w:hAnsi="Times New Roman" w:cs="Times New Roman"/>
              </w:rPr>
            </w:pPr>
          </w:p>
        </w:tc>
        <w:tc>
          <w:tcPr>
            <w:tcW w:w="3006" w:type="dxa"/>
          </w:tcPr>
          <w:p w14:paraId="6ED4685E" w14:textId="388D33E6" w:rsidR="00501F30" w:rsidRPr="00555C6F" w:rsidRDefault="00501F30" w:rsidP="00A57389">
            <w:pPr>
              <w:rPr>
                <w:rFonts w:ascii="Times New Roman" w:hAnsi="Times New Roman" w:cs="Times New Roman"/>
              </w:rPr>
            </w:pPr>
          </w:p>
        </w:tc>
      </w:tr>
      <w:tr w:rsidR="0032460A" w14:paraId="72D153DB" w14:textId="77777777" w:rsidTr="00A57389">
        <w:tc>
          <w:tcPr>
            <w:tcW w:w="3005" w:type="dxa"/>
          </w:tcPr>
          <w:p w14:paraId="68629945" w14:textId="2BA2EBBE" w:rsidR="0032460A" w:rsidRPr="003D431E" w:rsidRDefault="0032460A" w:rsidP="00437BCA">
            <w:pPr>
              <w:spacing w:line="276" w:lineRule="auto"/>
              <w:ind w:left="170"/>
              <w:jc w:val="both"/>
              <w:rPr>
                <w:rFonts w:ascii="Times New Roman" w:hAnsi="Times New Roman" w:cs="Times New Roman"/>
                <w:iCs/>
                <w:sz w:val="18"/>
                <w:szCs w:val="18"/>
              </w:rPr>
            </w:pPr>
            <w:r w:rsidRPr="003D431E">
              <w:rPr>
                <w:rFonts w:ascii="Times New Roman" w:hAnsi="Times New Roman" w:cs="Times New Roman"/>
                <w:iCs/>
                <w:sz w:val="18"/>
                <w:szCs w:val="18"/>
              </w:rPr>
              <w:t>financial investigations</w:t>
            </w:r>
          </w:p>
        </w:tc>
        <w:tc>
          <w:tcPr>
            <w:tcW w:w="3005" w:type="dxa"/>
          </w:tcPr>
          <w:p w14:paraId="299EE42E" w14:textId="5D642228" w:rsidR="0032460A" w:rsidRPr="008B322C" w:rsidRDefault="0032460A" w:rsidP="00A57389">
            <w:pPr>
              <w:jc w:val="both"/>
              <w:rPr>
                <w:rFonts w:ascii="Times New Roman" w:hAnsi="Times New Roman" w:cs="Times New Roman"/>
                <w:color w:val="EE0000"/>
              </w:rPr>
            </w:pPr>
          </w:p>
        </w:tc>
        <w:tc>
          <w:tcPr>
            <w:tcW w:w="3006" w:type="dxa"/>
          </w:tcPr>
          <w:p w14:paraId="4FA472B4" w14:textId="77777777" w:rsidR="0032460A" w:rsidRPr="00555C6F" w:rsidRDefault="0032460A" w:rsidP="00A57389">
            <w:pPr>
              <w:rPr>
                <w:rFonts w:ascii="Times New Roman" w:hAnsi="Times New Roman" w:cs="Times New Roman"/>
              </w:rPr>
            </w:pPr>
          </w:p>
        </w:tc>
      </w:tr>
      <w:tr w:rsidR="0032460A" w14:paraId="27912D15" w14:textId="77777777" w:rsidTr="00A57389">
        <w:tc>
          <w:tcPr>
            <w:tcW w:w="3005" w:type="dxa"/>
          </w:tcPr>
          <w:p w14:paraId="3159BAEE" w14:textId="098C3854" w:rsidR="0032460A" w:rsidRPr="003D431E" w:rsidRDefault="0032460A" w:rsidP="00437BCA">
            <w:pPr>
              <w:spacing w:line="276" w:lineRule="auto"/>
              <w:ind w:left="170"/>
              <w:jc w:val="both"/>
              <w:rPr>
                <w:rFonts w:ascii="Times New Roman" w:hAnsi="Times New Roman" w:cs="Times New Roman"/>
                <w:iCs/>
                <w:sz w:val="18"/>
                <w:szCs w:val="18"/>
              </w:rPr>
            </w:pPr>
            <w:r w:rsidRPr="003D431E">
              <w:rPr>
                <w:rFonts w:ascii="Times New Roman" w:hAnsi="Times New Roman" w:cs="Times New Roman"/>
                <w:iCs/>
                <w:sz w:val="18"/>
                <w:szCs w:val="18"/>
              </w:rPr>
              <w:t>and other directly related matters</w:t>
            </w:r>
          </w:p>
        </w:tc>
        <w:tc>
          <w:tcPr>
            <w:tcW w:w="3005" w:type="dxa"/>
          </w:tcPr>
          <w:p w14:paraId="5A64F900" w14:textId="5142C1FD" w:rsidR="00375402" w:rsidRPr="008E38B6" w:rsidRDefault="00375402" w:rsidP="008E38B6">
            <w:pPr>
              <w:jc w:val="both"/>
              <w:rPr>
                <w:rFonts w:ascii="Times New Roman" w:hAnsi="Times New Roman" w:cs="Times New Roman"/>
              </w:rPr>
            </w:pPr>
          </w:p>
        </w:tc>
        <w:tc>
          <w:tcPr>
            <w:tcW w:w="3006" w:type="dxa"/>
          </w:tcPr>
          <w:p w14:paraId="6EB16C35" w14:textId="6262CF14" w:rsidR="00CF11F9" w:rsidRPr="00555C6F" w:rsidRDefault="00CF11F9" w:rsidP="00A57389">
            <w:pPr>
              <w:rPr>
                <w:rFonts w:ascii="Times New Roman" w:hAnsi="Times New Roman" w:cs="Times New Roman"/>
              </w:rPr>
            </w:pPr>
          </w:p>
        </w:tc>
      </w:tr>
      <w:tr w:rsidR="0032460A" w14:paraId="2578E557" w14:textId="77777777" w:rsidTr="00A57389">
        <w:tc>
          <w:tcPr>
            <w:tcW w:w="3005" w:type="dxa"/>
          </w:tcPr>
          <w:p w14:paraId="79C0393B" w14:textId="09D981DE" w:rsidR="0032460A" w:rsidRPr="003D431E" w:rsidRDefault="0032460A" w:rsidP="00437BCA">
            <w:pPr>
              <w:spacing w:line="276" w:lineRule="auto"/>
              <w:ind w:left="170"/>
              <w:jc w:val="both"/>
              <w:rPr>
                <w:rFonts w:ascii="Times New Roman" w:hAnsi="Times New Roman" w:cs="Times New Roman"/>
                <w:iCs/>
                <w:sz w:val="18"/>
                <w:szCs w:val="18"/>
              </w:rPr>
            </w:pPr>
            <w:r w:rsidRPr="005159AA">
              <w:rPr>
                <w:rFonts w:ascii="Times New Roman" w:hAnsi="Times New Roman" w:cs="Times New Roman"/>
                <w:b/>
                <w:bCs/>
                <w:iCs/>
                <w:sz w:val="18"/>
                <w:szCs w:val="18"/>
              </w:rPr>
              <w:t xml:space="preserve">or </w:t>
            </w:r>
            <w:r w:rsidRPr="003D431E">
              <w:rPr>
                <w:rFonts w:ascii="Times New Roman" w:hAnsi="Times New Roman" w:cs="Times New Roman"/>
                <w:iCs/>
                <w:sz w:val="18"/>
                <w:szCs w:val="18"/>
              </w:rPr>
              <w:t>experience in international judicial missions</w:t>
            </w:r>
          </w:p>
        </w:tc>
        <w:tc>
          <w:tcPr>
            <w:tcW w:w="3005" w:type="dxa"/>
          </w:tcPr>
          <w:p w14:paraId="5E6072DC" w14:textId="657F4780" w:rsidR="008E38B6" w:rsidRPr="00BD539C" w:rsidRDefault="008E38B6" w:rsidP="00BD539C">
            <w:pPr>
              <w:jc w:val="both"/>
              <w:rPr>
                <w:rFonts w:ascii="Times New Roman" w:hAnsi="Times New Roman" w:cs="Times New Roman"/>
              </w:rPr>
            </w:pPr>
          </w:p>
        </w:tc>
        <w:tc>
          <w:tcPr>
            <w:tcW w:w="3006" w:type="dxa"/>
          </w:tcPr>
          <w:p w14:paraId="35234773" w14:textId="03AF1C85" w:rsidR="008E38B6" w:rsidRPr="00555C6F" w:rsidRDefault="008E38B6" w:rsidP="00A57389">
            <w:pPr>
              <w:rPr>
                <w:rFonts w:ascii="Times New Roman" w:hAnsi="Times New Roman" w:cs="Times New Roman"/>
              </w:rPr>
            </w:pPr>
          </w:p>
        </w:tc>
      </w:tr>
      <w:tr w:rsidR="00A71772" w14:paraId="15B53A28" w14:textId="77777777" w:rsidTr="00A57389">
        <w:tc>
          <w:tcPr>
            <w:tcW w:w="3005" w:type="dxa"/>
          </w:tcPr>
          <w:p w14:paraId="2C8FCD95" w14:textId="77777777" w:rsidR="00A71772" w:rsidRPr="003D431E" w:rsidRDefault="00A71772" w:rsidP="00437BCA">
            <w:pPr>
              <w:numPr>
                <w:ilvl w:val="1"/>
                <w:numId w:val="3"/>
              </w:numPr>
              <w:spacing w:line="276" w:lineRule="auto"/>
              <w:ind w:left="170" w:firstLine="0"/>
              <w:jc w:val="both"/>
              <w:rPr>
                <w:rFonts w:ascii="Times New Roman" w:hAnsi="Times New Roman" w:cs="Times New Roman"/>
                <w:bCs/>
                <w:iCs/>
                <w:sz w:val="18"/>
                <w:szCs w:val="18"/>
              </w:rPr>
            </w:pPr>
            <w:r w:rsidRPr="003D431E">
              <w:rPr>
                <w:rFonts w:ascii="Times New Roman" w:hAnsi="Times New Roman" w:cs="Times New Roman"/>
                <w:iCs/>
                <w:sz w:val="18"/>
                <w:szCs w:val="18"/>
              </w:rPr>
              <w:t>have no disciplinary measure in force against them,</w:t>
            </w:r>
          </w:p>
          <w:p w14:paraId="20CC7451" w14:textId="77777777" w:rsidR="00A71772" w:rsidRPr="007B4E8E" w:rsidRDefault="00A71772" w:rsidP="00437BCA">
            <w:pPr>
              <w:ind w:left="170"/>
              <w:rPr>
                <w:rFonts w:ascii="Times New Roman" w:hAnsi="Times New Roman" w:cs="Times New Roman"/>
              </w:rPr>
            </w:pPr>
          </w:p>
        </w:tc>
        <w:tc>
          <w:tcPr>
            <w:tcW w:w="3005" w:type="dxa"/>
          </w:tcPr>
          <w:p w14:paraId="5E96FBA6" w14:textId="5EE6D3B6" w:rsidR="00A71772" w:rsidRPr="007B4E8E" w:rsidRDefault="00A71772" w:rsidP="00A57389">
            <w:pPr>
              <w:jc w:val="both"/>
              <w:rPr>
                <w:rFonts w:ascii="Times New Roman" w:hAnsi="Times New Roman" w:cs="Times New Roman"/>
              </w:rPr>
            </w:pPr>
          </w:p>
        </w:tc>
        <w:tc>
          <w:tcPr>
            <w:tcW w:w="3006" w:type="dxa"/>
          </w:tcPr>
          <w:p w14:paraId="6141004B" w14:textId="77777777" w:rsidR="00A71772" w:rsidRPr="00555C6F" w:rsidRDefault="00A71772" w:rsidP="00A57389">
            <w:pPr>
              <w:rPr>
                <w:rFonts w:ascii="Times New Roman" w:hAnsi="Times New Roman" w:cs="Times New Roman"/>
              </w:rPr>
            </w:pPr>
          </w:p>
        </w:tc>
      </w:tr>
      <w:tr w:rsidR="00A71772" w14:paraId="540B1008" w14:textId="77777777" w:rsidTr="00A57389">
        <w:tc>
          <w:tcPr>
            <w:tcW w:w="3005" w:type="dxa"/>
          </w:tcPr>
          <w:p w14:paraId="6F482516" w14:textId="77777777" w:rsidR="00A71772" w:rsidRPr="003D431E" w:rsidRDefault="00A71772" w:rsidP="00437BCA">
            <w:pPr>
              <w:numPr>
                <w:ilvl w:val="1"/>
                <w:numId w:val="3"/>
              </w:numPr>
              <w:spacing w:line="276" w:lineRule="auto"/>
              <w:ind w:left="170" w:firstLine="0"/>
              <w:jc w:val="both"/>
              <w:rPr>
                <w:rFonts w:ascii="Times New Roman" w:hAnsi="Times New Roman" w:cs="Times New Roman"/>
                <w:bCs/>
                <w:iCs/>
                <w:sz w:val="18"/>
                <w:szCs w:val="18"/>
              </w:rPr>
            </w:pPr>
            <w:r w:rsidRPr="003D431E">
              <w:rPr>
                <w:rFonts w:ascii="Times New Roman" w:hAnsi="Times New Roman" w:cs="Times New Roman"/>
                <w:iCs/>
                <w:sz w:val="18"/>
                <w:szCs w:val="18"/>
              </w:rPr>
              <w:t>have never been subject to a criminal investigation that lead to an indictment,</w:t>
            </w:r>
          </w:p>
          <w:p w14:paraId="152B3DF6" w14:textId="77777777" w:rsidR="00A71772" w:rsidRPr="007B4E8E" w:rsidRDefault="00A71772" w:rsidP="00437BCA">
            <w:pPr>
              <w:ind w:left="170"/>
              <w:rPr>
                <w:rFonts w:ascii="Times New Roman" w:hAnsi="Times New Roman" w:cs="Times New Roman"/>
              </w:rPr>
            </w:pPr>
          </w:p>
        </w:tc>
        <w:tc>
          <w:tcPr>
            <w:tcW w:w="3005" w:type="dxa"/>
          </w:tcPr>
          <w:p w14:paraId="36F4BEF0" w14:textId="5854E1A1" w:rsidR="00A71772" w:rsidRPr="007B4E8E" w:rsidRDefault="00A71772" w:rsidP="008930C0">
            <w:pPr>
              <w:rPr>
                <w:rFonts w:ascii="Times New Roman" w:hAnsi="Times New Roman" w:cs="Times New Roman"/>
              </w:rPr>
            </w:pPr>
            <w:bookmarkStart w:id="0" w:name="_GoBack"/>
            <w:bookmarkEnd w:id="0"/>
          </w:p>
        </w:tc>
        <w:tc>
          <w:tcPr>
            <w:tcW w:w="3006" w:type="dxa"/>
          </w:tcPr>
          <w:p w14:paraId="664DDC58" w14:textId="77777777" w:rsidR="00A71772" w:rsidRPr="00555C6F" w:rsidRDefault="00A71772" w:rsidP="00A57389">
            <w:pPr>
              <w:rPr>
                <w:rFonts w:ascii="Times New Roman" w:hAnsi="Times New Roman" w:cs="Times New Roman"/>
              </w:rPr>
            </w:pPr>
          </w:p>
        </w:tc>
      </w:tr>
      <w:tr w:rsidR="00A57389" w14:paraId="2D7A3C65" w14:textId="77777777" w:rsidTr="00A57389">
        <w:tc>
          <w:tcPr>
            <w:tcW w:w="3005" w:type="dxa"/>
          </w:tcPr>
          <w:p w14:paraId="2093703D" w14:textId="29760B67" w:rsidR="00A57389" w:rsidRPr="007663A3" w:rsidRDefault="00A57389" w:rsidP="00437BCA">
            <w:pPr>
              <w:numPr>
                <w:ilvl w:val="1"/>
                <w:numId w:val="3"/>
              </w:numPr>
              <w:spacing w:line="276" w:lineRule="auto"/>
              <w:ind w:left="170" w:firstLine="0"/>
              <w:jc w:val="both"/>
              <w:rPr>
                <w:rFonts w:ascii="Times New Roman" w:hAnsi="Times New Roman" w:cs="Times New Roman"/>
                <w:bCs/>
                <w:iCs/>
                <w:sz w:val="18"/>
                <w:szCs w:val="18"/>
              </w:rPr>
            </w:pPr>
            <w:r w:rsidRPr="003D431E">
              <w:rPr>
                <w:rFonts w:ascii="Times New Roman" w:hAnsi="Times New Roman" w:cs="Times New Roman"/>
                <w:iCs/>
                <w:sz w:val="18"/>
                <w:szCs w:val="18"/>
              </w:rPr>
              <w:t xml:space="preserve">have an excellent professional reputation, </w:t>
            </w:r>
          </w:p>
        </w:tc>
        <w:tc>
          <w:tcPr>
            <w:tcW w:w="3005" w:type="dxa"/>
          </w:tcPr>
          <w:p w14:paraId="09B040FC" w14:textId="77777777" w:rsidR="00A57389" w:rsidRPr="00555C6F" w:rsidRDefault="00A57389" w:rsidP="00A57389">
            <w:pPr>
              <w:rPr>
                <w:rFonts w:ascii="Times New Roman" w:hAnsi="Times New Roman" w:cs="Times New Roman"/>
              </w:rPr>
            </w:pPr>
          </w:p>
        </w:tc>
        <w:tc>
          <w:tcPr>
            <w:tcW w:w="3006" w:type="dxa"/>
          </w:tcPr>
          <w:p w14:paraId="09D78E49" w14:textId="5AFDE550" w:rsidR="00DE1898" w:rsidRPr="004B7907" w:rsidRDefault="00DE1898" w:rsidP="002943D2">
            <w:pPr>
              <w:pStyle w:val="Default"/>
              <w:ind w:left="117"/>
              <w:rPr>
                <w:rFonts w:ascii="Times New Roman" w:eastAsia="Times New Roman" w:hAnsi="Times New Roman" w:cs="Times New Roman"/>
                <w:color w:val="auto"/>
                <w:sz w:val="22"/>
                <w:szCs w:val="22"/>
                <w:lang w:eastAsia="en-GB"/>
              </w:rPr>
            </w:pPr>
          </w:p>
        </w:tc>
      </w:tr>
      <w:tr w:rsidR="007663A3" w14:paraId="5591618D" w14:textId="77777777" w:rsidTr="00A57389">
        <w:tc>
          <w:tcPr>
            <w:tcW w:w="3005" w:type="dxa"/>
          </w:tcPr>
          <w:p w14:paraId="1E03E0CB" w14:textId="1EDABCA5" w:rsidR="007663A3" w:rsidRPr="003D431E" w:rsidRDefault="007663A3" w:rsidP="00437BCA">
            <w:pPr>
              <w:numPr>
                <w:ilvl w:val="1"/>
                <w:numId w:val="3"/>
              </w:numPr>
              <w:spacing w:line="276" w:lineRule="auto"/>
              <w:ind w:left="170" w:firstLine="0"/>
              <w:jc w:val="both"/>
              <w:rPr>
                <w:rFonts w:ascii="Times New Roman" w:hAnsi="Times New Roman" w:cs="Times New Roman"/>
                <w:iCs/>
                <w:sz w:val="18"/>
                <w:szCs w:val="18"/>
              </w:rPr>
            </w:pPr>
            <w:proofErr w:type="gramStart"/>
            <w:r w:rsidRPr="003D431E">
              <w:rPr>
                <w:rFonts w:ascii="Times New Roman" w:hAnsi="Times New Roman" w:cs="Times New Roman"/>
                <w:iCs/>
                <w:sz w:val="18"/>
                <w:szCs w:val="18"/>
              </w:rPr>
              <w:t>have</w:t>
            </w:r>
            <w:proofErr w:type="gramEnd"/>
            <w:r w:rsidRPr="003D431E">
              <w:rPr>
                <w:rFonts w:ascii="Times New Roman" w:hAnsi="Times New Roman" w:cs="Times New Roman"/>
                <w:iCs/>
                <w:sz w:val="18"/>
                <w:szCs w:val="18"/>
              </w:rPr>
              <w:t xml:space="preserve"> excellent knowledge of the English language,</w:t>
            </w:r>
            <w:r w:rsidRPr="00D8010A">
              <w:rPr>
                <w:rFonts w:ascii="Times New Roman" w:hAnsi="Times New Roman" w:cs="Times New Roman"/>
                <w:iCs/>
                <w:sz w:val="18"/>
                <w:szCs w:val="18"/>
              </w:rPr>
              <w:t xml:space="preserve">.  </w:t>
            </w:r>
          </w:p>
        </w:tc>
        <w:tc>
          <w:tcPr>
            <w:tcW w:w="3005" w:type="dxa"/>
          </w:tcPr>
          <w:p w14:paraId="15D380A6" w14:textId="4B60C8A3" w:rsidR="0060737C" w:rsidRDefault="0060737C" w:rsidP="003E51D7">
            <w:pPr>
              <w:pStyle w:val="Default"/>
              <w:rPr>
                <w:rFonts w:ascii="Times New Roman" w:hAnsi="Times New Roman" w:cs="Times New Roman"/>
                <w:color w:val="auto"/>
                <w:sz w:val="22"/>
                <w:szCs w:val="22"/>
              </w:rPr>
            </w:pPr>
          </w:p>
        </w:tc>
        <w:tc>
          <w:tcPr>
            <w:tcW w:w="3006" w:type="dxa"/>
          </w:tcPr>
          <w:p w14:paraId="6DFB1CEB" w14:textId="00FB048B" w:rsidR="007663A3" w:rsidRPr="004B7907" w:rsidRDefault="007663A3" w:rsidP="00A71772">
            <w:pPr>
              <w:pStyle w:val="Default"/>
              <w:ind w:left="720"/>
              <w:rPr>
                <w:rFonts w:ascii="Times New Roman" w:eastAsia="Times New Roman" w:hAnsi="Times New Roman" w:cs="Times New Roman"/>
                <w:color w:val="auto"/>
                <w:sz w:val="22"/>
                <w:szCs w:val="22"/>
                <w:lang w:eastAsia="en-GB"/>
              </w:rPr>
            </w:pPr>
          </w:p>
        </w:tc>
      </w:tr>
      <w:tr w:rsidR="00D8010A" w14:paraId="5B537AF8" w14:textId="77777777" w:rsidTr="00A57389">
        <w:tc>
          <w:tcPr>
            <w:tcW w:w="3005" w:type="dxa"/>
          </w:tcPr>
          <w:p w14:paraId="6046DCEE" w14:textId="72CB5F98" w:rsidR="00D8010A" w:rsidRPr="00D8010A" w:rsidRDefault="00D8010A" w:rsidP="00437BCA">
            <w:pPr>
              <w:numPr>
                <w:ilvl w:val="1"/>
                <w:numId w:val="3"/>
              </w:numPr>
              <w:ind w:left="170" w:firstLine="0"/>
              <w:contextualSpacing/>
              <w:rPr>
                <w:rFonts w:ascii="Times New Roman" w:hAnsi="Times New Roman" w:cs="Times New Roman"/>
                <w:bCs/>
                <w:iCs/>
                <w:sz w:val="18"/>
                <w:szCs w:val="18"/>
              </w:rPr>
            </w:pPr>
            <w:r w:rsidRPr="003D431E">
              <w:rPr>
                <w:rFonts w:ascii="Times New Roman" w:hAnsi="Times New Roman" w:cs="Times New Roman"/>
                <w:bCs/>
                <w:iCs/>
                <w:sz w:val="18"/>
                <w:szCs w:val="18"/>
              </w:rPr>
              <w:t>work experience in an international environment in the justice sector,</w:t>
            </w:r>
          </w:p>
        </w:tc>
        <w:tc>
          <w:tcPr>
            <w:tcW w:w="3005" w:type="dxa"/>
          </w:tcPr>
          <w:p w14:paraId="19968B47" w14:textId="3BB7E384" w:rsidR="007663A3" w:rsidRPr="00555C6F" w:rsidRDefault="007663A3" w:rsidP="007663A3">
            <w:pPr>
              <w:pStyle w:val="Default"/>
              <w:rPr>
                <w:rFonts w:ascii="Times New Roman" w:hAnsi="Times New Roman" w:cs="Times New Roman"/>
                <w:color w:val="auto"/>
                <w:sz w:val="22"/>
                <w:szCs w:val="22"/>
              </w:rPr>
            </w:pPr>
          </w:p>
        </w:tc>
        <w:tc>
          <w:tcPr>
            <w:tcW w:w="3006" w:type="dxa"/>
          </w:tcPr>
          <w:p w14:paraId="3F69DD16" w14:textId="59530E92" w:rsidR="005159AA" w:rsidRPr="004B7907" w:rsidRDefault="005159AA" w:rsidP="00A71772">
            <w:pPr>
              <w:pStyle w:val="Default"/>
              <w:ind w:left="720"/>
              <w:rPr>
                <w:rFonts w:ascii="Times New Roman" w:eastAsia="Times New Roman" w:hAnsi="Times New Roman" w:cs="Times New Roman"/>
                <w:color w:val="auto"/>
                <w:sz w:val="22"/>
                <w:szCs w:val="22"/>
                <w:lang w:eastAsia="en-GB"/>
              </w:rPr>
            </w:pPr>
          </w:p>
        </w:tc>
      </w:tr>
      <w:tr w:rsidR="00A57389" w14:paraId="08AD02C3" w14:textId="77777777" w:rsidTr="00A57389">
        <w:tc>
          <w:tcPr>
            <w:tcW w:w="3005" w:type="dxa"/>
          </w:tcPr>
          <w:p w14:paraId="37DDD9F1" w14:textId="77777777" w:rsidR="00781A17" w:rsidRPr="00781A17" w:rsidRDefault="00A71772" w:rsidP="00781A17">
            <w:pPr>
              <w:numPr>
                <w:ilvl w:val="0"/>
                <w:numId w:val="3"/>
              </w:numPr>
              <w:spacing w:line="276" w:lineRule="auto"/>
              <w:ind w:left="170" w:firstLine="0"/>
              <w:jc w:val="both"/>
              <w:rPr>
                <w:rFonts w:ascii="Times New Roman" w:hAnsi="Times New Roman" w:cs="Times New Roman"/>
                <w:bCs/>
                <w:iCs/>
                <w:sz w:val="18"/>
                <w:szCs w:val="18"/>
              </w:rPr>
            </w:pPr>
            <w:r w:rsidRPr="003D431E">
              <w:rPr>
                <w:rFonts w:ascii="Times New Roman" w:hAnsi="Times New Roman" w:cs="Times New Roman"/>
                <w:iCs/>
                <w:sz w:val="18"/>
                <w:szCs w:val="18"/>
              </w:rPr>
              <w:t>The following is considered an asset:</w:t>
            </w:r>
          </w:p>
          <w:p w14:paraId="71354715" w14:textId="54FEB2B0" w:rsidR="00A57389" w:rsidRPr="00781A17" w:rsidRDefault="00A71772" w:rsidP="00781A17">
            <w:pPr>
              <w:spacing w:line="276" w:lineRule="auto"/>
              <w:ind w:left="170"/>
              <w:jc w:val="both"/>
              <w:rPr>
                <w:rFonts w:ascii="Times New Roman" w:hAnsi="Times New Roman" w:cs="Times New Roman"/>
                <w:bCs/>
                <w:iCs/>
                <w:sz w:val="18"/>
                <w:szCs w:val="18"/>
              </w:rPr>
            </w:pPr>
            <w:r w:rsidRPr="00781A17">
              <w:rPr>
                <w:rFonts w:ascii="Times New Roman" w:hAnsi="Times New Roman" w:cs="Times New Roman"/>
                <w:iCs/>
                <w:sz w:val="18"/>
                <w:szCs w:val="18"/>
              </w:rPr>
              <w:t xml:space="preserve">experience in asset verification, </w:t>
            </w:r>
            <w:r w:rsidRPr="00A57389">
              <w:rPr>
                <w:rFonts w:ascii="Times New Roman" w:hAnsi="Times New Roman" w:cs="Times New Roman"/>
                <w:iCs/>
                <w:sz w:val="18"/>
                <w:szCs w:val="18"/>
              </w:rPr>
              <w:t>knowledge of one of the</w:t>
            </w:r>
            <w:r w:rsidR="00851CF5">
              <w:rPr>
                <w:rFonts w:ascii="Times New Roman" w:hAnsi="Times New Roman" w:cs="Times New Roman"/>
                <w:iCs/>
                <w:sz w:val="18"/>
                <w:szCs w:val="18"/>
              </w:rPr>
              <w:t xml:space="preserve"> </w:t>
            </w:r>
            <w:r w:rsidRPr="00A57389">
              <w:rPr>
                <w:rFonts w:ascii="Times New Roman" w:hAnsi="Times New Roman" w:cs="Times New Roman"/>
                <w:iCs/>
                <w:sz w:val="18"/>
                <w:szCs w:val="18"/>
              </w:rPr>
              <w:t>local languages</w:t>
            </w:r>
          </w:p>
        </w:tc>
        <w:tc>
          <w:tcPr>
            <w:tcW w:w="3005" w:type="dxa"/>
          </w:tcPr>
          <w:p w14:paraId="52A4D515" w14:textId="422F2C3B" w:rsidR="00307B74" w:rsidRPr="00307B74" w:rsidRDefault="00307B74" w:rsidP="00307B74">
            <w:pPr>
              <w:pStyle w:val="Default"/>
              <w:rPr>
                <w:rFonts w:ascii="Times New Roman" w:hAnsi="Times New Roman" w:cs="Times New Roman"/>
                <w:color w:val="auto"/>
                <w:sz w:val="22"/>
                <w:szCs w:val="22"/>
              </w:rPr>
            </w:pPr>
          </w:p>
        </w:tc>
        <w:tc>
          <w:tcPr>
            <w:tcW w:w="3006" w:type="dxa"/>
          </w:tcPr>
          <w:p w14:paraId="616F5F6F" w14:textId="77777777" w:rsidR="004B7907" w:rsidRPr="004B7907" w:rsidRDefault="004B7907" w:rsidP="00A71772">
            <w:pPr>
              <w:pStyle w:val="Default"/>
              <w:rPr>
                <w:rFonts w:ascii="Times New Roman" w:hAnsi="Times New Roman" w:cs="Times New Roman"/>
              </w:rPr>
            </w:pPr>
          </w:p>
        </w:tc>
      </w:tr>
    </w:tbl>
    <w:p w14:paraId="704FB9B8" w14:textId="77777777" w:rsidR="00A5555C" w:rsidRDefault="00A5555C" w:rsidP="00555C6F"/>
    <w:sectPr w:rsidR="00A555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06A6"/>
    <w:multiLevelType w:val="hybridMultilevel"/>
    <w:tmpl w:val="832A5B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D1124"/>
    <w:multiLevelType w:val="hybridMultilevel"/>
    <w:tmpl w:val="732E0F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F52B49"/>
    <w:multiLevelType w:val="hybridMultilevel"/>
    <w:tmpl w:val="954E6D5A"/>
    <w:lvl w:ilvl="0" w:tplc="A6F45508">
      <w:start w:val="1999"/>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5B6D8B"/>
    <w:multiLevelType w:val="hybridMultilevel"/>
    <w:tmpl w:val="9E989EB8"/>
    <w:lvl w:ilvl="0" w:tplc="7446FB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05286B"/>
    <w:multiLevelType w:val="hybridMultilevel"/>
    <w:tmpl w:val="8276612A"/>
    <w:lvl w:ilvl="0" w:tplc="CB946E1C">
      <w:start w:val="5"/>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9AD6AEB"/>
    <w:multiLevelType w:val="hybridMultilevel"/>
    <w:tmpl w:val="8F7E5F7C"/>
    <w:lvl w:ilvl="0" w:tplc="0C070015">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B11AE3DC">
      <w:numFmt w:val="bullet"/>
      <w:lvlText w:val="-"/>
      <w:lvlJc w:val="left"/>
      <w:pPr>
        <w:ind w:left="2340" w:hanging="360"/>
      </w:pPr>
      <w:rPr>
        <w:rFonts w:ascii="Times New Roman" w:eastAsiaTheme="minorHAnsi" w:hAnsi="Times New Roman" w:cs="Times New Roman"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50BD1618"/>
    <w:multiLevelType w:val="hybridMultilevel"/>
    <w:tmpl w:val="525E62E8"/>
    <w:lvl w:ilvl="0" w:tplc="21EA8F2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0A32A3"/>
    <w:multiLevelType w:val="hybridMultilevel"/>
    <w:tmpl w:val="798437B4"/>
    <w:lvl w:ilvl="0" w:tplc="4566C712">
      <w:start w:val="5"/>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6"/>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A57389"/>
    <w:rsid w:val="000B6C26"/>
    <w:rsid w:val="000E754B"/>
    <w:rsid w:val="002344CB"/>
    <w:rsid w:val="00252B2C"/>
    <w:rsid w:val="00255704"/>
    <w:rsid w:val="002943D2"/>
    <w:rsid w:val="002C5C36"/>
    <w:rsid w:val="00307B74"/>
    <w:rsid w:val="0032460A"/>
    <w:rsid w:val="00375402"/>
    <w:rsid w:val="003D5CD4"/>
    <w:rsid w:val="003E51D7"/>
    <w:rsid w:val="004137B4"/>
    <w:rsid w:val="00437BCA"/>
    <w:rsid w:val="0046484F"/>
    <w:rsid w:val="004B6EC5"/>
    <w:rsid w:val="004B7907"/>
    <w:rsid w:val="00501F30"/>
    <w:rsid w:val="00511E02"/>
    <w:rsid w:val="005159AA"/>
    <w:rsid w:val="00532422"/>
    <w:rsid w:val="00554835"/>
    <w:rsid w:val="00555C6F"/>
    <w:rsid w:val="005A7E83"/>
    <w:rsid w:val="0060737C"/>
    <w:rsid w:val="006630BE"/>
    <w:rsid w:val="007663A3"/>
    <w:rsid w:val="00781A17"/>
    <w:rsid w:val="0078369E"/>
    <w:rsid w:val="007A7CAD"/>
    <w:rsid w:val="0081568F"/>
    <w:rsid w:val="0082428D"/>
    <w:rsid w:val="00851CF5"/>
    <w:rsid w:val="00877F0A"/>
    <w:rsid w:val="008930C0"/>
    <w:rsid w:val="008B322C"/>
    <w:rsid w:val="008E38B6"/>
    <w:rsid w:val="00A5555C"/>
    <w:rsid w:val="00A57389"/>
    <w:rsid w:val="00A71772"/>
    <w:rsid w:val="00B319D9"/>
    <w:rsid w:val="00B64E90"/>
    <w:rsid w:val="00B85A7B"/>
    <w:rsid w:val="00B933BC"/>
    <w:rsid w:val="00BD539C"/>
    <w:rsid w:val="00C30EF6"/>
    <w:rsid w:val="00CD7D90"/>
    <w:rsid w:val="00CF11F9"/>
    <w:rsid w:val="00D35060"/>
    <w:rsid w:val="00D8010A"/>
    <w:rsid w:val="00DD0762"/>
    <w:rsid w:val="00DE1898"/>
    <w:rsid w:val="00E94D01"/>
    <w:rsid w:val="00EA0B4C"/>
    <w:rsid w:val="00ED08F6"/>
    <w:rsid w:val="00F35C2C"/>
    <w:rsid w:val="00F87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5FC4A"/>
  <w15:chartTrackingRefBased/>
  <w15:docId w15:val="{2E339328-1AB6-4696-87C6-81D62CEBF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57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A57389"/>
    <w:pPr>
      <w:ind w:left="720"/>
      <w:contextualSpacing/>
    </w:pPr>
  </w:style>
  <w:style w:type="character" w:styleId="lev">
    <w:name w:val="Strong"/>
    <w:basedOn w:val="Policepardfaut"/>
    <w:uiPriority w:val="22"/>
    <w:qFormat/>
    <w:rsid w:val="00A57389"/>
    <w:rPr>
      <w:b/>
      <w:bCs/>
    </w:rPr>
  </w:style>
  <w:style w:type="character" w:customStyle="1" w:styleId="ParagraphedelisteCar">
    <w:name w:val="Paragraphe de liste Car"/>
    <w:link w:val="Paragraphedeliste"/>
    <w:uiPriority w:val="34"/>
    <w:locked/>
    <w:rsid w:val="00A57389"/>
  </w:style>
  <w:style w:type="character" w:styleId="Appelnotedebasdep">
    <w:name w:val="footnote reference"/>
    <w:basedOn w:val="Policepardfaut"/>
    <w:uiPriority w:val="99"/>
    <w:semiHidden/>
    <w:unhideWhenUsed/>
    <w:rsid w:val="00A57389"/>
    <w:rPr>
      <w:vertAlign w:val="superscript"/>
    </w:rPr>
  </w:style>
  <w:style w:type="paragraph" w:customStyle="1" w:styleId="Default">
    <w:name w:val="Default"/>
    <w:rsid w:val="003E51D7"/>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4B790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565</Words>
  <Characters>3111</Characters>
  <Application>Microsoft Office Word</Application>
  <DocSecurity>0</DocSecurity>
  <Lines>25</Lines>
  <Paragraphs>7</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EEAS</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VISENTIN Enrico (EEAS-SARAJEVO)</dc:creator>
  <cp:keywords/>
  <dc:description/>
  <cp:lastModifiedBy>Antoine LOISEAU</cp:lastModifiedBy>
  <cp:revision>3</cp:revision>
  <dcterms:created xsi:type="dcterms:W3CDTF">2026-01-26T12:58:00Z</dcterms:created>
  <dcterms:modified xsi:type="dcterms:W3CDTF">2026-01-26T14:12:00Z</dcterms:modified>
</cp:coreProperties>
</file>