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50A39" w14:textId="17E0E326" w:rsidR="0025787A" w:rsidRPr="00067FC0" w:rsidRDefault="0025787A" w:rsidP="0025787A">
      <w:pPr>
        <w:widowControl w:val="0"/>
        <w:autoSpaceDE w:val="0"/>
        <w:autoSpaceDN w:val="0"/>
        <w:spacing w:before="62" w:after="0" w:line="321" w:lineRule="exact"/>
        <w:ind w:right="17"/>
        <w:jc w:val="center"/>
        <w:rPr>
          <w:rFonts w:ascii="Times New Roman" w:eastAsia="Times New Roman" w:hAnsi="Times New Roman" w:cs="Times New Roman"/>
          <w:b/>
          <w:bCs/>
          <w:color w:val="auto"/>
          <w:sz w:val="28"/>
          <w:szCs w:val="28"/>
          <w:lang w:val="en-GB"/>
          <w14:ligatures w14:val="none"/>
        </w:rPr>
      </w:pPr>
      <w:r w:rsidRPr="00067FC0">
        <w:rPr>
          <w:rFonts w:ascii="Times New Roman" w:eastAsia="Times New Roman" w:hAnsi="Times New Roman" w:cs="Times New Roman"/>
          <w:b/>
          <w:bCs/>
          <w:color w:val="auto"/>
          <w:sz w:val="28"/>
          <w:szCs w:val="28"/>
          <w:lang w:val="en-GB"/>
          <w14:ligatures w14:val="none"/>
        </w:rPr>
        <w:t>Expert</w:t>
      </w:r>
      <w:r w:rsidRPr="00067FC0">
        <w:rPr>
          <w:rFonts w:ascii="Times New Roman" w:eastAsia="Times New Roman" w:hAnsi="Times New Roman" w:cs="Times New Roman"/>
          <w:b/>
          <w:bCs/>
          <w:color w:val="auto"/>
          <w:spacing w:val="-7"/>
          <w:sz w:val="28"/>
          <w:szCs w:val="28"/>
          <w:lang w:val="en-GB"/>
          <w14:ligatures w14:val="none"/>
        </w:rPr>
        <w:t xml:space="preserve"> </w:t>
      </w:r>
      <w:r w:rsidRPr="00067FC0">
        <w:rPr>
          <w:rFonts w:ascii="Times New Roman" w:eastAsia="Times New Roman" w:hAnsi="Times New Roman" w:cs="Times New Roman"/>
          <w:b/>
          <w:bCs/>
          <w:color w:val="auto"/>
          <w:sz w:val="28"/>
          <w:szCs w:val="28"/>
          <w:lang w:val="en-GB"/>
          <w14:ligatures w14:val="none"/>
        </w:rPr>
        <w:t>in</w:t>
      </w:r>
      <w:r w:rsidRPr="00067FC0">
        <w:rPr>
          <w:rFonts w:ascii="Times New Roman" w:eastAsia="Times New Roman" w:hAnsi="Times New Roman" w:cs="Times New Roman"/>
          <w:b/>
          <w:bCs/>
          <w:color w:val="auto"/>
          <w:spacing w:val="-6"/>
          <w:sz w:val="28"/>
          <w:szCs w:val="28"/>
          <w:lang w:val="en-GB"/>
          <w14:ligatures w14:val="none"/>
        </w:rPr>
        <w:t xml:space="preserve"> </w:t>
      </w:r>
      <w:r>
        <w:rPr>
          <w:rFonts w:ascii="Times New Roman" w:eastAsia="Times New Roman" w:hAnsi="Times New Roman" w:cs="Times New Roman"/>
          <w:b/>
          <w:bCs/>
          <w:color w:val="auto"/>
          <w:sz w:val="28"/>
          <w:szCs w:val="28"/>
          <w:lang w:val="en-GB"/>
          <w14:ligatures w14:val="none"/>
        </w:rPr>
        <w:t>Green Budgeting and Environmental</w:t>
      </w:r>
      <w:r w:rsidR="00F621F8">
        <w:rPr>
          <w:rFonts w:ascii="Times New Roman" w:eastAsia="Times New Roman" w:hAnsi="Times New Roman" w:cs="Times New Roman"/>
          <w:b/>
          <w:bCs/>
          <w:color w:val="auto"/>
          <w:sz w:val="28"/>
          <w:szCs w:val="28"/>
          <w:lang w:val="en-GB"/>
          <w14:ligatures w14:val="none"/>
        </w:rPr>
        <w:t xml:space="preserve"> Fiscal Policy</w:t>
      </w:r>
    </w:p>
    <w:p w14:paraId="4595FAEF" w14:textId="04856737" w:rsidR="0025787A" w:rsidRPr="00067FC0" w:rsidRDefault="0025787A" w:rsidP="0025787A">
      <w:pPr>
        <w:widowControl w:val="0"/>
        <w:autoSpaceDE w:val="0"/>
        <w:autoSpaceDN w:val="0"/>
        <w:spacing w:after="0" w:line="240" w:lineRule="auto"/>
        <w:ind w:left="247" w:right="265"/>
        <w:jc w:val="center"/>
        <w:outlineLvl w:val="0"/>
        <w:rPr>
          <w:rFonts w:ascii="Times New Roman" w:eastAsia="Times New Roman" w:hAnsi="Times New Roman" w:cs="Times New Roman"/>
          <w:b/>
          <w:bCs/>
          <w:color w:val="auto"/>
          <w:sz w:val="24"/>
          <w:szCs w:val="24"/>
          <w:lang w:val="en-GB"/>
          <w14:ligatures w14:val="none"/>
        </w:rPr>
      </w:pPr>
      <w:r w:rsidRPr="00067FC0">
        <w:rPr>
          <w:rFonts w:ascii="Times New Roman" w:eastAsia="Times New Roman" w:hAnsi="Times New Roman" w:cs="Times New Roman"/>
          <w:b/>
          <w:bCs/>
          <w:color w:val="auto"/>
          <w:sz w:val="24"/>
          <w:szCs w:val="24"/>
          <w:lang w:val="en-GB"/>
          <w14:ligatures w14:val="none"/>
        </w:rPr>
        <w:t>Technical</w:t>
      </w:r>
      <w:r w:rsidRPr="00067FC0">
        <w:rPr>
          <w:rFonts w:ascii="Times New Roman" w:eastAsia="Times New Roman" w:hAnsi="Times New Roman" w:cs="Times New Roman"/>
          <w:b/>
          <w:bCs/>
          <w:color w:val="auto"/>
          <w:spacing w:val="-4"/>
          <w:sz w:val="24"/>
          <w:szCs w:val="24"/>
          <w:lang w:val="en-GB"/>
          <w14:ligatures w14:val="none"/>
        </w:rPr>
        <w:t xml:space="preserve"> </w:t>
      </w:r>
      <w:r w:rsidRPr="00067FC0">
        <w:rPr>
          <w:rFonts w:ascii="Times New Roman" w:eastAsia="Times New Roman" w:hAnsi="Times New Roman" w:cs="Times New Roman"/>
          <w:b/>
          <w:bCs/>
          <w:color w:val="auto"/>
          <w:sz w:val="24"/>
          <w:szCs w:val="24"/>
          <w:lang w:val="en-GB"/>
          <w14:ligatures w14:val="none"/>
        </w:rPr>
        <w:t>support</w:t>
      </w:r>
      <w:r w:rsidRPr="00067FC0">
        <w:rPr>
          <w:rFonts w:ascii="Times New Roman" w:eastAsia="Times New Roman" w:hAnsi="Times New Roman" w:cs="Times New Roman"/>
          <w:b/>
          <w:bCs/>
          <w:color w:val="auto"/>
          <w:spacing w:val="-4"/>
          <w:sz w:val="24"/>
          <w:szCs w:val="24"/>
          <w:lang w:val="en-GB"/>
          <w14:ligatures w14:val="none"/>
        </w:rPr>
        <w:t xml:space="preserve"> </w:t>
      </w:r>
      <w:r w:rsidR="00F621F8">
        <w:rPr>
          <w:rFonts w:ascii="Times New Roman" w:eastAsia="Times New Roman" w:hAnsi="Times New Roman" w:cs="Times New Roman"/>
          <w:b/>
          <w:bCs/>
          <w:color w:val="auto"/>
          <w:sz w:val="24"/>
          <w:szCs w:val="24"/>
          <w:lang w:val="en-GB"/>
          <w14:ligatures w14:val="none"/>
        </w:rPr>
        <w:t xml:space="preserve">for </w:t>
      </w:r>
      <w:r w:rsidR="004C398B">
        <w:rPr>
          <w:rFonts w:ascii="Times New Roman" w:eastAsia="Times New Roman" w:hAnsi="Times New Roman" w:cs="Times New Roman"/>
          <w:b/>
          <w:bCs/>
          <w:color w:val="auto"/>
          <w:sz w:val="24"/>
          <w:szCs w:val="24"/>
          <w:lang w:val="en-GB"/>
          <w14:ligatures w14:val="none"/>
        </w:rPr>
        <w:t>the EU Civil Servants E</w:t>
      </w:r>
      <w:r w:rsidR="00F621F8">
        <w:rPr>
          <w:rFonts w:ascii="Times New Roman" w:eastAsia="Times New Roman" w:hAnsi="Times New Roman" w:cs="Times New Roman"/>
          <w:b/>
          <w:bCs/>
          <w:color w:val="auto"/>
          <w:sz w:val="24"/>
          <w:szCs w:val="24"/>
          <w:lang w:val="en-GB"/>
          <w14:ligatures w14:val="none"/>
        </w:rPr>
        <w:t xml:space="preserve">xchange </w:t>
      </w:r>
      <w:r w:rsidR="004C398B">
        <w:rPr>
          <w:rFonts w:ascii="Times New Roman" w:eastAsia="Times New Roman" w:hAnsi="Times New Roman" w:cs="Times New Roman"/>
          <w:b/>
          <w:bCs/>
          <w:color w:val="auto"/>
          <w:sz w:val="24"/>
          <w:szCs w:val="24"/>
          <w:lang w:val="en-GB"/>
          <w14:ligatures w14:val="none"/>
        </w:rPr>
        <w:t>P</w:t>
      </w:r>
      <w:r w:rsidR="00F621F8">
        <w:rPr>
          <w:rFonts w:ascii="Times New Roman" w:eastAsia="Times New Roman" w:hAnsi="Times New Roman" w:cs="Times New Roman"/>
          <w:b/>
          <w:bCs/>
          <w:color w:val="auto"/>
          <w:sz w:val="24"/>
          <w:szCs w:val="24"/>
          <w:lang w:val="en-GB"/>
          <w14:ligatures w14:val="none"/>
        </w:rPr>
        <w:t>rogramme</w:t>
      </w:r>
      <w:r w:rsidR="002E5DD6">
        <w:rPr>
          <w:rFonts w:ascii="Times New Roman" w:eastAsia="Times New Roman" w:hAnsi="Times New Roman" w:cs="Times New Roman"/>
          <w:b/>
          <w:bCs/>
          <w:color w:val="auto"/>
          <w:sz w:val="24"/>
          <w:szCs w:val="24"/>
          <w:lang w:val="en-GB"/>
          <w14:ligatures w14:val="none"/>
        </w:rPr>
        <w:t xml:space="preserve"> and Capitalisation </w:t>
      </w:r>
    </w:p>
    <w:p w14:paraId="25C86E94" w14:textId="77777777" w:rsidR="0025787A" w:rsidRPr="00067FC0" w:rsidRDefault="0025787A" w:rsidP="0025787A">
      <w:pPr>
        <w:widowControl w:val="0"/>
        <w:autoSpaceDE w:val="0"/>
        <w:autoSpaceDN w:val="0"/>
        <w:spacing w:after="0" w:line="240" w:lineRule="auto"/>
        <w:ind w:left="247" w:right="265"/>
        <w:jc w:val="center"/>
        <w:outlineLvl w:val="0"/>
        <w:rPr>
          <w:rFonts w:ascii="Times New Roman" w:eastAsia="Times New Roman" w:hAnsi="Times New Roman" w:cs="Times New Roman"/>
          <w:b/>
          <w:bCs/>
          <w:color w:val="auto"/>
          <w:sz w:val="24"/>
          <w:szCs w:val="24"/>
          <w:lang w:val="en-GB"/>
          <w14:ligatures w14:val="none"/>
        </w:rPr>
      </w:pPr>
    </w:p>
    <w:p w14:paraId="1546EFBF" w14:textId="77777777" w:rsidR="0025787A" w:rsidRPr="00067FC0" w:rsidRDefault="0025787A" w:rsidP="0025787A">
      <w:pPr>
        <w:widowControl w:val="0"/>
        <w:autoSpaceDE w:val="0"/>
        <w:autoSpaceDN w:val="0"/>
        <w:spacing w:after="0" w:line="240" w:lineRule="auto"/>
        <w:ind w:right="265"/>
        <w:outlineLvl w:val="0"/>
        <w:rPr>
          <w:rFonts w:ascii="Times New Roman" w:eastAsia="Times New Roman" w:hAnsi="Times New Roman" w:cs="Times New Roman"/>
          <w:b/>
          <w:bCs/>
          <w:color w:val="auto"/>
          <w:sz w:val="22"/>
          <w:szCs w:val="22"/>
          <w:lang w:val="en-GB"/>
          <w14:ligatures w14:val="none"/>
        </w:rPr>
      </w:pPr>
      <w:r w:rsidRPr="00067FC0">
        <w:rPr>
          <w:rFonts w:ascii="Times New Roman" w:eastAsia="Times New Roman" w:hAnsi="Times New Roman" w:cs="Times New Roman"/>
          <w:b/>
          <w:bCs/>
          <w:color w:val="auto"/>
          <w:sz w:val="22"/>
          <w:szCs w:val="22"/>
          <w:lang w:val="en-GB"/>
          <w14:ligatures w14:val="none"/>
        </w:rPr>
        <w:t>Duty</w:t>
      </w:r>
      <w:r w:rsidRPr="00067FC0">
        <w:rPr>
          <w:rFonts w:ascii="Times New Roman" w:eastAsia="Times New Roman" w:hAnsi="Times New Roman" w:cs="Times New Roman"/>
          <w:b/>
          <w:bCs/>
          <w:color w:val="auto"/>
          <w:spacing w:val="-1"/>
          <w:sz w:val="22"/>
          <w:szCs w:val="22"/>
          <w:lang w:val="en-GB"/>
          <w14:ligatures w14:val="none"/>
        </w:rPr>
        <w:t xml:space="preserve"> </w:t>
      </w:r>
      <w:r w:rsidRPr="00067FC0">
        <w:rPr>
          <w:rFonts w:ascii="Times New Roman" w:eastAsia="Times New Roman" w:hAnsi="Times New Roman" w:cs="Times New Roman"/>
          <w:b/>
          <w:bCs/>
          <w:color w:val="auto"/>
          <w:sz w:val="22"/>
          <w:szCs w:val="22"/>
          <w:lang w:val="en-GB"/>
          <w14:ligatures w14:val="none"/>
        </w:rPr>
        <w:t>station:</w:t>
      </w:r>
      <w:r w:rsidRPr="00067FC0">
        <w:rPr>
          <w:rFonts w:ascii="Times New Roman" w:eastAsia="Times New Roman" w:hAnsi="Times New Roman" w:cs="Times New Roman"/>
          <w:b/>
          <w:bCs/>
          <w:color w:val="auto"/>
          <w:spacing w:val="-1"/>
          <w:sz w:val="22"/>
          <w:szCs w:val="22"/>
          <w:lang w:val="en-GB"/>
          <w14:ligatures w14:val="none"/>
        </w:rPr>
        <w:t xml:space="preserve"> </w:t>
      </w:r>
      <w:r w:rsidRPr="00067FC0">
        <w:rPr>
          <w:rFonts w:ascii="Times New Roman" w:eastAsia="Times New Roman" w:hAnsi="Times New Roman" w:cs="Times New Roman"/>
          <w:color w:val="auto"/>
          <w:spacing w:val="-2"/>
          <w:sz w:val="22"/>
          <w:szCs w:val="22"/>
          <w:lang w:val="en-GB"/>
          <w14:ligatures w14:val="none"/>
        </w:rPr>
        <w:t>remote</w:t>
      </w:r>
    </w:p>
    <w:p w14:paraId="5D682CE7" w14:textId="77777777" w:rsidR="0025787A" w:rsidRPr="00067FC0" w:rsidRDefault="0025787A" w:rsidP="0025787A">
      <w:pPr>
        <w:widowControl w:val="0"/>
        <w:autoSpaceDE w:val="0"/>
        <w:autoSpaceDN w:val="0"/>
        <w:spacing w:after="0" w:line="240" w:lineRule="auto"/>
        <w:rPr>
          <w:rFonts w:ascii="Times New Roman" w:eastAsia="Times New Roman" w:hAnsi="Times New Roman" w:cs="Times New Roman"/>
          <w:color w:val="auto"/>
          <w:sz w:val="22"/>
          <w:szCs w:val="22"/>
          <w:lang w:val="en-GB"/>
          <w14:ligatures w14:val="none"/>
        </w:rPr>
      </w:pPr>
      <w:r w:rsidRPr="00067FC0">
        <w:rPr>
          <w:rFonts w:ascii="Times New Roman" w:eastAsia="Times New Roman" w:hAnsi="Times New Roman" w:cs="Times New Roman"/>
          <w:b/>
          <w:color w:val="auto"/>
          <w:sz w:val="22"/>
          <w:szCs w:val="22"/>
          <w:lang w:val="en-GB"/>
          <w14:ligatures w14:val="none"/>
        </w:rPr>
        <w:t>Contract</w:t>
      </w:r>
      <w:r w:rsidRPr="00067FC0">
        <w:rPr>
          <w:rFonts w:ascii="Times New Roman" w:eastAsia="Times New Roman" w:hAnsi="Times New Roman" w:cs="Times New Roman"/>
          <w:b/>
          <w:color w:val="auto"/>
          <w:spacing w:val="1"/>
          <w:sz w:val="22"/>
          <w:szCs w:val="22"/>
          <w:lang w:val="en-GB"/>
          <w14:ligatures w14:val="none"/>
        </w:rPr>
        <w:t xml:space="preserve"> </w:t>
      </w:r>
      <w:r w:rsidRPr="00067FC0">
        <w:rPr>
          <w:rFonts w:ascii="Times New Roman" w:eastAsia="Times New Roman" w:hAnsi="Times New Roman" w:cs="Times New Roman"/>
          <w:b/>
          <w:color w:val="auto"/>
          <w:sz w:val="22"/>
          <w:szCs w:val="22"/>
          <w:lang w:val="en-GB"/>
          <w14:ligatures w14:val="none"/>
        </w:rPr>
        <w:t>type:</w:t>
      </w:r>
      <w:r w:rsidRPr="00067FC0">
        <w:rPr>
          <w:rFonts w:ascii="Times New Roman" w:eastAsia="Times New Roman" w:hAnsi="Times New Roman" w:cs="Times New Roman"/>
          <w:b/>
          <w:color w:val="auto"/>
          <w:spacing w:val="-16"/>
          <w:sz w:val="22"/>
          <w:szCs w:val="22"/>
          <w:lang w:val="en-GB"/>
          <w14:ligatures w14:val="none"/>
        </w:rPr>
        <w:t xml:space="preserve"> </w:t>
      </w:r>
      <w:r w:rsidRPr="00067FC0">
        <w:rPr>
          <w:rFonts w:ascii="Times New Roman" w:eastAsia="Times New Roman" w:hAnsi="Times New Roman" w:cs="Times New Roman"/>
          <w:color w:val="auto"/>
          <w:sz w:val="22"/>
          <w:szCs w:val="22"/>
          <w:lang w:val="en-GB"/>
          <w14:ligatures w14:val="none"/>
        </w:rPr>
        <w:t>service</w:t>
      </w:r>
      <w:r w:rsidRPr="00067FC0">
        <w:rPr>
          <w:rFonts w:ascii="Times New Roman" w:eastAsia="Times New Roman" w:hAnsi="Times New Roman" w:cs="Times New Roman"/>
          <w:color w:val="auto"/>
          <w:spacing w:val="-1"/>
          <w:sz w:val="22"/>
          <w:szCs w:val="22"/>
          <w:lang w:val="en-GB"/>
          <w14:ligatures w14:val="none"/>
        </w:rPr>
        <w:t xml:space="preserve"> </w:t>
      </w:r>
      <w:r w:rsidRPr="00067FC0">
        <w:rPr>
          <w:rFonts w:ascii="Times New Roman" w:eastAsia="Times New Roman" w:hAnsi="Times New Roman" w:cs="Times New Roman"/>
          <w:color w:val="auto"/>
          <w:spacing w:val="-2"/>
          <w:sz w:val="22"/>
          <w:szCs w:val="22"/>
          <w:lang w:val="en-GB"/>
          <w14:ligatures w14:val="none"/>
        </w:rPr>
        <w:t>contract</w:t>
      </w:r>
    </w:p>
    <w:p w14:paraId="008F94CE" w14:textId="5581A2E9" w:rsidR="0025787A" w:rsidRDefault="0025787A" w:rsidP="0025787A">
      <w:pPr>
        <w:widowControl w:val="0"/>
        <w:autoSpaceDE w:val="0"/>
        <w:autoSpaceDN w:val="0"/>
        <w:spacing w:after="0" w:line="240" w:lineRule="auto"/>
        <w:rPr>
          <w:rFonts w:ascii="Times New Roman" w:eastAsia="Times New Roman" w:hAnsi="Times New Roman" w:cs="Times New Roman"/>
          <w:b/>
          <w:color w:val="auto"/>
          <w:spacing w:val="-1"/>
          <w:sz w:val="22"/>
          <w:szCs w:val="22"/>
          <w:lang w:val="en-GB"/>
          <w14:ligatures w14:val="none"/>
        </w:rPr>
      </w:pPr>
      <w:r w:rsidRPr="00067FC0">
        <w:rPr>
          <w:rFonts w:ascii="Times New Roman" w:eastAsia="Times New Roman" w:hAnsi="Times New Roman" w:cs="Times New Roman"/>
          <w:b/>
          <w:color w:val="auto"/>
          <w:sz w:val="22"/>
          <w:szCs w:val="22"/>
          <w:lang w:val="en-GB"/>
          <w14:ligatures w14:val="none"/>
        </w:rPr>
        <w:t>Duration:</w:t>
      </w:r>
      <w:r w:rsidRPr="00067FC0">
        <w:rPr>
          <w:rFonts w:ascii="Times New Roman" w:eastAsia="Times New Roman" w:hAnsi="Times New Roman" w:cs="Times New Roman"/>
          <w:b/>
          <w:color w:val="auto"/>
          <w:spacing w:val="-1"/>
          <w:sz w:val="22"/>
          <w:szCs w:val="22"/>
          <w:lang w:val="en-GB"/>
          <w14:ligatures w14:val="none"/>
        </w:rPr>
        <w:t xml:space="preserve"> </w:t>
      </w:r>
      <w:r w:rsidR="00FA10D1">
        <w:rPr>
          <w:rFonts w:ascii="Times New Roman" w:eastAsia="Times New Roman" w:hAnsi="Times New Roman" w:cs="Times New Roman"/>
          <w:bCs/>
          <w:color w:val="auto"/>
          <w:spacing w:val="-1"/>
          <w:sz w:val="22"/>
          <w:szCs w:val="22"/>
          <w:lang w:val="en-GB"/>
          <w14:ligatures w14:val="none"/>
        </w:rPr>
        <w:t>23 months</w:t>
      </w:r>
    </w:p>
    <w:p w14:paraId="1F4C521E" w14:textId="1975544B" w:rsidR="0025787A" w:rsidRPr="00067FC0" w:rsidRDefault="0025787A" w:rsidP="0025787A">
      <w:pPr>
        <w:widowControl w:val="0"/>
        <w:autoSpaceDE w:val="0"/>
        <w:autoSpaceDN w:val="0"/>
        <w:spacing w:after="0" w:line="240" w:lineRule="auto"/>
        <w:rPr>
          <w:rFonts w:ascii="Times New Roman" w:eastAsia="Times New Roman" w:hAnsi="Times New Roman" w:cs="Times New Roman"/>
          <w:color w:val="auto"/>
          <w:spacing w:val="-4"/>
          <w:sz w:val="22"/>
          <w:szCs w:val="22"/>
          <w:lang w:val="en-GB"/>
          <w14:ligatures w14:val="none"/>
        </w:rPr>
      </w:pPr>
      <w:r>
        <w:rPr>
          <w:rFonts w:ascii="Times New Roman" w:eastAsia="Times New Roman" w:hAnsi="Times New Roman" w:cs="Times New Roman"/>
          <w:b/>
          <w:color w:val="auto"/>
          <w:spacing w:val="-1"/>
          <w:sz w:val="22"/>
          <w:szCs w:val="22"/>
          <w:lang w:val="en-GB"/>
          <w14:ligatures w14:val="none"/>
        </w:rPr>
        <w:t>Total number of working days:</w:t>
      </w:r>
      <w:r w:rsidR="00652395">
        <w:rPr>
          <w:rFonts w:ascii="Times New Roman" w:eastAsia="Times New Roman" w:hAnsi="Times New Roman" w:cs="Times New Roman"/>
          <w:b/>
          <w:color w:val="auto"/>
          <w:spacing w:val="-1"/>
          <w:sz w:val="22"/>
          <w:szCs w:val="22"/>
          <w:lang w:val="en-GB"/>
          <w14:ligatures w14:val="none"/>
        </w:rPr>
        <w:t xml:space="preserve"> </w:t>
      </w:r>
      <w:r w:rsidR="003E3FA4" w:rsidRPr="003E3FA4">
        <w:rPr>
          <w:rFonts w:ascii="Times New Roman" w:eastAsia="Times New Roman" w:hAnsi="Times New Roman" w:cs="Times New Roman"/>
          <w:color w:val="auto"/>
          <w:spacing w:val="-1"/>
          <w:sz w:val="22"/>
          <w:szCs w:val="22"/>
          <w:lang w:val="en-GB"/>
          <w14:ligatures w14:val="none"/>
        </w:rPr>
        <w:t>30 days</w:t>
      </w:r>
    </w:p>
    <w:p w14:paraId="4DF713FA" w14:textId="77777777" w:rsidR="0025787A" w:rsidRPr="00067FC0" w:rsidRDefault="0025787A" w:rsidP="0025787A">
      <w:pPr>
        <w:widowControl w:val="0"/>
        <w:autoSpaceDE w:val="0"/>
        <w:autoSpaceDN w:val="0"/>
        <w:spacing w:after="0" w:line="240" w:lineRule="auto"/>
        <w:rPr>
          <w:rFonts w:ascii="Times New Roman" w:eastAsia="Times New Roman" w:hAnsi="Times New Roman" w:cs="Times New Roman"/>
          <w:color w:val="auto"/>
          <w:sz w:val="22"/>
          <w:szCs w:val="22"/>
          <w:lang w:val="en-GB"/>
          <w14:ligatures w14:val="none"/>
        </w:rPr>
      </w:pPr>
      <w:r w:rsidRPr="00067FC0">
        <w:rPr>
          <w:rFonts w:ascii="Times New Roman" w:eastAsia="Times New Roman" w:hAnsi="Times New Roman" w:cs="Times New Roman"/>
          <w:b/>
          <w:color w:val="auto"/>
          <w:sz w:val="22"/>
          <w:szCs w:val="22"/>
          <w:lang w:val="en-GB"/>
          <w14:ligatures w14:val="none"/>
        </w:rPr>
        <w:t>Financing Authority:</w:t>
      </w:r>
      <w:r w:rsidRPr="00067FC0">
        <w:rPr>
          <w:rFonts w:ascii="Times New Roman" w:eastAsia="Times New Roman" w:hAnsi="Times New Roman" w:cs="Times New Roman"/>
          <w:color w:val="auto"/>
          <w:sz w:val="22"/>
          <w:szCs w:val="22"/>
          <w:lang w:val="en-GB"/>
          <w14:ligatures w14:val="none"/>
        </w:rPr>
        <w:t xml:space="preserve"> Task Force for Reform and Investment (SG REFORM) of the European Commission.</w:t>
      </w:r>
    </w:p>
    <w:p w14:paraId="1AC64350" w14:textId="77777777" w:rsidR="0025787A" w:rsidRPr="00067FC0" w:rsidRDefault="0025787A" w:rsidP="0025787A">
      <w:pPr>
        <w:widowControl w:val="0"/>
        <w:autoSpaceDE w:val="0"/>
        <w:autoSpaceDN w:val="0"/>
        <w:spacing w:after="0" w:line="240" w:lineRule="auto"/>
        <w:rPr>
          <w:rFonts w:ascii="Times New Roman" w:eastAsia="Times New Roman" w:hAnsi="Times New Roman" w:cs="Times New Roman"/>
          <w:color w:val="auto"/>
          <w:sz w:val="22"/>
          <w:szCs w:val="22"/>
          <w:lang w:val="en-GB"/>
          <w14:ligatures w14:val="none"/>
        </w:rPr>
      </w:pPr>
      <w:r w:rsidRPr="00067FC0">
        <w:rPr>
          <w:rFonts w:ascii="Times New Roman" w:eastAsia="Times New Roman" w:hAnsi="Times New Roman" w:cs="Times New Roman"/>
          <w:b/>
          <w:color w:val="auto"/>
          <w:sz w:val="22"/>
          <w:szCs w:val="22"/>
          <w:lang w:val="en-GB"/>
          <w14:ligatures w14:val="none"/>
        </w:rPr>
        <w:t xml:space="preserve">Implementing Partner: </w:t>
      </w:r>
      <w:r w:rsidRPr="00067FC0">
        <w:rPr>
          <w:rFonts w:ascii="Times New Roman" w:eastAsia="Times New Roman" w:hAnsi="Times New Roman" w:cs="Times New Roman"/>
          <w:bCs/>
          <w:color w:val="auto"/>
          <w:sz w:val="22"/>
          <w:szCs w:val="22"/>
          <w:lang w:val="en-GB"/>
          <w14:ligatures w14:val="none"/>
        </w:rPr>
        <w:t>Expertise France</w:t>
      </w:r>
    </w:p>
    <w:p w14:paraId="43111BFE" w14:textId="239F3FBE" w:rsidR="0025787A" w:rsidRPr="000A3CE5" w:rsidRDefault="0025787A" w:rsidP="0025787A">
      <w:pPr>
        <w:widowControl w:val="0"/>
        <w:autoSpaceDE w:val="0"/>
        <w:autoSpaceDN w:val="0"/>
        <w:spacing w:after="0" w:line="240" w:lineRule="auto"/>
        <w:rPr>
          <w:rFonts w:ascii="Times New Roman" w:eastAsia="Times New Roman" w:hAnsi="Times New Roman" w:cs="Times New Roman"/>
          <w:color w:val="auto"/>
          <w:sz w:val="22"/>
          <w:szCs w:val="22"/>
          <w:lang w:val="en-GB"/>
          <w14:ligatures w14:val="none"/>
        </w:rPr>
      </w:pPr>
      <w:r w:rsidRPr="00067FC0">
        <w:rPr>
          <w:rFonts w:ascii="Times New Roman" w:eastAsia="Times New Roman" w:hAnsi="Times New Roman" w:cs="Times New Roman"/>
          <w:b/>
          <w:color w:val="auto"/>
          <w:sz w:val="22"/>
          <w:szCs w:val="22"/>
          <w:lang w:val="en-GB"/>
          <w14:ligatures w14:val="none"/>
        </w:rPr>
        <w:t>Deadline</w:t>
      </w:r>
      <w:r w:rsidRPr="00067FC0">
        <w:rPr>
          <w:rFonts w:ascii="Times New Roman" w:eastAsia="Times New Roman" w:hAnsi="Times New Roman" w:cs="Times New Roman"/>
          <w:b/>
          <w:color w:val="auto"/>
          <w:spacing w:val="-2"/>
          <w:sz w:val="22"/>
          <w:szCs w:val="22"/>
          <w:lang w:val="en-GB"/>
          <w14:ligatures w14:val="none"/>
        </w:rPr>
        <w:t xml:space="preserve"> </w:t>
      </w:r>
      <w:r w:rsidRPr="00067FC0">
        <w:rPr>
          <w:rFonts w:ascii="Times New Roman" w:eastAsia="Times New Roman" w:hAnsi="Times New Roman" w:cs="Times New Roman"/>
          <w:b/>
          <w:color w:val="auto"/>
          <w:sz w:val="22"/>
          <w:szCs w:val="22"/>
          <w:lang w:val="en-GB"/>
          <w14:ligatures w14:val="none"/>
        </w:rPr>
        <w:t>for</w:t>
      </w:r>
      <w:r w:rsidRPr="00067FC0">
        <w:rPr>
          <w:rFonts w:ascii="Times New Roman" w:eastAsia="Times New Roman" w:hAnsi="Times New Roman" w:cs="Times New Roman"/>
          <w:b/>
          <w:color w:val="auto"/>
          <w:spacing w:val="-2"/>
          <w:sz w:val="22"/>
          <w:szCs w:val="22"/>
          <w:lang w:val="en-GB"/>
          <w14:ligatures w14:val="none"/>
        </w:rPr>
        <w:t xml:space="preserve"> </w:t>
      </w:r>
      <w:r w:rsidRPr="00067FC0">
        <w:rPr>
          <w:rFonts w:ascii="Times New Roman" w:eastAsia="Times New Roman" w:hAnsi="Times New Roman" w:cs="Times New Roman"/>
          <w:b/>
          <w:color w:val="auto"/>
          <w:sz w:val="22"/>
          <w:szCs w:val="22"/>
          <w:lang w:val="en-GB"/>
          <w14:ligatures w14:val="none"/>
        </w:rPr>
        <w:t>application</w:t>
      </w:r>
      <w:r w:rsidRPr="00067FC0">
        <w:rPr>
          <w:rFonts w:ascii="Times New Roman" w:eastAsia="Times New Roman" w:hAnsi="Times New Roman" w:cs="Times New Roman"/>
          <w:b/>
          <w:color w:val="auto"/>
          <w:spacing w:val="-1"/>
          <w:sz w:val="22"/>
          <w:szCs w:val="22"/>
          <w:lang w:val="en-GB"/>
          <w14:ligatures w14:val="none"/>
        </w:rPr>
        <w:t xml:space="preserve"> </w:t>
      </w:r>
      <w:r w:rsidRPr="00067FC0">
        <w:rPr>
          <w:rFonts w:ascii="Times New Roman" w:eastAsia="Times New Roman" w:hAnsi="Times New Roman" w:cs="Times New Roman"/>
          <w:b/>
          <w:color w:val="auto"/>
          <w:sz w:val="22"/>
          <w:szCs w:val="22"/>
          <w:lang w:val="en-GB"/>
          <w14:ligatures w14:val="none"/>
        </w:rPr>
        <w:t>is:</w:t>
      </w:r>
      <w:r w:rsidRPr="00067FC0">
        <w:rPr>
          <w:rFonts w:ascii="Times New Roman" w:eastAsia="Times New Roman" w:hAnsi="Times New Roman" w:cs="Times New Roman"/>
          <w:b/>
          <w:color w:val="auto"/>
          <w:spacing w:val="2"/>
          <w:sz w:val="22"/>
          <w:szCs w:val="22"/>
          <w:lang w:val="en-GB"/>
          <w14:ligatures w14:val="none"/>
        </w:rPr>
        <w:t xml:space="preserve"> </w:t>
      </w:r>
      <w:r w:rsidR="002E5DD6" w:rsidRPr="000A3CE5">
        <w:rPr>
          <w:rFonts w:ascii="Times New Roman" w:eastAsia="Times New Roman" w:hAnsi="Times New Roman" w:cs="Times New Roman"/>
          <w:color w:val="auto"/>
          <w:spacing w:val="2"/>
          <w:sz w:val="22"/>
          <w:szCs w:val="22"/>
          <w:lang w:val="en-GB"/>
          <w14:ligatures w14:val="none"/>
        </w:rPr>
        <w:t>May 5</w:t>
      </w:r>
    </w:p>
    <w:p w14:paraId="026BC781" w14:textId="77777777" w:rsidR="0025787A" w:rsidRPr="00067FC0" w:rsidRDefault="0025787A" w:rsidP="0025787A">
      <w:pPr>
        <w:widowControl w:val="0"/>
        <w:autoSpaceDE w:val="0"/>
        <w:autoSpaceDN w:val="0"/>
        <w:spacing w:before="6" w:after="0" w:line="240" w:lineRule="auto"/>
        <w:rPr>
          <w:rFonts w:ascii="Times New Roman" w:eastAsia="Times New Roman" w:hAnsi="Times New Roman" w:cs="Times New Roman"/>
          <w:color w:val="auto"/>
          <w:sz w:val="24"/>
          <w:szCs w:val="24"/>
          <w:lang w:val="en-GB"/>
          <w14:ligatures w14:val="none"/>
        </w:rPr>
      </w:pPr>
    </w:p>
    <w:p w14:paraId="72D7C75D" w14:textId="38A35F9F" w:rsidR="002E5DD6" w:rsidRDefault="0025787A" w:rsidP="009A06B0">
      <w:pPr>
        <w:widowControl w:val="0"/>
        <w:autoSpaceDE w:val="0"/>
        <w:autoSpaceDN w:val="0"/>
        <w:spacing w:after="0" w:line="240" w:lineRule="auto"/>
        <w:jc w:val="both"/>
        <w:outlineLvl w:val="0"/>
        <w:rPr>
          <w:rFonts w:ascii="Times New Roman" w:eastAsia="Times New Roman" w:hAnsi="Times New Roman" w:cs="Times New Roman"/>
          <w:color w:val="auto"/>
          <w:sz w:val="22"/>
          <w:szCs w:val="22"/>
          <w:lang w:val="en-GB"/>
          <w14:ligatures w14:val="none"/>
        </w:rPr>
      </w:pPr>
      <w:r w:rsidRPr="00067FC0">
        <w:rPr>
          <w:rFonts w:ascii="Times New Roman" w:eastAsia="Times New Roman" w:hAnsi="Times New Roman" w:cs="Times New Roman"/>
          <w:b/>
          <w:bCs/>
          <w:color w:val="auto"/>
          <w:sz w:val="22"/>
          <w:szCs w:val="22"/>
          <w:lang w:val="en-GB"/>
          <w14:ligatures w14:val="none"/>
        </w:rPr>
        <w:t xml:space="preserve">Mission </w:t>
      </w:r>
      <w:r w:rsidRPr="00067FC0">
        <w:rPr>
          <w:rFonts w:ascii="Times New Roman" w:eastAsia="Times New Roman" w:hAnsi="Times New Roman" w:cs="Times New Roman"/>
          <w:b/>
          <w:bCs/>
          <w:color w:val="auto"/>
          <w:spacing w:val="-2"/>
          <w:sz w:val="22"/>
          <w:szCs w:val="22"/>
          <w:lang w:val="en-GB"/>
          <w14:ligatures w14:val="none"/>
        </w:rPr>
        <w:t xml:space="preserve">Description: </w:t>
      </w:r>
      <w:r w:rsidRPr="00067FC0">
        <w:rPr>
          <w:rFonts w:ascii="Times New Roman" w:eastAsia="Times New Roman" w:hAnsi="Times New Roman" w:cs="Times New Roman"/>
          <w:color w:val="auto"/>
          <w:sz w:val="22"/>
          <w:szCs w:val="22"/>
          <w:lang w:val="en-GB"/>
          <w14:ligatures w14:val="none"/>
        </w:rPr>
        <w:t>In</w:t>
      </w:r>
      <w:r w:rsidRPr="00067FC0">
        <w:rPr>
          <w:rFonts w:ascii="Times New Roman" w:eastAsia="Times New Roman" w:hAnsi="Times New Roman" w:cs="Times New Roman"/>
          <w:color w:val="auto"/>
          <w:spacing w:val="-11"/>
          <w:sz w:val="22"/>
          <w:szCs w:val="22"/>
          <w:lang w:val="en-GB"/>
          <w14:ligatures w14:val="none"/>
        </w:rPr>
        <w:t xml:space="preserve"> </w:t>
      </w:r>
      <w:r w:rsidRPr="00067FC0">
        <w:rPr>
          <w:rFonts w:ascii="Times New Roman" w:eastAsia="Times New Roman" w:hAnsi="Times New Roman" w:cs="Times New Roman"/>
          <w:color w:val="auto"/>
          <w:sz w:val="22"/>
          <w:szCs w:val="22"/>
          <w:lang w:val="en-GB"/>
          <w14:ligatures w14:val="none"/>
        </w:rPr>
        <w:t>the</w:t>
      </w:r>
      <w:r w:rsidRPr="00067FC0">
        <w:rPr>
          <w:rFonts w:ascii="Times New Roman" w:eastAsia="Times New Roman" w:hAnsi="Times New Roman" w:cs="Times New Roman"/>
          <w:color w:val="auto"/>
          <w:spacing w:val="-14"/>
          <w:sz w:val="22"/>
          <w:szCs w:val="22"/>
          <w:lang w:val="en-GB"/>
          <w14:ligatures w14:val="none"/>
        </w:rPr>
        <w:t xml:space="preserve"> </w:t>
      </w:r>
      <w:r w:rsidRPr="00067FC0">
        <w:rPr>
          <w:rFonts w:ascii="Times New Roman" w:eastAsia="Times New Roman" w:hAnsi="Times New Roman" w:cs="Times New Roman"/>
          <w:color w:val="auto"/>
          <w:sz w:val="22"/>
          <w:szCs w:val="22"/>
          <w:lang w:val="en-GB"/>
          <w14:ligatures w14:val="none"/>
        </w:rPr>
        <w:t>framework</w:t>
      </w:r>
      <w:r w:rsidRPr="00067FC0">
        <w:rPr>
          <w:rFonts w:ascii="Times New Roman" w:eastAsia="Times New Roman" w:hAnsi="Times New Roman" w:cs="Times New Roman"/>
          <w:color w:val="auto"/>
          <w:spacing w:val="-14"/>
          <w:sz w:val="22"/>
          <w:szCs w:val="22"/>
          <w:lang w:val="en-GB"/>
          <w14:ligatures w14:val="none"/>
        </w:rPr>
        <w:t xml:space="preserve"> </w:t>
      </w:r>
      <w:r w:rsidRPr="00067FC0">
        <w:rPr>
          <w:rFonts w:ascii="Times New Roman" w:eastAsia="Times New Roman" w:hAnsi="Times New Roman" w:cs="Times New Roman"/>
          <w:color w:val="auto"/>
          <w:sz w:val="22"/>
          <w:szCs w:val="22"/>
          <w:lang w:val="en-GB"/>
          <w14:ligatures w14:val="none"/>
        </w:rPr>
        <w:t>of</w:t>
      </w:r>
      <w:r w:rsidRPr="00067FC0">
        <w:rPr>
          <w:rFonts w:ascii="Times New Roman" w:eastAsia="Times New Roman" w:hAnsi="Times New Roman" w:cs="Times New Roman"/>
          <w:color w:val="auto"/>
          <w:spacing w:val="-12"/>
          <w:sz w:val="22"/>
          <w:szCs w:val="22"/>
          <w:lang w:val="en-GB"/>
          <w14:ligatures w14:val="none"/>
        </w:rPr>
        <w:t xml:space="preserve"> </w:t>
      </w:r>
      <w:r w:rsidRPr="00067FC0">
        <w:rPr>
          <w:rFonts w:ascii="Times New Roman" w:eastAsia="Times New Roman" w:hAnsi="Times New Roman" w:cs="Times New Roman"/>
          <w:color w:val="auto"/>
          <w:sz w:val="22"/>
          <w:szCs w:val="22"/>
          <w:lang w:val="en-GB"/>
          <w14:ligatures w14:val="none"/>
        </w:rPr>
        <w:t>the</w:t>
      </w:r>
      <w:r w:rsidRPr="00067FC0">
        <w:rPr>
          <w:rFonts w:ascii="Times New Roman" w:eastAsia="Times New Roman" w:hAnsi="Times New Roman" w:cs="Times New Roman"/>
          <w:color w:val="auto"/>
          <w:spacing w:val="-11"/>
          <w:sz w:val="22"/>
          <w:szCs w:val="22"/>
          <w:lang w:val="en-GB"/>
          <w14:ligatures w14:val="none"/>
        </w:rPr>
        <w:t xml:space="preserve"> </w:t>
      </w:r>
      <w:r w:rsidRPr="00067FC0">
        <w:rPr>
          <w:rFonts w:ascii="Times New Roman" w:eastAsia="Times New Roman" w:hAnsi="Times New Roman" w:cs="Times New Roman"/>
          <w:color w:val="auto"/>
          <w:sz w:val="22"/>
          <w:szCs w:val="22"/>
          <w:lang w:val="en-GB"/>
          <w14:ligatures w14:val="none"/>
        </w:rPr>
        <w:t>project Implementing Effective Green Budgeting practices,</w:t>
      </w:r>
      <w:r w:rsidRPr="00067FC0">
        <w:rPr>
          <w:rFonts w:ascii="Times New Roman" w:eastAsia="Times New Roman" w:hAnsi="Times New Roman" w:cs="Times New Roman"/>
          <w:color w:val="auto"/>
          <w:spacing w:val="-13"/>
          <w:sz w:val="22"/>
          <w:szCs w:val="22"/>
          <w:lang w:val="en-GB"/>
          <w14:ligatures w14:val="none"/>
        </w:rPr>
        <w:t xml:space="preserve"> </w:t>
      </w:r>
      <w:r w:rsidRPr="00067FC0">
        <w:rPr>
          <w:rFonts w:ascii="Times New Roman" w:eastAsia="Times New Roman" w:hAnsi="Times New Roman" w:cs="Times New Roman"/>
          <w:color w:val="auto"/>
          <w:sz w:val="22"/>
          <w:szCs w:val="22"/>
          <w:lang w:val="en-GB"/>
          <w14:ligatures w14:val="none"/>
        </w:rPr>
        <w:t>Expertise</w:t>
      </w:r>
      <w:r w:rsidRPr="00067FC0">
        <w:rPr>
          <w:rFonts w:ascii="Times New Roman" w:eastAsia="Times New Roman" w:hAnsi="Times New Roman" w:cs="Times New Roman"/>
          <w:color w:val="auto"/>
          <w:spacing w:val="-11"/>
          <w:sz w:val="22"/>
          <w:szCs w:val="22"/>
          <w:lang w:val="en-GB"/>
          <w14:ligatures w14:val="none"/>
        </w:rPr>
        <w:t xml:space="preserve"> </w:t>
      </w:r>
      <w:r w:rsidRPr="00067FC0">
        <w:rPr>
          <w:rFonts w:ascii="Times New Roman" w:eastAsia="Times New Roman" w:hAnsi="Times New Roman" w:cs="Times New Roman"/>
          <w:color w:val="auto"/>
          <w:sz w:val="22"/>
          <w:szCs w:val="22"/>
          <w:lang w:val="en-GB"/>
          <w14:ligatures w14:val="none"/>
        </w:rPr>
        <w:t>France</w:t>
      </w:r>
      <w:r w:rsidRPr="00067FC0">
        <w:rPr>
          <w:rFonts w:ascii="Times New Roman" w:eastAsia="Times New Roman" w:hAnsi="Times New Roman" w:cs="Times New Roman"/>
          <w:color w:val="auto"/>
          <w:spacing w:val="-12"/>
          <w:sz w:val="22"/>
          <w:szCs w:val="22"/>
          <w:lang w:val="en-GB"/>
          <w14:ligatures w14:val="none"/>
        </w:rPr>
        <w:t xml:space="preserve"> </w:t>
      </w:r>
      <w:r w:rsidRPr="00067FC0">
        <w:rPr>
          <w:rFonts w:ascii="Times New Roman" w:eastAsia="Times New Roman" w:hAnsi="Times New Roman" w:cs="Times New Roman"/>
          <w:color w:val="auto"/>
          <w:sz w:val="22"/>
          <w:szCs w:val="22"/>
          <w:lang w:val="en-GB"/>
          <w14:ligatures w14:val="none"/>
        </w:rPr>
        <w:t>is</w:t>
      </w:r>
      <w:r w:rsidRPr="00067FC0">
        <w:rPr>
          <w:rFonts w:ascii="Times New Roman" w:eastAsia="Times New Roman" w:hAnsi="Times New Roman" w:cs="Times New Roman"/>
          <w:color w:val="auto"/>
          <w:spacing w:val="-12"/>
          <w:sz w:val="22"/>
          <w:szCs w:val="22"/>
          <w:lang w:val="en-GB"/>
          <w14:ligatures w14:val="none"/>
        </w:rPr>
        <w:t xml:space="preserve"> </w:t>
      </w:r>
      <w:r w:rsidRPr="00067FC0">
        <w:rPr>
          <w:rFonts w:ascii="Times New Roman" w:eastAsia="Times New Roman" w:hAnsi="Times New Roman" w:cs="Times New Roman"/>
          <w:color w:val="auto"/>
          <w:sz w:val="22"/>
          <w:szCs w:val="22"/>
          <w:lang w:val="en-GB"/>
          <w14:ligatures w14:val="none"/>
        </w:rPr>
        <w:t>recruiting an expert in</w:t>
      </w:r>
      <w:r w:rsidR="00652395" w:rsidRPr="00652395">
        <w:rPr>
          <w:rFonts w:ascii="Times New Roman" w:eastAsia="Times New Roman" w:hAnsi="Times New Roman" w:cs="Times New Roman"/>
          <w:color w:val="auto"/>
          <w:sz w:val="22"/>
          <w:szCs w:val="22"/>
          <w:lang w:val="en-GB"/>
          <w14:ligatures w14:val="none"/>
        </w:rPr>
        <w:t xml:space="preserve"> Green Budgeting and Environmental Fiscal Policy</w:t>
      </w:r>
      <w:r w:rsidR="00652395">
        <w:rPr>
          <w:rFonts w:ascii="Times New Roman" w:eastAsia="Times New Roman" w:hAnsi="Times New Roman" w:cs="Times New Roman"/>
          <w:color w:val="auto"/>
          <w:sz w:val="22"/>
          <w:szCs w:val="22"/>
          <w:lang w:val="en-GB"/>
          <w14:ligatures w14:val="none"/>
        </w:rPr>
        <w:t xml:space="preserve">, with strong knowledge </w:t>
      </w:r>
      <w:r w:rsidR="004C398B">
        <w:rPr>
          <w:rFonts w:ascii="Times New Roman" w:eastAsia="Times New Roman" w:hAnsi="Times New Roman" w:cs="Times New Roman"/>
          <w:color w:val="auto"/>
          <w:sz w:val="22"/>
          <w:szCs w:val="22"/>
          <w:lang w:val="en-GB"/>
          <w14:ligatures w14:val="none"/>
        </w:rPr>
        <w:t>of public</w:t>
      </w:r>
      <w:r w:rsidR="00652395">
        <w:rPr>
          <w:rFonts w:ascii="Times New Roman" w:eastAsia="Times New Roman" w:hAnsi="Times New Roman" w:cs="Times New Roman"/>
          <w:color w:val="auto"/>
          <w:sz w:val="22"/>
          <w:szCs w:val="22"/>
          <w:lang w:val="en-GB"/>
          <w14:ligatures w14:val="none"/>
        </w:rPr>
        <w:t xml:space="preserve"> finances </w:t>
      </w:r>
      <w:r w:rsidR="004C398B">
        <w:rPr>
          <w:rFonts w:ascii="Times New Roman" w:eastAsia="Times New Roman" w:hAnsi="Times New Roman" w:cs="Times New Roman"/>
          <w:color w:val="auto"/>
          <w:sz w:val="22"/>
          <w:szCs w:val="22"/>
          <w:lang w:val="en-GB"/>
          <w14:ligatures w14:val="none"/>
        </w:rPr>
        <w:t>and the</w:t>
      </w:r>
      <w:r w:rsidR="00652395">
        <w:rPr>
          <w:rFonts w:ascii="Times New Roman" w:eastAsia="Times New Roman" w:hAnsi="Times New Roman" w:cs="Times New Roman"/>
          <w:color w:val="auto"/>
          <w:sz w:val="22"/>
          <w:szCs w:val="22"/>
          <w:lang w:val="en-GB"/>
          <w14:ligatures w14:val="none"/>
        </w:rPr>
        <w:t xml:space="preserve"> </w:t>
      </w:r>
      <w:r w:rsidRPr="00067FC0">
        <w:rPr>
          <w:rFonts w:ascii="Times New Roman" w:eastAsia="Times New Roman" w:hAnsi="Times New Roman" w:cs="Times New Roman"/>
          <w:color w:val="auto"/>
          <w:sz w:val="22"/>
          <w:szCs w:val="22"/>
          <w:lang w:val="en-GB"/>
          <w14:ligatures w14:val="none"/>
        </w:rPr>
        <w:t xml:space="preserve">latest </w:t>
      </w:r>
      <w:r>
        <w:rPr>
          <w:rFonts w:ascii="Times New Roman" w:eastAsia="Times New Roman" w:hAnsi="Times New Roman" w:cs="Times New Roman"/>
          <w:color w:val="auto"/>
          <w:sz w:val="22"/>
          <w:szCs w:val="22"/>
          <w:lang w:val="en-GB"/>
          <w14:ligatures w14:val="none"/>
        </w:rPr>
        <w:t xml:space="preserve">Climate and Environmental </w:t>
      </w:r>
      <w:r w:rsidRPr="00067FC0">
        <w:rPr>
          <w:rFonts w:ascii="Times New Roman" w:eastAsia="Times New Roman" w:hAnsi="Times New Roman" w:cs="Times New Roman"/>
          <w:color w:val="auto"/>
          <w:sz w:val="22"/>
          <w:szCs w:val="22"/>
          <w:lang w:val="en-GB"/>
          <w14:ligatures w14:val="none"/>
        </w:rPr>
        <w:t>policy developments at EU</w:t>
      </w:r>
      <w:r w:rsidR="00652395">
        <w:rPr>
          <w:rFonts w:ascii="Times New Roman" w:eastAsia="Times New Roman" w:hAnsi="Times New Roman" w:cs="Times New Roman"/>
          <w:color w:val="auto"/>
          <w:sz w:val="22"/>
          <w:szCs w:val="22"/>
          <w:lang w:val="en-GB"/>
          <w14:ligatures w14:val="none"/>
        </w:rPr>
        <w:t xml:space="preserve"> and international</w:t>
      </w:r>
      <w:r w:rsidRPr="00067FC0">
        <w:rPr>
          <w:rFonts w:ascii="Times New Roman" w:eastAsia="Times New Roman" w:hAnsi="Times New Roman" w:cs="Times New Roman"/>
          <w:color w:val="auto"/>
          <w:sz w:val="22"/>
          <w:szCs w:val="22"/>
          <w:lang w:val="en-GB"/>
          <w14:ligatures w14:val="none"/>
        </w:rPr>
        <w:t xml:space="preserve"> </w:t>
      </w:r>
      <w:r w:rsidR="004C398B" w:rsidRPr="00067FC0">
        <w:rPr>
          <w:rFonts w:ascii="Times New Roman" w:eastAsia="Times New Roman" w:hAnsi="Times New Roman" w:cs="Times New Roman"/>
          <w:color w:val="auto"/>
          <w:sz w:val="22"/>
          <w:szCs w:val="22"/>
          <w:lang w:val="en-GB"/>
          <w14:ligatures w14:val="none"/>
        </w:rPr>
        <w:t>leve</w:t>
      </w:r>
      <w:r w:rsidR="004C398B">
        <w:rPr>
          <w:rFonts w:ascii="Times New Roman" w:eastAsia="Times New Roman" w:hAnsi="Times New Roman" w:cs="Times New Roman"/>
          <w:color w:val="auto"/>
          <w:sz w:val="22"/>
          <w:szCs w:val="22"/>
          <w:lang w:val="en-GB"/>
          <w14:ligatures w14:val="none"/>
        </w:rPr>
        <w:t>l.</w:t>
      </w:r>
      <w:r w:rsidR="004C398B" w:rsidRPr="009A06B0">
        <w:rPr>
          <w:rFonts w:ascii="Times New Roman" w:eastAsia="Times New Roman" w:hAnsi="Times New Roman" w:cs="Times New Roman"/>
          <w:color w:val="auto"/>
          <w:sz w:val="22"/>
          <w:szCs w:val="22"/>
          <w:lang w:val="en-GB"/>
          <w14:ligatures w14:val="none"/>
        </w:rPr>
        <w:t xml:space="preserve"> </w:t>
      </w:r>
      <w:r w:rsidR="00B73969">
        <w:rPr>
          <w:rFonts w:ascii="Times New Roman" w:eastAsia="Times New Roman" w:hAnsi="Times New Roman" w:cs="Times New Roman"/>
          <w:color w:val="auto"/>
          <w:sz w:val="22"/>
          <w:szCs w:val="22"/>
          <w:lang w:val="en-GB"/>
          <w14:ligatures w14:val="none"/>
        </w:rPr>
        <w:t xml:space="preserve">The </w:t>
      </w:r>
      <w:r w:rsidR="00B73969" w:rsidRPr="00B73969">
        <w:rPr>
          <w:rFonts w:ascii="Times New Roman" w:eastAsia="Times New Roman" w:hAnsi="Times New Roman" w:cs="Times New Roman"/>
          <w:color w:val="auto"/>
          <w:sz w:val="22"/>
          <w:szCs w:val="22"/>
          <w:lang w:val="en-GB"/>
          <w14:ligatures w14:val="none"/>
        </w:rPr>
        <w:t>Technical Green Budgeting Expert</w:t>
      </w:r>
      <w:r w:rsidR="002E5DD6">
        <w:rPr>
          <w:rFonts w:ascii="Times New Roman" w:eastAsia="Times New Roman" w:hAnsi="Times New Roman" w:cs="Times New Roman"/>
          <w:color w:val="auto"/>
          <w:sz w:val="22"/>
          <w:szCs w:val="22"/>
          <w:lang w:val="en-GB"/>
          <w14:ligatures w14:val="none"/>
        </w:rPr>
        <w:t xml:space="preserve"> will support the following </w:t>
      </w:r>
      <w:r w:rsidR="0043399D">
        <w:rPr>
          <w:rFonts w:ascii="Times New Roman" w:eastAsia="Times New Roman" w:hAnsi="Times New Roman" w:cs="Times New Roman"/>
          <w:color w:val="auto"/>
          <w:sz w:val="22"/>
          <w:szCs w:val="22"/>
          <w:lang w:val="en-GB"/>
          <w14:ligatures w14:val="none"/>
        </w:rPr>
        <w:t xml:space="preserve">key </w:t>
      </w:r>
      <w:r w:rsidR="002E5DD6">
        <w:rPr>
          <w:rFonts w:ascii="Times New Roman" w:eastAsia="Times New Roman" w:hAnsi="Times New Roman" w:cs="Times New Roman"/>
          <w:color w:val="auto"/>
          <w:sz w:val="22"/>
          <w:szCs w:val="22"/>
          <w:lang w:val="en-GB"/>
          <w14:ligatures w14:val="none"/>
        </w:rPr>
        <w:t>areas:</w:t>
      </w:r>
    </w:p>
    <w:p w14:paraId="68FB191C" w14:textId="77777777" w:rsidR="009A7FD8" w:rsidRDefault="009A7FD8" w:rsidP="009A06B0">
      <w:pPr>
        <w:widowControl w:val="0"/>
        <w:autoSpaceDE w:val="0"/>
        <w:autoSpaceDN w:val="0"/>
        <w:spacing w:after="0" w:line="240" w:lineRule="auto"/>
        <w:jc w:val="both"/>
        <w:outlineLvl w:val="0"/>
        <w:rPr>
          <w:rFonts w:ascii="Times New Roman" w:eastAsia="Times New Roman" w:hAnsi="Times New Roman" w:cs="Times New Roman"/>
          <w:color w:val="auto"/>
          <w:sz w:val="22"/>
          <w:szCs w:val="22"/>
          <w:lang w:val="en-GB"/>
          <w14:ligatures w14:val="none"/>
        </w:rPr>
      </w:pPr>
    </w:p>
    <w:p w14:paraId="773FF8DB" w14:textId="22A75B0E" w:rsidR="009A7FD8" w:rsidRPr="009A7FD8" w:rsidRDefault="009A7FD8" w:rsidP="009A7FD8">
      <w:pPr>
        <w:spacing w:before="100" w:beforeAutospacing="1" w:after="100" w:afterAutospacing="1" w:line="240" w:lineRule="auto"/>
        <w:rPr>
          <w:rFonts w:ascii="Times New Roman" w:eastAsia="Times New Roman" w:hAnsi="Times New Roman" w:cs="Times New Roman"/>
          <w:color w:val="auto"/>
          <w:sz w:val="24"/>
          <w:szCs w:val="24"/>
          <w:lang w:val="en-GB" w:eastAsia="en-GB"/>
          <w14:ligatures w14:val="none"/>
        </w:rPr>
      </w:pPr>
      <w:r w:rsidRPr="009A7FD8">
        <w:rPr>
          <w:rFonts w:ascii="Times New Roman" w:eastAsia="Times New Roman" w:hAnsi="Times New Roman" w:cs="Times New Roman"/>
          <w:b/>
          <w:bCs/>
          <w:color w:val="auto"/>
          <w:sz w:val="24"/>
          <w:szCs w:val="24"/>
          <w:lang w:val="en-GB" w:eastAsia="en-GB"/>
          <w14:ligatures w14:val="none"/>
        </w:rPr>
        <w:t>Peer‑Exchange Programme:</w:t>
      </w:r>
      <w:bookmarkStart w:id="0" w:name="_GoBack"/>
      <w:bookmarkEnd w:id="0"/>
    </w:p>
    <w:p w14:paraId="6C3AE27E" w14:textId="77777777" w:rsidR="009A7FD8" w:rsidRPr="009A7FD8" w:rsidRDefault="009A7FD8" w:rsidP="009A7FD8">
      <w:pPr>
        <w:numPr>
          <w:ilvl w:val="0"/>
          <w:numId w:val="10"/>
        </w:numPr>
        <w:spacing w:before="100" w:beforeAutospacing="1" w:after="100" w:afterAutospacing="1" w:line="240" w:lineRule="auto"/>
        <w:rPr>
          <w:rFonts w:ascii="Times New Roman" w:eastAsia="Times New Roman" w:hAnsi="Times New Roman" w:cs="Times New Roman"/>
          <w:color w:val="auto"/>
          <w:sz w:val="24"/>
          <w:szCs w:val="24"/>
          <w:lang w:val="en-GB" w:eastAsia="en-GB"/>
          <w14:ligatures w14:val="none"/>
        </w:rPr>
      </w:pPr>
      <w:r w:rsidRPr="009A7FD8">
        <w:rPr>
          <w:rFonts w:ascii="Times New Roman" w:eastAsia="Times New Roman" w:hAnsi="Times New Roman" w:cs="Times New Roman"/>
          <w:b/>
          <w:bCs/>
          <w:color w:val="auto"/>
          <w:sz w:val="24"/>
          <w:szCs w:val="24"/>
          <w:lang w:val="en-GB" w:eastAsia="en-GB"/>
          <w14:ligatures w14:val="none"/>
        </w:rPr>
        <w:t>Co</w:t>
      </w:r>
      <w:r w:rsidRPr="009A7FD8">
        <w:rPr>
          <w:rFonts w:ascii="Times New Roman" w:eastAsia="Times New Roman" w:hAnsi="Times New Roman" w:cs="Times New Roman"/>
          <w:b/>
          <w:bCs/>
          <w:color w:val="auto"/>
          <w:sz w:val="24"/>
          <w:szCs w:val="24"/>
          <w:lang w:val="en-GB" w:eastAsia="en-GB"/>
          <w14:ligatures w14:val="none"/>
        </w:rPr>
        <w:noBreakHyphen/>
        <w:t>develop the content</w:t>
      </w:r>
      <w:r w:rsidRPr="009A7FD8">
        <w:rPr>
          <w:rFonts w:ascii="Times New Roman" w:eastAsia="Times New Roman" w:hAnsi="Times New Roman" w:cs="Times New Roman"/>
          <w:color w:val="auto"/>
          <w:sz w:val="24"/>
          <w:szCs w:val="24"/>
          <w:lang w:val="en-GB" w:eastAsia="en-GB"/>
          <w14:ligatures w14:val="none"/>
        </w:rPr>
        <w:t xml:space="preserve"> of each peer</w:t>
      </w:r>
      <w:r w:rsidRPr="009A7FD8">
        <w:rPr>
          <w:rFonts w:ascii="Times New Roman" w:eastAsia="Times New Roman" w:hAnsi="Times New Roman" w:cs="Times New Roman"/>
          <w:color w:val="auto"/>
          <w:sz w:val="24"/>
          <w:szCs w:val="24"/>
          <w:lang w:val="en-GB" w:eastAsia="en-GB"/>
          <w14:ligatures w14:val="none"/>
        </w:rPr>
        <w:noBreakHyphen/>
        <w:t>exchange with the Peer</w:t>
      </w:r>
      <w:r w:rsidRPr="009A7FD8">
        <w:rPr>
          <w:rFonts w:ascii="Times New Roman" w:eastAsia="Times New Roman" w:hAnsi="Times New Roman" w:cs="Times New Roman"/>
          <w:color w:val="auto"/>
          <w:sz w:val="24"/>
          <w:szCs w:val="24"/>
          <w:lang w:val="en-GB" w:eastAsia="en-GB"/>
          <w14:ligatures w14:val="none"/>
        </w:rPr>
        <w:noBreakHyphen/>
        <w:t>Exchange Lead Expert (objectives, agenda, learning methods, sequencing of sessions).</w:t>
      </w:r>
    </w:p>
    <w:p w14:paraId="2A0FDC35" w14:textId="77777777" w:rsidR="009A7FD8" w:rsidRPr="009A7FD8" w:rsidRDefault="009A7FD8" w:rsidP="009A7FD8">
      <w:pPr>
        <w:numPr>
          <w:ilvl w:val="0"/>
          <w:numId w:val="10"/>
        </w:numPr>
        <w:spacing w:before="100" w:beforeAutospacing="1" w:after="100" w:afterAutospacing="1" w:line="240" w:lineRule="auto"/>
        <w:rPr>
          <w:rFonts w:ascii="Times New Roman" w:eastAsia="Times New Roman" w:hAnsi="Times New Roman" w:cs="Times New Roman"/>
          <w:color w:val="auto"/>
          <w:sz w:val="24"/>
          <w:szCs w:val="24"/>
          <w:lang w:val="en-GB" w:eastAsia="en-GB"/>
          <w14:ligatures w14:val="none"/>
        </w:rPr>
      </w:pPr>
      <w:r w:rsidRPr="009A7FD8">
        <w:rPr>
          <w:rFonts w:ascii="Times New Roman" w:eastAsia="Times New Roman" w:hAnsi="Times New Roman" w:cs="Times New Roman"/>
          <w:b/>
          <w:bCs/>
          <w:color w:val="auto"/>
          <w:sz w:val="24"/>
          <w:szCs w:val="24"/>
          <w:lang w:val="en-GB" w:eastAsia="en-GB"/>
          <w14:ligatures w14:val="none"/>
        </w:rPr>
        <w:t>Prepare concrete materials</w:t>
      </w:r>
      <w:r w:rsidRPr="009A7FD8">
        <w:rPr>
          <w:rFonts w:ascii="Times New Roman" w:eastAsia="Times New Roman" w:hAnsi="Times New Roman" w:cs="Times New Roman"/>
          <w:color w:val="auto"/>
          <w:sz w:val="24"/>
          <w:szCs w:val="24"/>
          <w:lang w:val="en-GB" w:eastAsia="en-GB"/>
          <w14:ligatures w14:val="none"/>
        </w:rPr>
        <w:t xml:space="preserve"> for each session (short briefs, guiding questions, practical examples, templates for group work).</w:t>
      </w:r>
    </w:p>
    <w:p w14:paraId="3D7FAE67" w14:textId="77777777" w:rsidR="009A7FD8" w:rsidRPr="009A7FD8" w:rsidRDefault="009A7FD8" w:rsidP="009A7FD8">
      <w:pPr>
        <w:numPr>
          <w:ilvl w:val="0"/>
          <w:numId w:val="10"/>
        </w:numPr>
        <w:spacing w:before="100" w:beforeAutospacing="1" w:after="100" w:afterAutospacing="1" w:line="240" w:lineRule="auto"/>
        <w:rPr>
          <w:rFonts w:ascii="Times New Roman" w:eastAsia="Times New Roman" w:hAnsi="Times New Roman" w:cs="Times New Roman"/>
          <w:color w:val="auto"/>
          <w:sz w:val="24"/>
          <w:szCs w:val="24"/>
          <w:lang w:val="en-GB" w:eastAsia="en-GB"/>
          <w14:ligatures w14:val="none"/>
        </w:rPr>
      </w:pPr>
      <w:r w:rsidRPr="009A7FD8">
        <w:rPr>
          <w:rFonts w:ascii="Times New Roman" w:eastAsia="Times New Roman" w:hAnsi="Times New Roman" w:cs="Times New Roman"/>
          <w:b/>
          <w:bCs/>
          <w:color w:val="auto"/>
          <w:sz w:val="24"/>
          <w:szCs w:val="24"/>
          <w:lang w:val="en-GB" w:eastAsia="en-GB"/>
          <w14:ligatures w14:val="none"/>
        </w:rPr>
        <w:t>Facilitate the peer</w:t>
      </w:r>
      <w:r w:rsidRPr="009A7FD8">
        <w:rPr>
          <w:rFonts w:ascii="Times New Roman" w:eastAsia="Times New Roman" w:hAnsi="Times New Roman" w:cs="Times New Roman"/>
          <w:b/>
          <w:bCs/>
          <w:color w:val="auto"/>
          <w:sz w:val="24"/>
          <w:szCs w:val="24"/>
          <w:lang w:val="en-GB" w:eastAsia="en-GB"/>
          <w14:ligatures w14:val="none"/>
        </w:rPr>
        <w:noBreakHyphen/>
        <w:t>exchange sessions</w:t>
      </w:r>
      <w:r w:rsidRPr="009A7FD8">
        <w:rPr>
          <w:rFonts w:ascii="Times New Roman" w:eastAsia="Times New Roman" w:hAnsi="Times New Roman" w:cs="Times New Roman"/>
          <w:color w:val="auto"/>
          <w:sz w:val="24"/>
          <w:szCs w:val="24"/>
          <w:lang w:val="en-GB" w:eastAsia="en-GB"/>
          <w14:ligatures w14:val="none"/>
        </w:rPr>
        <w:t>, including moderating discussions, supporting group exercises, and ensuring that each session produces usable insights for the beneficiaries.</w:t>
      </w:r>
    </w:p>
    <w:p w14:paraId="66527464" w14:textId="77777777" w:rsidR="009A7FD8" w:rsidRPr="009A7FD8" w:rsidRDefault="009A7FD8" w:rsidP="009A7FD8">
      <w:pPr>
        <w:numPr>
          <w:ilvl w:val="0"/>
          <w:numId w:val="10"/>
        </w:numPr>
        <w:spacing w:before="100" w:beforeAutospacing="1" w:after="100" w:afterAutospacing="1" w:line="240" w:lineRule="auto"/>
        <w:rPr>
          <w:rFonts w:ascii="Times New Roman" w:eastAsia="Times New Roman" w:hAnsi="Times New Roman" w:cs="Times New Roman"/>
          <w:color w:val="auto"/>
          <w:sz w:val="24"/>
          <w:szCs w:val="24"/>
          <w:lang w:val="en-GB" w:eastAsia="en-GB"/>
          <w14:ligatures w14:val="none"/>
        </w:rPr>
      </w:pPr>
      <w:r w:rsidRPr="009A7FD8">
        <w:rPr>
          <w:rFonts w:ascii="Times New Roman" w:eastAsia="Times New Roman" w:hAnsi="Times New Roman" w:cs="Times New Roman"/>
          <w:b/>
          <w:bCs/>
          <w:color w:val="auto"/>
          <w:sz w:val="24"/>
          <w:szCs w:val="24"/>
          <w:lang w:val="en-GB" w:eastAsia="en-GB"/>
          <w14:ligatures w14:val="none"/>
        </w:rPr>
        <w:t>Collect and synthesise technical recommendations</w:t>
      </w:r>
      <w:r w:rsidRPr="009A7FD8">
        <w:rPr>
          <w:rFonts w:ascii="Times New Roman" w:eastAsia="Times New Roman" w:hAnsi="Times New Roman" w:cs="Times New Roman"/>
          <w:color w:val="auto"/>
          <w:sz w:val="24"/>
          <w:szCs w:val="24"/>
          <w:lang w:val="en-GB" w:eastAsia="en-GB"/>
          <w14:ligatures w14:val="none"/>
        </w:rPr>
        <w:t xml:space="preserve"> emerging from the exchanges (practical steps, methods, tools, examples) that beneficiaries can apply to advance their green budgeting practices.</w:t>
      </w:r>
    </w:p>
    <w:p w14:paraId="6661DA7C" w14:textId="4B17A550" w:rsidR="009A7FD8" w:rsidRDefault="009A7FD8" w:rsidP="009A7FD8">
      <w:pPr>
        <w:numPr>
          <w:ilvl w:val="0"/>
          <w:numId w:val="10"/>
        </w:numPr>
        <w:spacing w:before="100" w:beforeAutospacing="1" w:after="100" w:afterAutospacing="1" w:line="240" w:lineRule="auto"/>
        <w:rPr>
          <w:rFonts w:ascii="Times New Roman" w:eastAsia="Times New Roman" w:hAnsi="Times New Roman" w:cs="Times New Roman"/>
          <w:color w:val="auto"/>
          <w:sz w:val="24"/>
          <w:szCs w:val="24"/>
          <w:lang w:val="en-GB" w:eastAsia="en-GB"/>
          <w14:ligatures w14:val="none"/>
        </w:rPr>
      </w:pPr>
      <w:r w:rsidRPr="009A7FD8">
        <w:rPr>
          <w:rFonts w:ascii="Times New Roman" w:eastAsia="Times New Roman" w:hAnsi="Times New Roman" w:cs="Times New Roman"/>
          <w:b/>
          <w:bCs/>
          <w:color w:val="auto"/>
          <w:sz w:val="24"/>
          <w:szCs w:val="24"/>
          <w:lang w:val="en-GB" w:eastAsia="en-GB"/>
          <w14:ligatures w14:val="none"/>
        </w:rPr>
        <w:t>Produce short follow</w:t>
      </w:r>
      <w:r w:rsidRPr="009A7FD8">
        <w:rPr>
          <w:rFonts w:ascii="Times New Roman" w:eastAsia="Times New Roman" w:hAnsi="Times New Roman" w:cs="Times New Roman"/>
          <w:b/>
          <w:bCs/>
          <w:color w:val="auto"/>
          <w:sz w:val="24"/>
          <w:szCs w:val="24"/>
          <w:lang w:val="en-GB" w:eastAsia="en-GB"/>
          <w14:ligatures w14:val="none"/>
        </w:rPr>
        <w:noBreakHyphen/>
        <w:t>up notes</w:t>
      </w:r>
      <w:r w:rsidRPr="009A7FD8">
        <w:rPr>
          <w:rFonts w:ascii="Times New Roman" w:eastAsia="Times New Roman" w:hAnsi="Times New Roman" w:cs="Times New Roman"/>
          <w:color w:val="auto"/>
          <w:sz w:val="24"/>
          <w:szCs w:val="24"/>
          <w:lang w:val="en-GB" w:eastAsia="en-GB"/>
          <w14:ligatures w14:val="none"/>
        </w:rPr>
        <w:t xml:space="preserve"> after each exchange summarising key learnings, recommendations, and next steps for the participating countries.</w:t>
      </w:r>
    </w:p>
    <w:p w14:paraId="4F2B5DC3" w14:textId="53042EE3" w:rsidR="009A7FD8" w:rsidRPr="009A7FD8" w:rsidRDefault="009A7FD8" w:rsidP="009A7FD8">
      <w:pPr>
        <w:spacing w:before="100" w:beforeAutospacing="1" w:after="100" w:afterAutospacing="1" w:line="240" w:lineRule="auto"/>
        <w:rPr>
          <w:rFonts w:ascii="Times New Roman" w:eastAsia="Times New Roman" w:hAnsi="Times New Roman" w:cs="Times New Roman"/>
          <w:b/>
          <w:bCs/>
          <w:color w:val="auto"/>
          <w:sz w:val="24"/>
          <w:szCs w:val="24"/>
          <w:lang w:val="en-GB" w:eastAsia="en-GB"/>
          <w14:ligatures w14:val="none"/>
        </w:rPr>
      </w:pPr>
      <w:r w:rsidRPr="009A7FD8">
        <w:rPr>
          <w:rFonts w:ascii="Times New Roman" w:eastAsia="Times New Roman" w:hAnsi="Times New Roman" w:cs="Times New Roman"/>
          <w:b/>
          <w:bCs/>
          <w:color w:val="auto"/>
          <w:sz w:val="24"/>
          <w:szCs w:val="24"/>
          <w:lang w:val="en-GB" w:eastAsia="en-GB"/>
          <w14:ligatures w14:val="none"/>
        </w:rPr>
        <w:t>Capitalisation and Horizontal Insights</w:t>
      </w:r>
    </w:p>
    <w:p w14:paraId="6C2057AB" w14:textId="77777777" w:rsidR="009A7FD8" w:rsidRPr="009A7FD8" w:rsidRDefault="009A7FD8" w:rsidP="009A7FD8">
      <w:pPr>
        <w:numPr>
          <w:ilvl w:val="0"/>
          <w:numId w:val="11"/>
        </w:numPr>
        <w:spacing w:before="100" w:beforeAutospacing="1" w:after="100" w:afterAutospacing="1" w:line="240" w:lineRule="auto"/>
        <w:rPr>
          <w:rFonts w:ascii="Times New Roman" w:eastAsia="Times New Roman" w:hAnsi="Times New Roman" w:cs="Times New Roman"/>
          <w:color w:val="auto"/>
          <w:sz w:val="24"/>
          <w:szCs w:val="24"/>
          <w:lang w:val="en-GB" w:eastAsia="en-GB"/>
          <w14:ligatures w14:val="none"/>
        </w:rPr>
      </w:pPr>
      <w:r w:rsidRPr="009A7FD8">
        <w:rPr>
          <w:rFonts w:ascii="Times New Roman" w:eastAsia="Times New Roman" w:hAnsi="Times New Roman" w:cs="Times New Roman"/>
          <w:b/>
          <w:bCs/>
          <w:color w:val="auto"/>
          <w:sz w:val="24"/>
          <w:szCs w:val="24"/>
          <w:lang w:val="en-GB" w:eastAsia="en-GB"/>
          <w14:ligatures w14:val="none"/>
        </w:rPr>
        <w:t>Lead the drafting of up to 3 horizontal publications</w:t>
      </w:r>
      <w:r w:rsidRPr="009A7FD8">
        <w:rPr>
          <w:rFonts w:ascii="Times New Roman" w:eastAsia="Times New Roman" w:hAnsi="Times New Roman" w:cs="Times New Roman"/>
          <w:color w:val="auto"/>
          <w:sz w:val="24"/>
          <w:szCs w:val="24"/>
          <w:lang w:val="en-GB" w:eastAsia="en-GB"/>
          <w14:ligatures w14:val="none"/>
        </w:rPr>
        <w:t xml:space="preserve"> that consolidate best practices, lessons learned, and actionable insights generated by the project.</w:t>
      </w:r>
    </w:p>
    <w:p w14:paraId="2FD03F4C" w14:textId="77777777" w:rsidR="009A7FD8" w:rsidRPr="009A7FD8" w:rsidRDefault="009A7FD8" w:rsidP="009A7FD8">
      <w:pPr>
        <w:numPr>
          <w:ilvl w:val="0"/>
          <w:numId w:val="11"/>
        </w:numPr>
        <w:spacing w:before="100" w:beforeAutospacing="1" w:after="100" w:afterAutospacing="1" w:line="240" w:lineRule="auto"/>
        <w:rPr>
          <w:rFonts w:ascii="Times New Roman" w:eastAsia="Times New Roman" w:hAnsi="Times New Roman" w:cs="Times New Roman"/>
          <w:color w:val="auto"/>
          <w:sz w:val="24"/>
          <w:szCs w:val="24"/>
          <w:lang w:val="en-GB" w:eastAsia="en-GB"/>
          <w14:ligatures w14:val="none"/>
        </w:rPr>
      </w:pPr>
      <w:r w:rsidRPr="009A7FD8">
        <w:rPr>
          <w:rFonts w:ascii="Times New Roman" w:eastAsia="Times New Roman" w:hAnsi="Times New Roman" w:cs="Times New Roman"/>
          <w:b/>
          <w:bCs/>
          <w:color w:val="auto"/>
          <w:sz w:val="24"/>
          <w:szCs w:val="24"/>
          <w:lang w:val="en-GB" w:eastAsia="en-GB"/>
          <w14:ligatures w14:val="none"/>
        </w:rPr>
        <w:t>Coordinate contributions from local experts</w:t>
      </w:r>
      <w:r w:rsidRPr="009A7FD8">
        <w:rPr>
          <w:rFonts w:ascii="Times New Roman" w:eastAsia="Times New Roman" w:hAnsi="Times New Roman" w:cs="Times New Roman"/>
          <w:color w:val="auto"/>
          <w:sz w:val="24"/>
          <w:szCs w:val="24"/>
          <w:lang w:val="en-GB" w:eastAsia="en-GB"/>
          <w14:ligatures w14:val="none"/>
        </w:rPr>
        <w:t>, ensuring they provide concrete examples of country practices and relevant evidence.</w:t>
      </w:r>
    </w:p>
    <w:p w14:paraId="631909F8" w14:textId="77777777" w:rsidR="009A7FD8" w:rsidRPr="009A7FD8" w:rsidRDefault="009A7FD8" w:rsidP="009A7FD8">
      <w:pPr>
        <w:numPr>
          <w:ilvl w:val="0"/>
          <w:numId w:val="11"/>
        </w:numPr>
        <w:spacing w:before="100" w:beforeAutospacing="1" w:after="100" w:afterAutospacing="1" w:line="240" w:lineRule="auto"/>
        <w:rPr>
          <w:rFonts w:ascii="Times New Roman" w:eastAsia="Times New Roman" w:hAnsi="Times New Roman" w:cs="Times New Roman"/>
          <w:color w:val="auto"/>
          <w:sz w:val="24"/>
          <w:szCs w:val="24"/>
          <w:lang w:val="en-GB" w:eastAsia="en-GB"/>
          <w14:ligatures w14:val="none"/>
        </w:rPr>
      </w:pPr>
      <w:r w:rsidRPr="009A7FD8">
        <w:rPr>
          <w:rFonts w:ascii="Times New Roman" w:eastAsia="Times New Roman" w:hAnsi="Times New Roman" w:cs="Times New Roman"/>
          <w:b/>
          <w:bCs/>
          <w:color w:val="auto"/>
          <w:sz w:val="24"/>
          <w:szCs w:val="24"/>
          <w:lang w:val="en-GB" w:eastAsia="en-GB"/>
          <w14:ligatures w14:val="none"/>
        </w:rPr>
        <w:t>Define the structure and key messages</w:t>
      </w:r>
      <w:r w:rsidRPr="009A7FD8">
        <w:rPr>
          <w:rFonts w:ascii="Times New Roman" w:eastAsia="Times New Roman" w:hAnsi="Times New Roman" w:cs="Times New Roman"/>
          <w:color w:val="auto"/>
          <w:sz w:val="24"/>
          <w:szCs w:val="24"/>
          <w:lang w:val="en-GB" w:eastAsia="en-GB"/>
          <w14:ligatures w14:val="none"/>
        </w:rPr>
        <w:t xml:space="preserve"> of each publication, ensuring clarity, comparability across countries, and practical value for EU Member States.</w:t>
      </w:r>
    </w:p>
    <w:p w14:paraId="52A0543F" w14:textId="77777777" w:rsidR="009A7FD8" w:rsidRPr="009A7FD8" w:rsidRDefault="009A7FD8" w:rsidP="009A7FD8">
      <w:pPr>
        <w:numPr>
          <w:ilvl w:val="0"/>
          <w:numId w:val="11"/>
        </w:numPr>
        <w:spacing w:before="100" w:beforeAutospacing="1" w:after="100" w:afterAutospacing="1" w:line="240" w:lineRule="auto"/>
        <w:rPr>
          <w:rFonts w:ascii="Times New Roman" w:eastAsia="Times New Roman" w:hAnsi="Times New Roman" w:cs="Times New Roman"/>
          <w:color w:val="auto"/>
          <w:sz w:val="24"/>
          <w:szCs w:val="24"/>
          <w:lang w:val="en-GB" w:eastAsia="en-GB"/>
          <w14:ligatures w14:val="none"/>
        </w:rPr>
      </w:pPr>
      <w:r w:rsidRPr="009A7FD8">
        <w:rPr>
          <w:rFonts w:ascii="Times New Roman" w:eastAsia="Times New Roman" w:hAnsi="Times New Roman" w:cs="Times New Roman"/>
          <w:b/>
          <w:bCs/>
          <w:color w:val="auto"/>
          <w:sz w:val="24"/>
          <w:szCs w:val="24"/>
          <w:lang w:val="en-GB" w:eastAsia="en-GB"/>
          <w14:ligatures w14:val="none"/>
        </w:rPr>
        <w:t>Synthesize cross</w:t>
      </w:r>
      <w:r w:rsidRPr="009A7FD8">
        <w:rPr>
          <w:rFonts w:ascii="Times New Roman" w:eastAsia="Times New Roman" w:hAnsi="Times New Roman" w:cs="Times New Roman"/>
          <w:b/>
          <w:bCs/>
          <w:color w:val="auto"/>
          <w:sz w:val="24"/>
          <w:szCs w:val="24"/>
          <w:lang w:val="en-GB" w:eastAsia="en-GB"/>
          <w14:ligatures w14:val="none"/>
        </w:rPr>
        <w:noBreakHyphen/>
        <w:t>country insights</w:t>
      </w:r>
      <w:r w:rsidRPr="009A7FD8">
        <w:rPr>
          <w:rFonts w:ascii="Times New Roman" w:eastAsia="Times New Roman" w:hAnsi="Times New Roman" w:cs="Times New Roman"/>
          <w:color w:val="auto"/>
          <w:sz w:val="24"/>
          <w:szCs w:val="24"/>
          <w:lang w:val="en-GB" w:eastAsia="en-GB"/>
          <w14:ligatures w14:val="none"/>
        </w:rPr>
        <w:t xml:space="preserve"> (common challenges, recurring patterns, effective solutions) in close collaboration with the Technical Coordinator and Project Manager.</w:t>
      </w:r>
    </w:p>
    <w:p w14:paraId="6BCCD6F7" w14:textId="2B85A68C" w:rsidR="009A7FD8" w:rsidRPr="009A7FD8" w:rsidRDefault="009A7FD8" w:rsidP="009A7FD8">
      <w:pPr>
        <w:numPr>
          <w:ilvl w:val="0"/>
          <w:numId w:val="11"/>
        </w:numPr>
        <w:spacing w:before="100" w:beforeAutospacing="1" w:after="100" w:afterAutospacing="1" w:line="240" w:lineRule="auto"/>
        <w:rPr>
          <w:rFonts w:ascii="Times New Roman" w:eastAsia="Times New Roman" w:hAnsi="Times New Roman" w:cs="Times New Roman"/>
          <w:color w:val="auto"/>
          <w:sz w:val="24"/>
          <w:szCs w:val="24"/>
          <w:lang w:val="en-GB" w:eastAsia="en-GB"/>
          <w14:ligatures w14:val="none"/>
        </w:rPr>
      </w:pPr>
      <w:r w:rsidRPr="009A7FD8">
        <w:rPr>
          <w:rFonts w:ascii="Times New Roman" w:eastAsia="Times New Roman" w:hAnsi="Times New Roman" w:cs="Times New Roman"/>
          <w:b/>
          <w:bCs/>
          <w:color w:val="auto"/>
          <w:sz w:val="24"/>
          <w:szCs w:val="24"/>
          <w:lang w:val="en-GB" w:eastAsia="en-GB"/>
          <w14:ligatures w14:val="none"/>
        </w:rPr>
        <w:t xml:space="preserve">Provide regular briefings </w:t>
      </w:r>
      <w:r w:rsidRPr="009A7FD8">
        <w:rPr>
          <w:rFonts w:ascii="Times New Roman" w:eastAsia="Times New Roman" w:hAnsi="Times New Roman" w:cs="Times New Roman"/>
          <w:color w:val="auto"/>
          <w:sz w:val="24"/>
          <w:szCs w:val="24"/>
          <w:lang w:val="en-GB" w:eastAsia="en-GB"/>
          <w14:ligatures w14:val="none"/>
        </w:rPr>
        <w:t>on emerging trends, shared bottlenecks, and opportunities for replication or adaptation across Member States.</w:t>
      </w:r>
    </w:p>
    <w:p w14:paraId="2C5FB905" w14:textId="05B19BF3" w:rsidR="009A7FD8" w:rsidRDefault="009A7FD8" w:rsidP="009A7FD8">
      <w:pPr>
        <w:numPr>
          <w:ilvl w:val="0"/>
          <w:numId w:val="11"/>
        </w:numPr>
        <w:spacing w:before="100" w:beforeAutospacing="1" w:after="100" w:afterAutospacing="1" w:line="240" w:lineRule="auto"/>
        <w:rPr>
          <w:rFonts w:ascii="Times New Roman" w:eastAsia="Times New Roman" w:hAnsi="Times New Roman" w:cs="Times New Roman"/>
          <w:color w:val="auto"/>
          <w:sz w:val="24"/>
          <w:szCs w:val="24"/>
          <w:lang w:val="en-GB" w:eastAsia="en-GB"/>
          <w14:ligatures w14:val="none"/>
        </w:rPr>
      </w:pPr>
      <w:r w:rsidRPr="009A7FD8">
        <w:rPr>
          <w:rFonts w:ascii="Times New Roman" w:eastAsia="Times New Roman" w:hAnsi="Times New Roman" w:cs="Times New Roman"/>
          <w:b/>
          <w:bCs/>
          <w:color w:val="auto"/>
          <w:sz w:val="24"/>
          <w:szCs w:val="24"/>
          <w:lang w:val="en-GB" w:eastAsia="en-GB"/>
          <w14:ligatures w14:val="none"/>
        </w:rPr>
        <w:t>Ensure all outputs are practical</w:t>
      </w:r>
      <w:r w:rsidRPr="009A7FD8">
        <w:rPr>
          <w:rFonts w:ascii="Times New Roman" w:eastAsia="Times New Roman" w:hAnsi="Times New Roman" w:cs="Times New Roman"/>
          <w:color w:val="auto"/>
          <w:sz w:val="24"/>
          <w:szCs w:val="24"/>
          <w:lang w:val="en-GB" w:eastAsia="en-GB"/>
          <w14:ligatures w14:val="none"/>
        </w:rPr>
        <w:t>, concise, and directly usable by policymakers</w:t>
      </w:r>
    </w:p>
    <w:p w14:paraId="09B87659" w14:textId="06A7F7E0" w:rsidR="000A3CE5" w:rsidRPr="009A7FD8" w:rsidRDefault="000A3CE5" w:rsidP="000A3CE5">
      <w:pPr>
        <w:numPr>
          <w:ilvl w:val="0"/>
          <w:numId w:val="11"/>
        </w:numPr>
        <w:spacing w:before="100" w:beforeAutospacing="1" w:after="100" w:afterAutospacing="1" w:line="240" w:lineRule="auto"/>
        <w:rPr>
          <w:rFonts w:ascii="Times New Roman" w:eastAsia="Times New Roman" w:hAnsi="Times New Roman" w:cs="Times New Roman"/>
          <w:color w:val="auto"/>
          <w:sz w:val="24"/>
          <w:szCs w:val="24"/>
          <w:lang w:val="en-GB" w:eastAsia="en-GB"/>
          <w14:ligatures w14:val="none"/>
        </w:rPr>
      </w:pPr>
      <w:r w:rsidRPr="000A3CE5">
        <w:rPr>
          <w:rFonts w:ascii="Times New Roman" w:eastAsia="Times New Roman" w:hAnsi="Times New Roman" w:cs="Times New Roman"/>
          <w:b/>
          <w:color w:val="auto"/>
          <w:sz w:val="24"/>
          <w:szCs w:val="24"/>
          <w:lang w:val="en-GB" w:eastAsia="en-GB"/>
          <w14:ligatures w14:val="none"/>
        </w:rPr>
        <w:t>Ensure all publications are practical</w:t>
      </w:r>
      <w:r w:rsidRPr="000A3CE5">
        <w:rPr>
          <w:rFonts w:ascii="Times New Roman" w:eastAsia="Times New Roman" w:hAnsi="Times New Roman" w:cs="Times New Roman"/>
          <w:color w:val="auto"/>
          <w:sz w:val="24"/>
          <w:szCs w:val="24"/>
          <w:lang w:val="en-GB" w:eastAsia="en-GB"/>
          <w14:ligatures w14:val="none"/>
        </w:rPr>
        <w:t>, concise, and directly usable by policymakers</w:t>
      </w:r>
    </w:p>
    <w:p w14:paraId="6ED2F40D" w14:textId="77777777" w:rsidR="009A7FD8" w:rsidRDefault="009A7FD8" w:rsidP="009A06B0">
      <w:pPr>
        <w:widowControl w:val="0"/>
        <w:autoSpaceDE w:val="0"/>
        <w:autoSpaceDN w:val="0"/>
        <w:spacing w:after="0" w:line="240" w:lineRule="auto"/>
        <w:jc w:val="both"/>
        <w:outlineLvl w:val="0"/>
        <w:rPr>
          <w:rFonts w:ascii="Times New Roman" w:eastAsia="Times New Roman" w:hAnsi="Times New Roman" w:cs="Times New Roman"/>
          <w:color w:val="auto"/>
          <w:sz w:val="22"/>
          <w:szCs w:val="22"/>
          <w:lang w:val="en-GB"/>
          <w14:ligatures w14:val="none"/>
        </w:rPr>
      </w:pPr>
    </w:p>
    <w:p w14:paraId="65E88C5D" w14:textId="77777777" w:rsidR="002E5DD6" w:rsidRDefault="002E5DD6" w:rsidP="009A06B0">
      <w:pPr>
        <w:widowControl w:val="0"/>
        <w:autoSpaceDE w:val="0"/>
        <w:autoSpaceDN w:val="0"/>
        <w:spacing w:after="0" w:line="240" w:lineRule="auto"/>
        <w:jc w:val="both"/>
        <w:outlineLvl w:val="0"/>
        <w:rPr>
          <w:rFonts w:ascii="Times New Roman" w:eastAsia="Times New Roman" w:hAnsi="Times New Roman" w:cs="Times New Roman"/>
          <w:color w:val="auto"/>
          <w:sz w:val="22"/>
          <w:szCs w:val="22"/>
          <w:lang w:val="en-GB"/>
          <w14:ligatures w14:val="none"/>
        </w:rPr>
      </w:pPr>
    </w:p>
    <w:p w14:paraId="48F85850" w14:textId="77777777" w:rsidR="009A7FD8" w:rsidRDefault="009A7FD8" w:rsidP="009A06B0">
      <w:pPr>
        <w:widowControl w:val="0"/>
        <w:autoSpaceDE w:val="0"/>
        <w:autoSpaceDN w:val="0"/>
        <w:spacing w:after="0" w:line="240" w:lineRule="auto"/>
        <w:jc w:val="both"/>
        <w:outlineLvl w:val="0"/>
        <w:rPr>
          <w:rFonts w:ascii="Times New Roman" w:eastAsia="Times New Roman" w:hAnsi="Times New Roman" w:cs="Times New Roman"/>
          <w:color w:val="auto"/>
          <w:sz w:val="22"/>
          <w:szCs w:val="22"/>
          <w:lang w:val="en-GB"/>
          <w14:ligatures w14:val="none"/>
        </w:rPr>
      </w:pPr>
    </w:p>
    <w:p w14:paraId="6EC60766" w14:textId="77777777" w:rsidR="009A7FD8" w:rsidRDefault="009A7FD8" w:rsidP="009A06B0">
      <w:pPr>
        <w:widowControl w:val="0"/>
        <w:autoSpaceDE w:val="0"/>
        <w:autoSpaceDN w:val="0"/>
        <w:spacing w:after="0" w:line="240" w:lineRule="auto"/>
        <w:jc w:val="both"/>
        <w:outlineLvl w:val="0"/>
        <w:rPr>
          <w:rFonts w:ascii="Times New Roman" w:eastAsia="Times New Roman" w:hAnsi="Times New Roman" w:cs="Times New Roman"/>
          <w:color w:val="auto"/>
          <w:sz w:val="22"/>
          <w:szCs w:val="22"/>
          <w:lang w:val="en-GB"/>
          <w14:ligatures w14:val="none"/>
        </w:rPr>
      </w:pPr>
    </w:p>
    <w:p w14:paraId="09EE5B5A" w14:textId="77777777" w:rsidR="009A7FD8" w:rsidRDefault="009A7FD8" w:rsidP="009A06B0">
      <w:pPr>
        <w:widowControl w:val="0"/>
        <w:autoSpaceDE w:val="0"/>
        <w:autoSpaceDN w:val="0"/>
        <w:spacing w:after="0" w:line="240" w:lineRule="auto"/>
        <w:jc w:val="both"/>
        <w:outlineLvl w:val="0"/>
        <w:rPr>
          <w:rFonts w:ascii="Times New Roman" w:eastAsia="Times New Roman" w:hAnsi="Times New Roman" w:cs="Times New Roman"/>
          <w:color w:val="auto"/>
          <w:sz w:val="22"/>
          <w:szCs w:val="22"/>
          <w:lang w:val="en-GB"/>
          <w14:ligatures w14:val="none"/>
        </w:rPr>
      </w:pPr>
    </w:p>
    <w:p w14:paraId="019DE611" w14:textId="77777777" w:rsidR="009A7FD8" w:rsidRDefault="009A7FD8" w:rsidP="009A06B0">
      <w:pPr>
        <w:widowControl w:val="0"/>
        <w:autoSpaceDE w:val="0"/>
        <w:autoSpaceDN w:val="0"/>
        <w:spacing w:after="0" w:line="240" w:lineRule="auto"/>
        <w:jc w:val="both"/>
        <w:outlineLvl w:val="0"/>
        <w:rPr>
          <w:rFonts w:ascii="Times New Roman" w:eastAsia="Times New Roman" w:hAnsi="Times New Roman" w:cs="Times New Roman"/>
          <w:color w:val="auto"/>
          <w:sz w:val="22"/>
          <w:szCs w:val="22"/>
          <w:lang w:val="en-GB"/>
          <w14:ligatures w14:val="none"/>
        </w:rPr>
      </w:pPr>
    </w:p>
    <w:p w14:paraId="21FFD1CE" w14:textId="77777777" w:rsidR="009A7FD8" w:rsidRDefault="009A7FD8" w:rsidP="009A06B0">
      <w:pPr>
        <w:widowControl w:val="0"/>
        <w:autoSpaceDE w:val="0"/>
        <w:autoSpaceDN w:val="0"/>
        <w:spacing w:after="0" w:line="240" w:lineRule="auto"/>
        <w:jc w:val="both"/>
        <w:outlineLvl w:val="0"/>
        <w:rPr>
          <w:rFonts w:ascii="Times New Roman" w:eastAsia="Times New Roman" w:hAnsi="Times New Roman" w:cs="Times New Roman"/>
          <w:color w:val="auto"/>
          <w:sz w:val="22"/>
          <w:szCs w:val="22"/>
          <w:lang w:val="en-GB"/>
          <w14:ligatures w14:val="none"/>
        </w:rPr>
      </w:pPr>
    </w:p>
    <w:p w14:paraId="3C904C78" w14:textId="77777777" w:rsidR="009A06B0" w:rsidRPr="009A06B0" w:rsidRDefault="009A06B0" w:rsidP="009A06B0">
      <w:pPr>
        <w:widowControl w:val="0"/>
        <w:autoSpaceDE w:val="0"/>
        <w:autoSpaceDN w:val="0"/>
        <w:spacing w:after="0" w:line="240" w:lineRule="auto"/>
        <w:jc w:val="both"/>
        <w:outlineLvl w:val="0"/>
        <w:rPr>
          <w:rFonts w:ascii="Times New Roman" w:eastAsia="Times New Roman" w:hAnsi="Times New Roman" w:cs="Times New Roman"/>
          <w:color w:val="auto"/>
          <w:sz w:val="22"/>
          <w:szCs w:val="22"/>
          <w:lang w:val="en-GB"/>
          <w14:ligatures w14:val="none"/>
        </w:rPr>
      </w:pPr>
    </w:p>
    <w:p w14:paraId="60084809" w14:textId="5A2D56C8" w:rsidR="009A06B0" w:rsidRDefault="009A06B0" w:rsidP="009A06B0">
      <w:pPr>
        <w:widowControl w:val="0"/>
        <w:autoSpaceDE w:val="0"/>
        <w:autoSpaceDN w:val="0"/>
        <w:spacing w:after="0" w:line="240" w:lineRule="auto"/>
        <w:jc w:val="both"/>
        <w:outlineLvl w:val="0"/>
        <w:rPr>
          <w:rFonts w:ascii="Times New Roman" w:eastAsia="Times New Roman" w:hAnsi="Times New Roman" w:cs="Times New Roman"/>
          <w:color w:val="auto"/>
          <w:sz w:val="22"/>
          <w:szCs w:val="22"/>
          <w:lang w:val="en-GB"/>
          <w14:ligatures w14:val="none"/>
        </w:rPr>
      </w:pPr>
      <w:r w:rsidRPr="009A06B0">
        <w:rPr>
          <w:rFonts w:ascii="Times New Roman" w:eastAsia="Times New Roman" w:hAnsi="Times New Roman" w:cs="Times New Roman"/>
          <w:color w:val="auto"/>
          <w:sz w:val="22"/>
          <w:szCs w:val="22"/>
          <w:lang w:val="en-GB"/>
          <w14:ligatures w14:val="none"/>
        </w:rPr>
        <w:lastRenderedPageBreak/>
        <w:t>The expert will collaborate with Expertise France´s Project Management team, policy officers from the Task Force for Reform and Investment (SG REFORM), and technical experts from the European Commission Joint Research Centre (JRC).</w:t>
      </w:r>
    </w:p>
    <w:p w14:paraId="651EDAE0" w14:textId="77777777" w:rsidR="00E76011" w:rsidRDefault="00E76011" w:rsidP="009A06B0">
      <w:pPr>
        <w:widowControl w:val="0"/>
        <w:autoSpaceDE w:val="0"/>
        <w:autoSpaceDN w:val="0"/>
        <w:spacing w:after="0" w:line="240" w:lineRule="auto"/>
        <w:jc w:val="both"/>
        <w:outlineLvl w:val="0"/>
        <w:rPr>
          <w:rFonts w:ascii="Times New Roman" w:eastAsia="Times New Roman" w:hAnsi="Times New Roman" w:cs="Times New Roman"/>
          <w:color w:val="auto"/>
          <w:sz w:val="22"/>
          <w:szCs w:val="22"/>
          <w:lang w:val="en-GB"/>
          <w14:ligatures w14:val="none"/>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7655"/>
      </w:tblGrid>
      <w:tr w:rsidR="00E76011" w:rsidRPr="00E76011" w14:paraId="1B637C70" w14:textId="77777777" w:rsidTr="000260F0">
        <w:trPr>
          <w:trHeight w:val="940"/>
        </w:trPr>
        <w:tc>
          <w:tcPr>
            <w:tcW w:w="1701" w:type="dxa"/>
            <w:shd w:val="clear" w:color="auto" w:fill="002060"/>
          </w:tcPr>
          <w:p w14:paraId="2ACFF0F9" w14:textId="5B8424CC" w:rsidR="00E76011" w:rsidRPr="00E76011" w:rsidRDefault="00555ED2" w:rsidP="00E76011">
            <w:pPr>
              <w:widowControl w:val="0"/>
              <w:autoSpaceDE w:val="0"/>
              <w:autoSpaceDN w:val="0"/>
              <w:spacing w:after="0" w:line="240" w:lineRule="auto"/>
              <w:jc w:val="both"/>
              <w:outlineLvl w:val="0"/>
              <w:rPr>
                <w:rFonts w:ascii="Times New Roman" w:eastAsia="Times New Roman" w:hAnsi="Times New Roman" w:cs="Times New Roman"/>
                <w:b/>
                <w:color w:val="auto"/>
                <w:sz w:val="22"/>
                <w:szCs w:val="22"/>
                <w:lang w:val="en-GB"/>
                <w14:ligatures w14:val="none"/>
              </w:rPr>
            </w:pPr>
            <w:r>
              <w:rPr>
                <w:rFonts w:ascii="Times New Roman" w:eastAsia="Times New Roman" w:hAnsi="Times New Roman" w:cs="Times New Roman"/>
                <w:b/>
                <w:color w:val="auto"/>
                <w:sz w:val="22"/>
                <w:szCs w:val="22"/>
                <w:lang w:val="en-GB"/>
                <w14:ligatures w14:val="none"/>
              </w:rPr>
              <w:t>Deliverable</w:t>
            </w:r>
            <w:r w:rsidR="00E76011" w:rsidRPr="00E76011">
              <w:rPr>
                <w:rFonts w:ascii="Times New Roman" w:eastAsia="Times New Roman" w:hAnsi="Times New Roman" w:cs="Times New Roman"/>
                <w:b/>
                <w:color w:val="auto"/>
                <w:sz w:val="22"/>
                <w:szCs w:val="22"/>
                <w:lang w:val="en-GB"/>
                <w14:ligatures w14:val="none"/>
              </w:rPr>
              <w:t xml:space="preserve"> and estimated </w:t>
            </w:r>
            <w:r>
              <w:rPr>
                <w:rFonts w:ascii="Times New Roman" w:eastAsia="Times New Roman" w:hAnsi="Times New Roman" w:cs="Times New Roman"/>
                <w:b/>
                <w:color w:val="auto"/>
                <w:sz w:val="22"/>
                <w:szCs w:val="22"/>
                <w:lang w:val="en-GB"/>
                <w14:ligatures w14:val="none"/>
              </w:rPr>
              <w:t>timeframe</w:t>
            </w:r>
            <w:r w:rsidR="00E76011" w:rsidRPr="00E76011">
              <w:rPr>
                <w:rFonts w:ascii="Times New Roman" w:eastAsia="Times New Roman" w:hAnsi="Times New Roman" w:cs="Times New Roman"/>
                <w:b/>
                <w:color w:val="auto"/>
                <w:sz w:val="22"/>
                <w:szCs w:val="22"/>
                <w:lang w:val="en-GB"/>
                <w14:ligatures w14:val="none"/>
              </w:rPr>
              <w:t xml:space="preserve"> </w:t>
            </w:r>
          </w:p>
        </w:tc>
        <w:tc>
          <w:tcPr>
            <w:tcW w:w="7655" w:type="dxa"/>
            <w:shd w:val="clear" w:color="auto" w:fill="002060"/>
          </w:tcPr>
          <w:p w14:paraId="065C3B81" w14:textId="77777777" w:rsidR="00E76011" w:rsidRPr="00E76011" w:rsidRDefault="00E76011" w:rsidP="00E76011">
            <w:pPr>
              <w:widowControl w:val="0"/>
              <w:autoSpaceDE w:val="0"/>
              <w:autoSpaceDN w:val="0"/>
              <w:spacing w:after="0" w:line="240" w:lineRule="auto"/>
              <w:jc w:val="both"/>
              <w:outlineLvl w:val="0"/>
              <w:rPr>
                <w:rFonts w:ascii="Times New Roman" w:eastAsia="Times New Roman" w:hAnsi="Times New Roman" w:cs="Times New Roman"/>
                <w:b/>
                <w:color w:val="auto"/>
                <w:sz w:val="22"/>
                <w:szCs w:val="22"/>
                <w:lang w:val="en-GB"/>
                <w14:ligatures w14:val="none"/>
              </w:rPr>
            </w:pPr>
            <w:r w:rsidRPr="00E76011">
              <w:rPr>
                <w:rFonts w:ascii="Times New Roman" w:eastAsia="Times New Roman" w:hAnsi="Times New Roman" w:cs="Times New Roman"/>
                <w:b/>
                <w:color w:val="auto"/>
                <w:sz w:val="22"/>
                <w:szCs w:val="22"/>
                <w:lang w:val="en-GB"/>
                <w14:ligatures w14:val="none"/>
              </w:rPr>
              <w:t>Activities</w:t>
            </w:r>
          </w:p>
        </w:tc>
      </w:tr>
      <w:tr w:rsidR="00120B1E" w:rsidRPr="00E76011" w14:paraId="5312D0E8" w14:textId="77777777" w:rsidTr="000260F0">
        <w:trPr>
          <w:trHeight w:val="1209"/>
        </w:trPr>
        <w:tc>
          <w:tcPr>
            <w:tcW w:w="1701" w:type="dxa"/>
          </w:tcPr>
          <w:p w14:paraId="7221FE92" w14:textId="4234A3AD" w:rsidR="00120B1E" w:rsidRDefault="009A7FD8" w:rsidP="00E76011">
            <w:pPr>
              <w:widowControl w:val="0"/>
              <w:autoSpaceDE w:val="0"/>
              <w:autoSpaceDN w:val="0"/>
              <w:spacing w:after="0" w:line="240" w:lineRule="auto"/>
              <w:jc w:val="both"/>
              <w:outlineLvl w:val="0"/>
              <w:rPr>
                <w:rFonts w:ascii="Times New Roman" w:eastAsia="Times New Roman" w:hAnsi="Times New Roman" w:cs="Times New Roman"/>
                <w:color w:val="auto"/>
                <w:sz w:val="22"/>
                <w:szCs w:val="22"/>
                <w:lang w:val="en-GB"/>
                <w14:ligatures w14:val="none"/>
              </w:rPr>
            </w:pPr>
            <w:r>
              <w:rPr>
                <w:rFonts w:ascii="Times New Roman" w:eastAsia="Times New Roman" w:hAnsi="Times New Roman" w:cs="Times New Roman"/>
                <w:color w:val="auto"/>
                <w:sz w:val="22"/>
                <w:szCs w:val="22"/>
                <w:lang w:val="en-GB"/>
                <w14:ligatures w14:val="none"/>
              </w:rPr>
              <w:t>Brief report with work plan and proposed approach for the assignment</w:t>
            </w:r>
          </w:p>
          <w:p w14:paraId="57703488" w14:textId="77777777" w:rsidR="00D014CE" w:rsidRDefault="00D014CE" w:rsidP="00E76011">
            <w:pPr>
              <w:widowControl w:val="0"/>
              <w:autoSpaceDE w:val="0"/>
              <w:autoSpaceDN w:val="0"/>
              <w:spacing w:after="0" w:line="240" w:lineRule="auto"/>
              <w:jc w:val="both"/>
              <w:outlineLvl w:val="0"/>
              <w:rPr>
                <w:rFonts w:ascii="Times New Roman" w:eastAsia="Times New Roman" w:hAnsi="Times New Roman" w:cs="Times New Roman"/>
                <w:color w:val="auto"/>
                <w:sz w:val="22"/>
                <w:szCs w:val="22"/>
                <w:lang w:val="en-GB"/>
                <w14:ligatures w14:val="none"/>
              </w:rPr>
            </w:pPr>
          </w:p>
          <w:p w14:paraId="10D37449" w14:textId="06B0CCFE" w:rsidR="00D014CE" w:rsidRDefault="009A7FD8" w:rsidP="00E76011">
            <w:pPr>
              <w:widowControl w:val="0"/>
              <w:autoSpaceDE w:val="0"/>
              <w:autoSpaceDN w:val="0"/>
              <w:spacing w:after="0" w:line="240" w:lineRule="auto"/>
              <w:jc w:val="both"/>
              <w:outlineLvl w:val="0"/>
              <w:rPr>
                <w:rFonts w:ascii="Times New Roman" w:eastAsia="Times New Roman" w:hAnsi="Times New Roman" w:cs="Times New Roman"/>
                <w:color w:val="auto"/>
                <w:sz w:val="22"/>
                <w:szCs w:val="22"/>
                <w:lang w:val="en-GB"/>
                <w14:ligatures w14:val="none"/>
              </w:rPr>
            </w:pPr>
            <w:r>
              <w:rPr>
                <w:rFonts w:ascii="Times New Roman" w:eastAsia="Times New Roman" w:hAnsi="Times New Roman" w:cs="Times New Roman"/>
                <w:color w:val="auto"/>
                <w:sz w:val="22"/>
                <w:szCs w:val="22"/>
                <w:lang w:val="en-GB"/>
                <w14:ligatures w14:val="none"/>
              </w:rPr>
              <w:t>May 2026- June 2026</w:t>
            </w:r>
          </w:p>
        </w:tc>
        <w:tc>
          <w:tcPr>
            <w:tcW w:w="7655" w:type="dxa"/>
          </w:tcPr>
          <w:p w14:paraId="63950161" w14:textId="320D4096" w:rsidR="00AF17A4" w:rsidRDefault="009A7FD8" w:rsidP="00AF17A4">
            <w:pPr>
              <w:pStyle w:val="Paragraphedeliste"/>
              <w:widowControl w:val="0"/>
              <w:numPr>
                <w:ilvl w:val="0"/>
                <w:numId w:val="6"/>
              </w:numPr>
              <w:autoSpaceDE w:val="0"/>
              <w:autoSpaceDN w:val="0"/>
              <w:spacing w:after="0" w:line="240" w:lineRule="auto"/>
              <w:jc w:val="both"/>
              <w:outlineLvl w:val="0"/>
              <w:rPr>
                <w:rFonts w:ascii="Times New Roman" w:eastAsia="Times New Roman" w:hAnsi="Times New Roman" w:cs="Times New Roman"/>
                <w:color w:val="auto"/>
                <w:sz w:val="22"/>
                <w:szCs w:val="22"/>
                <w:lang w:val="en-IE"/>
                <w14:ligatures w14:val="none"/>
              </w:rPr>
            </w:pPr>
            <w:r>
              <w:rPr>
                <w:rFonts w:ascii="Times New Roman" w:eastAsia="Times New Roman" w:hAnsi="Times New Roman" w:cs="Times New Roman"/>
                <w:color w:val="auto"/>
                <w:sz w:val="22"/>
                <w:szCs w:val="22"/>
                <w:lang w:val="en-IE"/>
                <w14:ligatures w14:val="none"/>
              </w:rPr>
              <w:t xml:space="preserve">Online preparatory meetings to better understand the </w:t>
            </w:r>
            <w:proofErr w:type="gramStart"/>
            <w:r>
              <w:rPr>
                <w:rFonts w:ascii="Times New Roman" w:eastAsia="Times New Roman" w:hAnsi="Times New Roman" w:cs="Times New Roman"/>
                <w:color w:val="auto"/>
                <w:sz w:val="22"/>
                <w:szCs w:val="22"/>
                <w:lang w:val="en-IE"/>
                <w14:ligatures w14:val="none"/>
              </w:rPr>
              <w:t>project  objectives</w:t>
            </w:r>
            <w:proofErr w:type="gramEnd"/>
            <w:r>
              <w:rPr>
                <w:rFonts w:ascii="Times New Roman" w:eastAsia="Times New Roman" w:hAnsi="Times New Roman" w:cs="Times New Roman"/>
                <w:color w:val="auto"/>
                <w:sz w:val="22"/>
                <w:szCs w:val="22"/>
                <w:lang w:val="en-IE"/>
                <w14:ligatures w14:val="none"/>
              </w:rPr>
              <w:t xml:space="preserve"> and expectations of the peer exchanges and publications</w:t>
            </w:r>
          </w:p>
          <w:p w14:paraId="0F3D31AC" w14:textId="46847BFA" w:rsidR="00AF17A4" w:rsidRPr="00AF17A4" w:rsidRDefault="00F94FBD" w:rsidP="00AF17A4">
            <w:pPr>
              <w:pStyle w:val="Paragraphedeliste"/>
              <w:widowControl w:val="0"/>
              <w:autoSpaceDE w:val="0"/>
              <w:autoSpaceDN w:val="0"/>
              <w:spacing w:after="0" w:line="240" w:lineRule="auto"/>
              <w:ind w:left="360"/>
              <w:jc w:val="both"/>
              <w:outlineLvl w:val="0"/>
              <w:rPr>
                <w:rFonts w:ascii="Times New Roman" w:eastAsia="Times New Roman" w:hAnsi="Times New Roman" w:cs="Times New Roman"/>
                <w:color w:val="auto"/>
                <w:sz w:val="22"/>
                <w:szCs w:val="22"/>
                <w:lang w:val="en-IE"/>
                <w14:ligatures w14:val="none"/>
              </w:rPr>
            </w:pPr>
            <w:r w:rsidRPr="00AF17A4">
              <w:rPr>
                <w:rFonts w:ascii="Times New Roman" w:eastAsia="Times New Roman" w:hAnsi="Times New Roman" w:cs="Times New Roman"/>
                <w:color w:val="auto"/>
                <w:sz w:val="22"/>
                <w:szCs w:val="22"/>
                <w:lang w:val="en-IE"/>
                <w14:ligatures w14:val="none"/>
              </w:rPr>
              <w:t xml:space="preserve"> </w:t>
            </w:r>
          </w:p>
          <w:p w14:paraId="1FF87691" w14:textId="77777777" w:rsidR="00AF17A4" w:rsidRPr="009A7FD8" w:rsidRDefault="00AF17A4" w:rsidP="009A7FD8">
            <w:pPr>
              <w:rPr>
                <w:rFonts w:ascii="Times New Roman" w:eastAsia="Times New Roman" w:hAnsi="Times New Roman" w:cs="Times New Roman"/>
                <w:color w:val="auto"/>
                <w:sz w:val="22"/>
                <w:szCs w:val="22"/>
                <w:lang w:val="en-IE"/>
                <w14:ligatures w14:val="none"/>
              </w:rPr>
            </w:pPr>
          </w:p>
          <w:p w14:paraId="1B20C42E" w14:textId="3C42D04F" w:rsidR="00AF17A4" w:rsidRPr="00AF17A4" w:rsidRDefault="00AF17A4" w:rsidP="00AF17A4">
            <w:pPr>
              <w:pStyle w:val="Paragraphedeliste"/>
              <w:widowControl w:val="0"/>
              <w:numPr>
                <w:ilvl w:val="0"/>
                <w:numId w:val="6"/>
              </w:numPr>
              <w:autoSpaceDE w:val="0"/>
              <w:autoSpaceDN w:val="0"/>
              <w:spacing w:after="0" w:line="240" w:lineRule="auto"/>
              <w:jc w:val="both"/>
              <w:outlineLvl w:val="0"/>
              <w:rPr>
                <w:rFonts w:ascii="Times New Roman" w:eastAsia="Times New Roman" w:hAnsi="Times New Roman" w:cs="Times New Roman"/>
                <w:color w:val="auto"/>
                <w:sz w:val="22"/>
                <w:szCs w:val="22"/>
                <w:lang w:val="en-IE"/>
                <w14:ligatures w14:val="none"/>
              </w:rPr>
            </w:pPr>
            <w:r>
              <w:rPr>
                <w:rFonts w:ascii="Times New Roman" w:eastAsia="Times New Roman" w:hAnsi="Times New Roman" w:cs="Times New Roman"/>
                <w:color w:val="auto"/>
                <w:sz w:val="22"/>
                <w:szCs w:val="22"/>
                <w:lang w:val="en-IE"/>
                <w14:ligatures w14:val="none"/>
              </w:rPr>
              <w:t>Drafting the report</w:t>
            </w:r>
          </w:p>
        </w:tc>
      </w:tr>
      <w:tr w:rsidR="00E76011" w:rsidRPr="00E76011" w14:paraId="2CE91A0D" w14:textId="77777777" w:rsidTr="0043399D">
        <w:trPr>
          <w:trHeight w:val="7476"/>
        </w:trPr>
        <w:tc>
          <w:tcPr>
            <w:tcW w:w="1701" w:type="dxa"/>
          </w:tcPr>
          <w:p w14:paraId="52A98D7B" w14:textId="5FCB8324" w:rsidR="00E76011" w:rsidRPr="00E76011" w:rsidRDefault="007666DB" w:rsidP="00E76011">
            <w:pPr>
              <w:widowControl w:val="0"/>
              <w:autoSpaceDE w:val="0"/>
              <w:autoSpaceDN w:val="0"/>
              <w:spacing w:after="0" w:line="240" w:lineRule="auto"/>
              <w:jc w:val="both"/>
              <w:outlineLvl w:val="0"/>
              <w:rPr>
                <w:rFonts w:ascii="Times New Roman" w:eastAsia="Times New Roman" w:hAnsi="Times New Roman" w:cs="Times New Roman"/>
                <w:color w:val="auto"/>
                <w:sz w:val="22"/>
                <w:szCs w:val="22"/>
                <w:lang w:val="en-GB"/>
                <w14:ligatures w14:val="none"/>
              </w:rPr>
            </w:pPr>
            <w:r>
              <w:rPr>
                <w:rFonts w:ascii="Times New Roman" w:eastAsia="Times New Roman" w:hAnsi="Times New Roman" w:cs="Times New Roman"/>
                <w:color w:val="auto"/>
                <w:sz w:val="22"/>
                <w:szCs w:val="22"/>
                <w:lang w:val="en-GB"/>
                <w14:ligatures w14:val="none"/>
              </w:rPr>
              <w:t>C</w:t>
            </w:r>
            <w:r w:rsidR="00555ED2">
              <w:rPr>
                <w:rFonts w:ascii="Times New Roman" w:eastAsia="Times New Roman" w:hAnsi="Times New Roman" w:cs="Times New Roman"/>
                <w:color w:val="auto"/>
                <w:sz w:val="22"/>
                <w:szCs w:val="22"/>
                <w:lang w:val="en-GB"/>
                <w14:ligatures w14:val="none"/>
              </w:rPr>
              <w:t xml:space="preserve">ontribution to </w:t>
            </w:r>
            <w:r w:rsidR="009A7FD8">
              <w:rPr>
                <w:rFonts w:ascii="Times New Roman" w:eastAsia="Times New Roman" w:hAnsi="Times New Roman" w:cs="Times New Roman"/>
                <w:color w:val="auto"/>
                <w:sz w:val="22"/>
                <w:szCs w:val="22"/>
                <w:lang w:val="en-GB"/>
                <w14:ligatures w14:val="none"/>
              </w:rPr>
              <w:t>peer-exchange programme concept notes and agenda</w:t>
            </w:r>
          </w:p>
          <w:p w14:paraId="4DA59BBF" w14:textId="77777777" w:rsidR="00E76011" w:rsidRPr="00E76011" w:rsidRDefault="00E76011" w:rsidP="00E76011">
            <w:pPr>
              <w:widowControl w:val="0"/>
              <w:autoSpaceDE w:val="0"/>
              <w:autoSpaceDN w:val="0"/>
              <w:spacing w:after="0" w:line="240" w:lineRule="auto"/>
              <w:jc w:val="both"/>
              <w:outlineLvl w:val="0"/>
              <w:rPr>
                <w:rFonts w:ascii="Times New Roman" w:eastAsia="Times New Roman" w:hAnsi="Times New Roman" w:cs="Times New Roman"/>
                <w:color w:val="auto"/>
                <w:sz w:val="22"/>
                <w:szCs w:val="22"/>
                <w:lang w:val="en-GB"/>
                <w14:ligatures w14:val="none"/>
              </w:rPr>
            </w:pPr>
          </w:p>
          <w:p w14:paraId="6554D616" w14:textId="6353705D" w:rsidR="00E76011" w:rsidRPr="00E76011" w:rsidRDefault="009A7FD8" w:rsidP="00E76011">
            <w:pPr>
              <w:widowControl w:val="0"/>
              <w:autoSpaceDE w:val="0"/>
              <w:autoSpaceDN w:val="0"/>
              <w:spacing w:after="0" w:line="240" w:lineRule="auto"/>
              <w:jc w:val="both"/>
              <w:outlineLvl w:val="0"/>
              <w:rPr>
                <w:rFonts w:ascii="Times New Roman" w:eastAsia="Times New Roman" w:hAnsi="Times New Roman" w:cs="Times New Roman"/>
                <w:color w:val="auto"/>
                <w:sz w:val="22"/>
                <w:szCs w:val="22"/>
                <w:lang w:val="en-GB"/>
                <w14:ligatures w14:val="none"/>
              </w:rPr>
            </w:pPr>
            <w:r>
              <w:rPr>
                <w:rFonts w:ascii="Times New Roman" w:eastAsia="Times New Roman" w:hAnsi="Times New Roman" w:cs="Times New Roman"/>
                <w:color w:val="auto"/>
                <w:sz w:val="22"/>
                <w:szCs w:val="22"/>
                <w:lang w:val="en-GB"/>
                <w14:ligatures w14:val="none"/>
              </w:rPr>
              <w:t xml:space="preserve">May </w:t>
            </w:r>
            <w:r w:rsidR="00E76011" w:rsidRPr="00E76011">
              <w:rPr>
                <w:rFonts w:ascii="Times New Roman" w:eastAsia="Times New Roman" w:hAnsi="Times New Roman" w:cs="Times New Roman"/>
                <w:color w:val="auto"/>
                <w:sz w:val="22"/>
                <w:szCs w:val="22"/>
                <w:lang w:val="en-GB"/>
                <w14:ligatures w14:val="none"/>
              </w:rPr>
              <w:t>202</w:t>
            </w:r>
            <w:r>
              <w:rPr>
                <w:rFonts w:ascii="Times New Roman" w:eastAsia="Times New Roman" w:hAnsi="Times New Roman" w:cs="Times New Roman"/>
                <w:color w:val="auto"/>
                <w:sz w:val="22"/>
                <w:szCs w:val="22"/>
                <w:lang w:val="en-GB"/>
                <w14:ligatures w14:val="none"/>
              </w:rPr>
              <w:t>6</w:t>
            </w:r>
            <w:r w:rsidR="00BF75C8">
              <w:rPr>
                <w:rFonts w:ascii="Times New Roman" w:eastAsia="Times New Roman" w:hAnsi="Times New Roman" w:cs="Times New Roman"/>
                <w:color w:val="auto"/>
                <w:sz w:val="22"/>
                <w:szCs w:val="22"/>
                <w:lang w:val="en-GB"/>
                <w14:ligatures w14:val="none"/>
              </w:rPr>
              <w:t xml:space="preserve">- </w:t>
            </w:r>
            <w:r w:rsidR="00F57652">
              <w:rPr>
                <w:rFonts w:ascii="Times New Roman" w:eastAsia="Times New Roman" w:hAnsi="Times New Roman" w:cs="Times New Roman"/>
                <w:color w:val="auto"/>
                <w:sz w:val="22"/>
                <w:szCs w:val="22"/>
                <w:lang w:val="en-GB"/>
                <w14:ligatures w14:val="none"/>
              </w:rPr>
              <w:t>February 202</w:t>
            </w:r>
            <w:r>
              <w:rPr>
                <w:rFonts w:ascii="Times New Roman" w:eastAsia="Times New Roman" w:hAnsi="Times New Roman" w:cs="Times New Roman"/>
                <w:color w:val="auto"/>
                <w:sz w:val="22"/>
                <w:szCs w:val="22"/>
                <w:lang w:val="en-GB"/>
                <w14:ligatures w14:val="none"/>
              </w:rPr>
              <w:t>8</w:t>
            </w:r>
          </w:p>
        </w:tc>
        <w:tc>
          <w:tcPr>
            <w:tcW w:w="7655" w:type="dxa"/>
          </w:tcPr>
          <w:p w14:paraId="446A0891" w14:textId="77777777" w:rsidR="00AF17A4" w:rsidRDefault="00AF17A4" w:rsidP="00E76011">
            <w:pPr>
              <w:widowControl w:val="0"/>
              <w:autoSpaceDE w:val="0"/>
              <w:autoSpaceDN w:val="0"/>
              <w:spacing w:after="0" w:line="240" w:lineRule="auto"/>
              <w:jc w:val="both"/>
              <w:outlineLvl w:val="0"/>
              <w:rPr>
                <w:rFonts w:ascii="Times New Roman" w:eastAsia="Times New Roman" w:hAnsi="Times New Roman" w:cs="Times New Roman"/>
                <w:color w:val="auto"/>
                <w:sz w:val="22"/>
                <w:szCs w:val="22"/>
                <w:lang w:val="en-IE"/>
                <w14:ligatures w14:val="none"/>
              </w:rPr>
            </w:pPr>
          </w:p>
          <w:p w14:paraId="24CCA75E" w14:textId="1617D651" w:rsidR="009A7FD8" w:rsidRPr="00D938B1" w:rsidRDefault="008A5E38" w:rsidP="0043399D">
            <w:pPr>
              <w:widowControl w:val="0"/>
              <w:autoSpaceDE w:val="0"/>
              <w:autoSpaceDN w:val="0"/>
              <w:spacing w:after="0" w:line="240" w:lineRule="auto"/>
              <w:jc w:val="both"/>
              <w:outlineLvl w:val="0"/>
              <w:rPr>
                <w:rFonts w:ascii="Times New Roman" w:eastAsia="Times New Roman" w:hAnsi="Times New Roman" w:cs="Times New Roman"/>
                <w:color w:val="auto"/>
                <w:sz w:val="22"/>
                <w:szCs w:val="22"/>
                <w:lang w:val="en-IE"/>
                <w14:ligatures w14:val="none"/>
              </w:rPr>
            </w:pPr>
            <w:r>
              <w:rPr>
                <w:rFonts w:ascii="Times New Roman" w:eastAsia="Times New Roman" w:hAnsi="Times New Roman" w:cs="Times New Roman"/>
                <w:color w:val="auto"/>
                <w:sz w:val="22"/>
                <w:szCs w:val="22"/>
                <w:lang w:val="en-IE"/>
                <w14:ligatures w14:val="none"/>
              </w:rPr>
              <w:t xml:space="preserve">The Expert will collaborate with Expertise France project </w:t>
            </w:r>
            <w:proofErr w:type="gramStart"/>
            <w:r>
              <w:rPr>
                <w:rFonts w:ascii="Times New Roman" w:eastAsia="Times New Roman" w:hAnsi="Times New Roman" w:cs="Times New Roman"/>
                <w:color w:val="auto"/>
                <w:sz w:val="22"/>
                <w:szCs w:val="22"/>
                <w:lang w:val="en-IE"/>
                <w14:ligatures w14:val="none"/>
              </w:rPr>
              <w:t xml:space="preserve">team </w:t>
            </w:r>
            <w:r w:rsidR="009A7FD8">
              <w:rPr>
                <w:rFonts w:ascii="Times New Roman" w:eastAsia="Times New Roman" w:hAnsi="Times New Roman" w:cs="Times New Roman"/>
                <w:color w:val="auto"/>
                <w:sz w:val="22"/>
                <w:szCs w:val="22"/>
                <w:lang w:val="en-IE"/>
                <w14:ligatures w14:val="none"/>
              </w:rPr>
              <w:t xml:space="preserve"> and</w:t>
            </w:r>
            <w:proofErr w:type="gramEnd"/>
            <w:r w:rsidR="009A7FD8">
              <w:rPr>
                <w:rFonts w:ascii="Times New Roman" w:eastAsia="Times New Roman" w:hAnsi="Times New Roman" w:cs="Times New Roman"/>
                <w:color w:val="auto"/>
                <w:sz w:val="22"/>
                <w:szCs w:val="22"/>
                <w:lang w:val="en-IE"/>
                <w14:ligatures w14:val="none"/>
              </w:rPr>
              <w:t xml:space="preserve"> the Peer Exchange Lead Expert </w:t>
            </w:r>
            <w:r>
              <w:rPr>
                <w:rFonts w:ascii="Times New Roman" w:eastAsia="Times New Roman" w:hAnsi="Times New Roman" w:cs="Times New Roman"/>
                <w:color w:val="auto"/>
                <w:sz w:val="22"/>
                <w:szCs w:val="22"/>
                <w:lang w:val="en-IE"/>
                <w14:ligatures w14:val="none"/>
              </w:rPr>
              <w:t>in the development of the concept note</w:t>
            </w:r>
            <w:r w:rsidR="009A7FD8">
              <w:rPr>
                <w:rFonts w:ascii="Times New Roman" w:eastAsia="Times New Roman" w:hAnsi="Times New Roman" w:cs="Times New Roman"/>
                <w:color w:val="auto"/>
                <w:sz w:val="22"/>
                <w:szCs w:val="22"/>
                <w:lang w:val="en-IE"/>
                <w14:ligatures w14:val="none"/>
              </w:rPr>
              <w:t>s and agenda for each exchange</w:t>
            </w:r>
            <w:r>
              <w:rPr>
                <w:rFonts w:ascii="Times New Roman" w:eastAsia="Times New Roman" w:hAnsi="Times New Roman" w:cs="Times New Roman"/>
                <w:color w:val="auto"/>
                <w:sz w:val="22"/>
                <w:szCs w:val="22"/>
                <w:lang w:val="en-IE"/>
                <w14:ligatures w14:val="none"/>
              </w:rPr>
              <w:t>.</w:t>
            </w:r>
            <w:r w:rsidR="006A6C26">
              <w:rPr>
                <w:rFonts w:ascii="Times New Roman" w:eastAsia="Times New Roman" w:hAnsi="Times New Roman" w:cs="Times New Roman"/>
                <w:color w:val="auto"/>
                <w:sz w:val="22"/>
                <w:szCs w:val="22"/>
                <w:lang w:val="en-IE"/>
                <w14:ligatures w14:val="none"/>
              </w:rPr>
              <w:t xml:space="preserve"> </w:t>
            </w:r>
          </w:p>
          <w:p w14:paraId="72E764AF" w14:textId="77777777" w:rsidR="0043399D" w:rsidRPr="0043399D" w:rsidRDefault="0043399D" w:rsidP="0043399D">
            <w:pPr>
              <w:pStyle w:val="NormalWeb"/>
              <w:rPr>
                <w:sz w:val="22"/>
                <w:szCs w:val="22"/>
              </w:rPr>
            </w:pPr>
            <w:proofErr w:type="gramStart"/>
            <w:r>
              <w:rPr>
                <w:rFonts w:hAnsi="Symbol"/>
              </w:rPr>
              <w:t></w:t>
            </w:r>
            <w:r w:rsidRPr="0043399D">
              <w:rPr>
                <w:sz w:val="22"/>
                <w:szCs w:val="22"/>
              </w:rPr>
              <w:t xml:space="preserve">  </w:t>
            </w:r>
            <w:r w:rsidRPr="0043399D">
              <w:rPr>
                <w:rStyle w:val="lev"/>
                <w:sz w:val="22"/>
                <w:szCs w:val="22"/>
              </w:rPr>
              <w:t>Propose</w:t>
            </w:r>
            <w:proofErr w:type="gramEnd"/>
            <w:r w:rsidRPr="0043399D">
              <w:rPr>
                <w:rStyle w:val="lev"/>
                <w:sz w:val="22"/>
                <w:szCs w:val="22"/>
              </w:rPr>
              <w:t xml:space="preserve"> concrete topics and activities</w:t>
            </w:r>
            <w:r w:rsidRPr="0043399D">
              <w:rPr>
                <w:sz w:val="22"/>
                <w:szCs w:val="22"/>
              </w:rPr>
              <w:t xml:space="preserve"> to maximise participation in each peer</w:t>
            </w:r>
            <w:r w:rsidRPr="0043399D">
              <w:rPr>
                <w:sz w:val="22"/>
                <w:szCs w:val="22"/>
              </w:rPr>
              <w:noBreakHyphen/>
              <w:t>exchange.</w:t>
            </w:r>
          </w:p>
          <w:p w14:paraId="320E7666" w14:textId="62AEB3B4" w:rsidR="0043399D" w:rsidRPr="0043399D" w:rsidRDefault="0043399D" w:rsidP="0043399D">
            <w:pPr>
              <w:pStyle w:val="NormalWeb"/>
              <w:rPr>
                <w:sz w:val="22"/>
                <w:szCs w:val="22"/>
              </w:rPr>
            </w:pPr>
            <w:proofErr w:type="gramStart"/>
            <w:r w:rsidRPr="0043399D">
              <w:rPr>
                <w:rFonts w:hAnsi="Symbol"/>
                <w:sz w:val="22"/>
                <w:szCs w:val="22"/>
              </w:rPr>
              <w:t></w:t>
            </w:r>
            <w:r w:rsidRPr="0043399D">
              <w:rPr>
                <w:sz w:val="22"/>
                <w:szCs w:val="22"/>
              </w:rPr>
              <w:t xml:space="preserve">  </w:t>
            </w:r>
            <w:r w:rsidRPr="0043399D">
              <w:rPr>
                <w:rStyle w:val="lev"/>
                <w:sz w:val="22"/>
                <w:szCs w:val="22"/>
              </w:rPr>
              <w:t>Join</w:t>
            </w:r>
            <w:proofErr w:type="gramEnd"/>
            <w:r w:rsidRPr="0043399D">
              <w:rPr>
                <w:rStyle w:val="lev"/>
                <w:sz w:val="22"/>
                <w:szCs w:val="22"/>
              </w:rPr>
              <w:t xml:space="preserve"> online meetings with Member States when needed</w:t>
            </w:r>
            <w:r w:rsidRPr="0043399D">
              <w:rPr>
                <w:sz w:val="22"/>
                <w:szCs w:val="22"/>
              </w:rPr>
              <w:t xml:space="preserve"> to understand their expectations.</w:t>
            </w:r>
          </w:p>
          <w:p w14:paraId="6FE10563" w14:textId="77777777" w:rsidR="0043399D" w:rsidRPr="0043399D" w:rsidRDefault="0043399D" w:rsidP="0043399D">
            <w:pPr>
              <w:pStyle w:val="NormalWeb"/>
              <w:rPr>
                <w:sz w:val="22"/>
                <w:szCs w:val="22"/>
              </w:rPr>
            </w:pPr>
            <w:proofErr w:type="gramStart"/>
            <w:r w:rsidRPr="0043399D">
              <w:rPr>
                <w:rFonts w:hAnsi="Symbol"/>
                <w:sz w:val="22"/>
                <w:szCs w:val="22"/>
              </w:rPr>
              <w:t></w:t>
            </w:r>
            <w:r w:rsidRPr="0043399D">
              <w:rPr>
                <w:sz w:val="22"/>
                <w:szCs w:val="22"/>
              </w:rPr>
              <w:t xml:space="preserve">  </w:t>
            </w:r>
            <w:r w:rsidRPr="0043399D">
              <w:rPr>
                <w:rStyle w:val="lev"/>
                <w:sz w:val="22"/>
                <w:szCs w:val="22"/>
              </w:rPr>
              <w:t>Integrate</w:t>
            </w:r>
            <w:proofErr w:type="gramEnd"/>
            <w:r w:rsidRPr="0043399D">
              <w:rPr>
                <w:rStyle w:val="lev"/>
                <w:sz w:val="22"/>
                <w:szCs w:val="22"/>
              </w:rPr>
              <w:t xml:space="preserve"> feedback from DG ECFIN and SG REFORM</w:t>
            </w:r>
            <w:r w:rsidRPr="0043399D">
              <w:rPr>
                <w:sz w:val="22"/>
                <w:szCs w:val="22"/>
              </w:rPr>
              <w:t xml:space="preserve"> into the design and content of the exchanges.</w:t>
            </w:r>
          </w:p>
          <w:p w14:paraId="26989B1B" w14:textId="77777777" w:rsidR="0043399D" w:rsidRPr="0043399D" w:rsidRDefault="0043399D" w:rsidP="0043399D">
            <w:pPr>
              <w:pStyle w:val="NormalWeb"/>
              <w:rPr>
                <w:sz w:val="22"/>
                <w:szCs w:val="22"/>
              </w:rPr>
            </w:pPr>
            <w:proofErr w:type="gramStart"/>
            <w:r w:rsidRPr="0043399D">
              <w:rPr>
                <w:rFonts w:hAnsi="Symbol"/>
                <w:sz w:val="22"/>
                <w:szCs w:val="22"/>
              </w:rPr>
              <w:t></w:t>
            </w:r>
            <w:r w:rsidRPr="0043399D">
              <w:rPr>
                <w:sz w:val="22"/>
                <w:szCs w:val="22"/>
              </w:rPr>
              <w:t xml:space="preserve">  </w:t>
            </w:r>
            <w:r w:rsidRPr="0043399D">
              <w:rPr>
                <w:rStyle w:val="lev"/>
                <w:sz w:val="22"/>
                <w:szCs w:val="22"/>
              </w:rPr>
              <w:t>Advise</w:t>
            </w:r>
            <w:proofErr w:type="gramEnd"/>
            <w:r w:rsidRPr="0043399D">
              <w:rPr>
                <w:rStyle w:val="lev"/>
                <w:sz w:val="22"/>
                <w:szCs w:val="22"/>
              </w:rPr>
              <w:t xml:space="preserve"> on which Member States should be paired or grouped</w:t>
            </w:r>
            <w:r w:rsidRPr="0043399D">
              <w:rPr>
                <w:sz w:val="22"/>
                <w:szCs w:val="22"/>
              </w:rPr>
              <w:t>, based on their green budgeting maturity and needs.</w:t>
            </w:r>
          </w:p>
          <w:p w14:paraId="47832344" w14:textId="77777777" w:rsidR="0043399D" w:rsidRPr="0043399D" w:rsidRDefault="0043399D" w:rsidP="0043399D">
            <w:pPr>
              <w:pStyle w:val="NormalWeb"/>
              <w:rPr>
                <w:sz w:val="22"/>
                <w:szCs w:val="22"/>
              </w:rPr>
            </w:pPr>
            <w:proofErr w:type="gramStart"/>
            <w:r w:rsidRPr="0043399D">
              <w:rPr>
                <w:rFonts w:hAnsi="Symbol"/>
                <w:sz w:val="22"/>
                <w:szCs w:val="22"/>
              </w:rPr>
              <w:t></w:t>
            </w:r>
            <w:r w:rsidRPr="0043399D">
              <w:rPr>
                <w:sz w:val="22"/>
                <w:szCs w:val="22"/>
              </w:rPr>
              <w:t xml:space="preserve">  </w:t>
            </w:r>
            <w:r w:rsidRPr="0043399D">
              <w:rPr>
                <w:rStyle w:val="lev"/>
                <w:sz w:val="22"/>
                <w:szCs w:val="22"/>
              </w:rPr>
              <w:t>Propose</w:t>
            </w:r>
            <w:proofErr w:type="gramEnd"/>
            <w:r w:rsidRPr="0043399D">
              <w:rPr>
                <w:rStyle w:val="lev"/>
                <w:sz w:val="22"/>
                <w:szCs w:val="22"/>
              </w:rPr>
              <w:t xml:space="preserve"> mechanisms for ongoing collaboration</w:t>
            </w:r>
            <w:r w:rsidRPr="0043399D">
              <w:rPr>
                <w:sz w:val="22"/>
                <w:szCs w:val="22"/>
              </w:rPr>
              <w:t>, such as:</w:t>
            </w:r>
          </w:p>
          <w:p w14:paraId="0CECB3FC" w14:textId="77777777" w:rsidR="0043399D" w:rsidRPr="0043399D" w:rsidRDefault="0043399D" w:rsidP="0043399D">
            <w:pPr>
              <w:pStyle w:val="NormalWeb"/>
              <w:numPr>
                <w:ilvl w:val="0"/>
                <w:numId w:val="12"/>
              </w:numPr>
              <w:rPr>
                <w:sz w:val="22"/>
                <w:szCs w:val="22"/>
              </w:rPr>
            </w:pPr>
            <w:r w:rsidRPr="0043399D">
              <w:rPr>
                <w:sz w:val="22"/>
                <w:szCs w:val="22"/>
              </w:rPr>
              <w:t>periodic virtual follow</w:t>
            </w:r>
            <w:r w:rsidRPr="0043399D">
              <w:rPr>
                <w:sz w:val="22"/>
                <w:szCs w:val="22"/>
              </w:rPr>
              <w:noBreakHyphen/>
              <w:t>up meetings,</w:t>
            </w:r>
          </w:p>
          <w:p w14:paraId="6FC17A93" w14:textId="77777777" w:rsidR="0043399D" w:rsidRPr="0043399D" w:rsidRDefault="0043399D" w:rsidP="0043399D">
            <w:pPr>
              <w:pStyle w:val="NormalWeb"/>
              <w:numPr>
                <w:ilvl w:val="0"/>
                <w:numId w:val="12"/>
              </w:numPr>
              <w:rPr>
                <w:sz w:val="22"/>
                <w:szCs w:val="22"/>
              </w:rPr>
            </w:pPr>
            <w:r w:rsidRPr="0043399D">
              <w:rPr>
                <w:sz w:val="22"/>
                <w:szCs w:val="22"/>
              </w:rPr>
              <w:t>thematic peer</w:t>
            </w:r>
            <w:r w:rsidRPr="0043399D">
              <w:rPr>
                <w:sz w:val="22"/>
                <w:szCs w:val="22"/>
              </w:rPr>
              <w:noBreakHyphen/>
              <w:t>learning webinars,</w:t>
            </w:r>
          </w:p>
          <w:p w14:paraId="6C8843CC" w14:textId="77777777" w:rsidR="0043399D" w:rsidRPr="0043399D" w:rsidRDefault="0043399D" w:rsidP="0043399D">
            <w:pPr>
              <w:pStyle w:val="NormalWeb"/>
              <w:numPr>
                <w:ilvl w:val="0"/>
                <w:numId w:val="12"/>
              </w:numPr>
              <w:rPr>
                <w:sz w:val="22"/>
                <w:szCs w:val="22"/>
              </w:rPr>
            </w:pPr>
            <w:r w:rsidRPr="0043399D">
              <w:rPr>
                <w:sz w:val="22"/>
                <w:szCs w:val="22"/>
              </w:rPr>
              <w:t>shared resource folders,</w:t>
            </w:r>
          </w:p>
          <w:p w14:paraId="429DE69D" w14:textId="77777777" w:rsidR="0043399D" w:rsidRPr="0043399D" w:rsidRDefault="0043399D" w:rsidP="0043399D">
            <w:pPr>
              <w:pStyle w:val="NormalWeb"/>
              <w:numPr>
                <w:ilvl w:val="0"/>
                <w:numId w:val="12"/>
              </w:numPr>
              <w:rPr>
                <w:sz w:val="22"/>
                <w:szCs w:val="22"/>
              </w:rPr>
            </w:pPr>
            <w:r w:rsidRPr="0043399D">
              <w:rPr>
                <w:sz w:val="22"/>
                <w:szCs w:val="22"/>
              </w:rPr>
              <w:t>a practitioners’ network.</w:t>
            </w:r>
          </w:p>
          <w:p w14:paraId="3EA4F877" w14:textId="77777777" w:rsidR="0043399D" w:rsidRPr="0043399D" w:rsidRDefault="0043399D" w:rsidP="0043399D">
            <w:pPr>
              <w:pStyle w:val="NormalWeb"/>
              <w:rPr>
                <w:sz w:val="22"/>
                <w:szCs w:val="22"/>
              </w:rPr>
            </w:pPr>
            <w:proofErr w:type="gramStart"/>
            <w:r w:rsidRPr="0043399D">
              <w:rPr>
                <w:rFonts w:hAnsi="Symbol"/>
                <w:sz w:val="22"/>
                <w:szCs w:val="22"/>
              </w:rPr>
              <w:t></w:t>
            </w:r>
            <w:r w:rsidRPr="0043399D">
              <w:rPr>
                <w:sz w:val="22"/>
                <w:szCs w:val="22"/>
              </w:rPr>
              <w:t xml:space="preserve">  </w:t>
            </w:r>
            <w:r w:rsidRPr="0043399D">
              <w:rPr>
                <w:rStyle w:val="lev"/>
                <w:sz w:val="22"/>
                <w:szCs w:val="22"/>
              </w:rPr>
              <w:t>Facilitate</w:t>
            </w:r>
            <w:proofErr w:type="gramEnd"/>
            <w:r w:rsidRPr="0043399D">
              <w:rPr>
                <w:rStyle w:val="lev"/>
                <w:sz w:val="22"/>
                <w:szCs w:val="22"/>
              </w:rPr>
              <w:t xml:space="preserve"> up to 10 peer</w:t>
            </w:r>
            <w:r w:rsidRPr="0043399D">
              <w:rPr>
                <w:rStyle w:val="lev"/>
                <w:sz w:val="22"/>
                <w:szCs w:val="22"/>
              </w:rPr>
              <w:noBreakHyphen/>
              <w:t>exchanges</w:t>
            </w:r>
            <w:r w:rsidRPr="0043399D">
              <w:rPr>
                <w:sz w:val="22"/>
                <w:szCs w:val="22"/>
              </w:rPr>
              <w:t xml:space="preserve"> (online and onsite).</w:t>
            </w:r>
          </w:p>
          <w:p w14:paraId="6BDD894C" w14:textId="1B1BD71B" w:rsidR="00E76011" w:rsidRPr="0043399D" w:rsidRDefault="0043399D" w:rsidP="0043399D">
            <w:pPr>
              <w:pStyle w:val="NormalWeb"/>
              <w:rPr>
                <w:sz w:val="22"/>
                <w:szCs w:val="22"/>
              </w:rPr>
            </w:pPr>
            <w:r w:rsidRPr="0043399D">
              <w:rPr>
                <w:rFonts w:hAnsi="Symbol"/>
                <w:sz w:val="22"/>
                <w:szCs w:val="22"/>
              </w:rPr>
              <w:t></w:t>
            </w:r>
            <w:r w:rsidRPr="0043399D">
              <w:rPr>
                <w:sz w:val="22"/>
                <w:szCs w:val="22"/>
              </w:rPr>
              <w:t xml:space="preserve">  </w:t>
            </w:r>
            <w:r w:rsidRPr="0043399D">
              <w:rPr>
                <w:rStyle w:val="lev"/>
                <w:sz w:val="22"/>
                <w:szCs w:val="22"/>
              </w:rPr>
              <w:t>Draft a short recommendations report</w:t>
            </w:r>
          </w:p>
        </w:tc>
      </w:tr>
      <w:tr w:rsidR="00EE0849" w:rsidRPr="00E76011" w14:paraId="09518665" w14:textId="77777777" w:rsidTr="000260F0">
        <w:trPr>
          <w:trHeight w:val="517"/>
        </w:trPr>
        <w:tc>
          <w:tcPr>
            <w:tcW w:w="1701" w:type="dxa"/>
          </w:tcPr>
          <w:p w14:paraId="45C5865E" w14:textId="63417712" w:rsidR="00EE0849" w:rsidRDefault="009A7FD8" w:rsidP="00E76011">
            <w:pPr>
              <w:widowControl w:val="0"/>
              <w:autoSpaceDE w:val="0"/>
              <w:autoSpaceDN w:val="0"/>
              <w:spacing w:after="0" w:line="240" w:lineRule="auto"/>
              <w:jc w:val="both"/>
              <w:outlineLvl w:val="0"/>
              <w:rPr>
                <w:rFonts w:ascii="Times New Roman" w:eastAsia="Times New Roman" w:hAnsi="Times New Roman" w:cs="Times New Roman"/>
                <w:color w:val="auto"/>
                <w:sz w:val="22"/>
                <w:szCs w:val="22"/>
                <w:lang w:val="en-GB"/>
                <w14:ligatures w14:val="none"/>
              </w:rPr>
            </w:pPr>
            <w:r>
              <w:rPr>
                <w:rFonts w:ascii="Times New Roman" w:eastAsia="Times New Roman" w:hAnsi="Times New Roman" w:cs="Times New Roman"/>
                <w:color w:val="auto"/>
                <w:sz w:val="22"/>
                <w:szCs w:val="22"/>
                <w:lang w:val="en-GB"/>
                <w14:ligatures w14:val="none"/>
              </w:rPr>
              <w:t xml:space="preserve">Horizontal publications </w:t>
            </w:r>
            <w:r w:rsidR="00C6273D">
              <w:rPr>
                <w:rFonts w:ascii="Times New Roman" w:eastAsia="Times New Roman" w:hAnsi="Times New Roman" w:cs="Times New Roman"/>
                <w:color w:val="auto"/>
                <w:sz w:val="22"/>
                <w:szCs w:val="22"/>
                <w:lang w:val="en-GB"/>
                <w14:ligatures w14:val="none"/>
              </w:rPr>
              <w:t>(between</w:t>
            </w:r>
            <w:r w:rsidR="00E86C52">
              <w:rPr>
                <w:rFonts w:ascii="Times New Roman" w:eastAsia="Times New Roman" w:hAnsi="Times New Roman" w:cs="Times New Roman"/>
                <w:color w:val="auto"/>
                <w:sz w:val="22"/>
                <w:szCs w:val="22"/>
                <w:lang w:val="en-GB"/>
                <w14:ligatures w14:val="none"/>
              </w:rPr>
              <w:t xml:space="preserve"> </w:t>
            </w:r>
            <w:r>
              <w:rPr>
                <w:rFonts w:ascii="Times New Roman" w:eastAsia="Times New Roman" w:hAnsi="Times New Roman" w:cs="Times New Roman"/>
                <w:color w:val="auto"/>
                <w:sz w:val="22"/>
                <w:szCs w:val="22"/>
                <w:lang w:val="en-GB"/>
                <w14:ligatures w14:val="none"/>
              </w:rPr>
              <w:t>September 2026</w:t>
            </w:r>
            <w:r w:rsidR="00E86C52">
              <w:rPr>
                <w:rFonts w:ascii="Times New Roman" w:eastAsia="Times New Roman" w:hAnsi="Times New Roman" w:cs="Times New Roman"/>
                <w:color w:val="auto"/>
                <w:sz w:val="22"/>
                <w:szCs w:val="22"/>
                <w:lang w:val="en-GB"/>
                <w14:ligatures w14:val="none"/>
              </w:rPr>
              <w:t xml:space="preserve"> and </w:t>
            </w:r>
            <w:r>
              <w:rPr>
                <w:rFonts w:ascii="Times New Roman" w:eastAsia="Times New Roman" w:hAnsi="Times New Roman" w:cs="Times New Roman"/>
                <w:color w:val="auto"/>
                <w:sz w:val="22"/>
                <w:szCs w:val="22"/>
                <w:lang w:val="en-GB"/>
                <w14:ligatures w14:val="none"/>
              </w:rPr>
              <w:t xml:space="preserve">February </w:t>
            </w:r>
            <w:r w:rsidR="0080638C">
              <w:rPr>
                <w:rFonts w:ascii="Times New Roman" w:eastAsia="Times New Roman" w:hAnsi="Times New Roman" w:cs="Times New Roman"/>
                <w:color w:val="auto"/>
                <w:sz w:val="22"/>
                <w:szCs w:val="22"/>
                <w:lang w:val="en-GB"/>
                <w14:ligatures w14:val="none"/>
              </w:rPr>
              <w:t>202</w:t>
            </w:r>
            <w:r>
              <w:rPr>
                <w:rFonts w:ascii="Times New Roman" w:eastAsia="Times New Roman" w:hAnsi="Times New Roman" w:cs="Times New Roman"/>
                <w:color w:val="auto"/>
                <w:sz w:val="22"/>
                <w:szCs w:val="22"/>
                <w:lang w:val="en-GB"/>
                <w14:ligatures w14:val="none"/>
              </w:rPr>
              <w:t>8</w:t>
            </w:r>
            <w:r w:rsidR="0080638C">
              <w:rPr>
                <w:rFonts w:ascii="Times New Roman" w:eastAsia="Times New Roman" w:hAnsi="Times New Roman" w:cs="Times New Roman"/>
                <w:color w:val="auto"/>
                <w:sz w:val="22"/>
                <w:szCs w:val="22"/>
                <w:lang w:val="en-GB"/>
                <w14:ligatures w14:val="none"/>
              </w:rPr>
              <w:t>)</w:t>
            </w:r>
            <w:r w:rsidR="00E86C52">
              <w:rPr>
                <w:rFonts w:ascii="Times New Roman" w:eastAsia="Times New Roman" w:hAnsi="Times New Roman" w:cs="Times New Roman"/>
                <w:color w:val="auto"/>
                <w:sz w:val="22"/>
                <w:szCs w:val="22"/>
                <w:lang w:val="en-GB"/>
                <w14:ligatures w14:val="none"/>
              </w:rPr>
              <w:t xml:space="preserve"> </w:t>
            </w:r>
          </w:p>
        </w:tc>
        <w:tc>
          <w:tcPr>
            <w:tcW w:w="7655" w:type="dxa"/>
          </w:tcPr>
          <w:p w14:paraId="7017BFC0" w14:textId="339D7DA9" w:rsidR="00EE0849" w:rsidRDefault="009A7FD8" w:rsidP="009A7FD8">
            <w:pPr>
              <w:pStyle w:val="Paragraphedeliste"/>
              <w:widowControl w:val="0"/>
              <w:numPr>
                <w:ilvl w:val="0"/>
                <w:numId w:val="5"/>
              </w:numPr>
              <w:autoSpaceDE w:val="0"/>
              <w:autoSpaceDN w:val="0"/>
              <w:spacing w:after="0" w:line="240" w:lineRule="auto"/>
              <w:jc w:val="both"/>
              <w:outlineLvl w:val="0"/>
              <w:rPr>
                <w:rFonts w:ascii="Times New Roman" w:eastAsia="Times New Roman" w:hAnsi="Times New Roman" w:cs="Times New Roman"/>
                <w:color w:val="auto"/>
                <w:sz w:val="22"/>
                <w:szCs w:val="22"/>
                <w:lang w:val="en-IE"/>
                <w14:ligatures w14:val="none"/>
              </w:rPr>
            </w:pPr>
            <w:r>
              <w:rPr>
                <w:rFonts w:ascii="Times New Roman" w:eastAsia="Times New Roman" w:hAnsi="Times New Roman" w:cs="Times New Roman"/>
                <w:color w:val="auto"/>
                <w:sz w:val="22"/>
                <w:szCs w:val="22"/>
                <w:lang w:val="en-IE"/>
                <w14:ligatures w14:val="none"/>
              </w:rPr>
              <w:t xml:space="preserve">Liaise with the Technical Coordinator and local experts to define the content and objective of each horizontal or capitalisation publication </w:t>
            </w:r>
          </w:p>
          <w:p w14:paraId="6794AC81" w14:textId="48082332" w:rsidR="0043399D" w:rsidRPr="0043399D" w:rsidRDefault="0043399D" w:rsidP="0043399D">
            <w:pPr>
              <w:pStyle w:val="Paragraphedeliste"/>
              <w:numPr>
                <w:ilvl w:val="0"/>
                <w:numId w:val="5"/>
              </w:numPr>
              <w:rPr>
                <w:rFonts w:ascii="Times New Roman" w:eastAsia="Times New Roman" w:hAnsi="Times New Roman" w:cs="Times New Roman"/>
                <w:color w:val="auto"/>
                <w:sz w:val="22"/>
                <w:szCs w:val="22"/>
                <w:lang w:val="en-IE"/>
                <w14:ligatures w14:val="none"/>
              </w:rPr>
            </w:pPr>
            <w:r w:rsidRPr="0043399D">
              <w:rPr>
                <w:rFonts w:ascii="Times New Roman" w:eastAsia="Times New Roman" w:hAnsi="Times New Roman" w:cs="Times New Roman"/>
                <w:color w:val="auto"/>
                <w:sz w:val="22"/>
                <w:szCs w:val="22"/>
                <w:lang w:val="en-IE"/>
                <w14:ligatures w14:val="none"/>
              </w:rPr>
              <w:t>Provide regular briefings on emerging trends, shared bottlenecks, and opportunities for replication or adaptation across Member States.</w:t>
            </w:r>
          </w:p>
          <w:p w14:paraId="45C09CF0" w14:textId="3A8C7C9D" w:rsidR="009A7FD8" w:rsidRPr="000E7EFD" w:rsidRDefault="009A7FD8" w:rsidP="009A7FD8">
            <w:pPr>
              <w:pStyle w:val="Paragraphedeliste"/>
              <w:widowControl w:val="0"/>
              <w:numPr>
                <w:ilvl w:val="0"/>
                <w:numId w:val="5"/>
              </w:numPr>
              <w:autoSpaceDE w:val="0"/>
              <w:autoSpaceDN w:val="0"/>
              <w:spacing w:after="0" w:line="240" w:lineRule="auto"/>
              <w:jc w:val="both"/>
              <w:outlineLvl w:val="0"/>
              <w:rPr>
                <w:rFonts w:ascii="Times New Roman" w:eastAsia="Times New Roman" w:hAnsi="Times New Roman" w:cs="Times New Roman"/>
                <w:color w:val="auto"/>
                <w:sz w:val="22"/>
                <w:szCs w:val="22"/>
                <w:lang w:val="en-IE"/>
                <w14:ligatures w14:val="none"/>
              </w:rPr>
            </w:pPr>
            <w:r>
              <w:rPr>
                <w:rFonts w:ascii="Times New Roman" w:eastAsia="Times New Roman" w:hAnsi="Times New Roman" w:cs="Times New Roman"/>
                <w:color w:val="auto"/>
                <w:sz w:val="22"/>
                <w:szCs w:val="22"/>
                <w:lang w:val="en-IE"/>
                <w14:ligatures w14:val="none"/>
              </w:rPr>
              <w:t>Draft the publications and ensure feedback from SG REFORM, local experts, beneficiaries, and EF project team</w:t>
            </w:r>
          </w:p>
        </w:tc>
      </w:tr>
      <w:tr w:rsidR="00E76011" w:rsidRPr="00E76011" w14:paraId="55FE0258" w14:textId="77777777" w:rsidTr="000260F0">
        <w:trPr>
          <w:trHeight w:val="1268"/>
        </w:trPr>
        <w:tc>
          <w:tcPr>
            <w:tcW w:w="1701" w:type="dxa"/>
          </w:tcPr>
          <w:p w14:paraId="26152940" w14:textId="77777777" w:rsidR="00E76011" w:rsidRPr="00E76011" w:rsidRDefault="00E76011" w:rsidP="00E76011">
            <w:pPr>
              <w:widowControl w:val="0"/>
              <w:autoSpaceDE w:val="0"/>
              <w:autoSpaceDN w:val="0"/>
              <w:spacing w:after="0" w:line="240" w:lineRule="auto"/>
              <w:jc w:val="both"/>
              <w:outlineLvl w:val="0"/>
              <w:rPr>
                <w:rFonts w:ascii="Times New Roman" w:eastAsia="Times New Roman" w:hAnsi="Times New Roman" w:cs="Times New Roman"/>
                <w:color w:val="auto"/>
                <w:sz w:val="22"/>
                <w:szCs w:val="22"/>
                <w:lang w:val="en-GB"/>
                <w14:ligatures w14:val="none"/>
              </w:rPr>
            </w:pPr>
            <w:r w:rsidRPr="00E76011">
              <w:rPr>
                <w:rFonts w:ascii="Times New Roman" w:eastAsia="Times New Roman" w:hAnsi="Times New Roman" w:cs="Times New Roman"/>
                <w:color w:val="auto"/>
                <w:sz w:val="22"/>
                <w:szCs w:val="22"/>
                <w:lang w:val="en-GB"/>
                <w14:ligatures w14:val="none"/>
              </w:rPr>
              <w:t>Final report and final conference</w:t>
            </w:r>
          </w:p>
          <w:p w14:paraId="14DC32BA" w14:textId="77777777" w:rsidR="00E76011" w:rsidRPr="00E76011" w:rsidRDefault="00E76011" w:rsidP="00E76011">
            <w:pPr>
              <w:widowControl w:val="0"/>
              <w:autoSpaceDE w:val="0"/>
              <w:autoSpaceDN w:val="0"/>
              <w:spacing w:after="0" w:line="240" w:lineRule="auto"/>
              <w:jc w:val="both"/>
              <w:outlineLvl w:val="0"/>
              <w:rPr>
                <w:rFonts w:ascii="Times New Roman" w:eastAsia="Times New Roman" w:hAnsi="Times New Roman" w:cs="Times New Roman"/>
                <w:color w:val="auto"/>
                <w:sz w:val="22"/>
                <w:szCs w:val="22"/>
                <w:lang w:val="en-GB"/>
                <w14:ligatures w14:val="none"/>
              </w:rPr>
            </w:pPr>
          </w:p>
          <w:p w14:paraId="5E92BF11" w14:textId="10F15D95" w:rsidR="00E76011" w:rsidRPr="00E76011" w:rsidRDefault="00E76011" w:rsidP="00E76011">
            <w:pPr>
              <w:widowControl w:val="0"/>
              <w:autoSpaceDE w:val="0"/>
              <w:autoSpaceDN w:val="0"/>
              <w:spacing w:after="0" w:line="240" w:lineRule="auto"/>
              <w:jc w:val="both"/>
              <w:outlineLvl w:val="0"/>
              <w:rPr>
                <w:rFonts w:ascii="Times New Roman" w:eastAsia="Times New Roman" w:hAnsi="Times New Roman" w:cs="Times New Roman"/>
                <w:color w:val="auto"/>
                <w:sz w:val="22"/>
                <w:szCs w:val="22"/>
                <w:lang w:val="en-GB"/>
                <w14:ligatures w14:val="none"/>
              </w:rPr>
            </w:pPr>
            <w:r w:rsidRPr="00E76011">
              <w:rPr>
                <w:rFonts w:ascii="Times New Roman" w:eastAsia="Times New Roman" w:hAnsi="Times New Roman" w:cs="Times New Roman"/>
                <w:color w:val="auto"/>
                <w:sz w:val="22"/>
                <w:szCs w:val="22"/>
                <w:lang w:val="en-GB"/>
                <w14:ligatures w14:val="none"/>
              </w:rPr>
              <w:t>September 2027</w:t>
            </w:r>
            <w:r w:rsidR="009A7FD8">
              <w:rPr>
                <w:rFonts w:ascii="Times New Roman" w:eastAsia="Times New Roman" w:hAnsi="Times New Roman" w:cs="Times New Roman"/>
                <w:color w:val="auto"/>
                <w:sz w:val="22"/>
                <w:szCs w:val="22"/>
                <w:lang w:val="en-GB"/>
                <w14:ligatures w14:val="none"/>
              </w:rPr>
              <w:t xml:space="preserve">- February </w:t>
            </w:r>
            <w:r w:rsidRPr="00E76011">
              <w:rPr>
                <w:rFonts w:ascii="Times New Roman" w:eastAsia="Times New Roman" w:hAnsi="Times New Roman" w:cs="Times New Roman"/>
                <w:color w:val="auto"/>
                <w:sz w:val="22"/>
                <w:szCs w:val="22"/>
                <w:lang w:val="en-GB"/>
                <w14:ligatures w14:val="none"/>
              </w:rPr>
              <w:t>202</w:t>
            </w:r>
            <w:r w:rsidR="009A7FD8">
              <w:rPr>
                <w:rFonts w:ascii="Times New Roman" w:eastAsia="Times New Roman" w:hAnsi="Times New Roman" w:cs="Times New Roman"/>
                <w:color w:val="auto"/>
                <w:sz w:val="22"/>
                <w:szCs w:val="22"/>
                <w:lang w:val="en-GB"/>
                <w14:ligatures w14:val="none"/>
              </w:rPr>
              <w:t>8</w:t>
            </w:r>
          </w:p>
        </w:tc>
        <w:tc>
          <w:tcPr>
            <w:tcW w:w="7655" w:type="dxa"/>
          </w:tcPr>
          <w:p w14:paraId="1E2E1B5D" w14:textId="77777777" w:rsidR="00E76011" w:rsidRDefault="00E76011" w:rsidP="00E76011">
            <w:pPr>
              <w:widowControl w:val="0"/>
              <w:autoSpaceDE w:val="0"/>
              <w:autoSpaceDN w:val="0"/>
              <w:spacing w:after="0" w:line="240" w:lineRule="auto"/>
              <w:jc w:val="both"/>
              <w:outlineLvl w:val="0"/>
              <w:rPr>
                <w:rFonts w:ascii="Times New Roman" w:eastAsia="Times New Roman" w:hAnsi="Times New Roman" w:cs="Times New Roman"/>
                <w:color w:val="auto"/>
                <w:sz w:val="22"/>
                <w:szCs w:val="22"/>
                <w:lang w:val="en-GB"/>
                <w14:ligatures w14:val="none"/>
              </w:rPr>
            </w:pPr>
            <w:r w:rsidRPr="00E76011">
              <w:rPr>
                <w:rFonts w:ascii="Times New Roman" w:eastAsia="Times New Roman" w:hAnsi="Times New Roman" w:cs="Times New Roman"/>
                <w:color w:val="auto"/>
                <w:sz w:val="22"/>
                <w:szCs w:val="22"/>
                <w:lang w:val="en-GB"/>
                <w14:ligatures w14:val="none"/>
              </w:rPr>
              <w:t xml:space="preserve">Participate in the final conference by presenting </w:t>
            </w:r>
            <w:r w:rsidR="004F65BE" w:rsidRPr="004F65BE">
              <w:rPr>
                <w:rFonts w:ascii="Times New Roman" w:eastAsia="Times New Roman" w:hAnsi="Times New Roman" w:cs="Times New Roman"/>
                <w:color w:val="auto"/>
                <w:sz w:val="22"/>
                <w:szCs w:val="22"/>
                <w:lang w:val="en-GB"/>
                <w14:ligatures w14:val="none"/>
              </w:rPr>
              <w:t xml:space="preserve">the key findings of the </w:t>
            </w:r>
            <w:r w:rsidR="004F65BE">
              <w:rPr>
                <w:rFonts w:ascii="Times New Roman" w:eastAsia="Times New Roman" w:hAnsi="Times New Roman" w:cs="Times New Roman"/>
                <w:color w:val="auto"/>
                <w:sz w:val="22"/>
                <w:szCs w:val="22"/>
                <w:lang w:val="en-GB"/>
                <w14:ligatures w14:val="none"/>
              </w:rPr>
              <w:t xml:space="preserve">recommendations </w:t>
            </w:r>
            <w:r w:rsidR="004F65BE" w:rsidRPr="004F65BE">
              <w:rPr>
                <w:rFonts w:ascii="Times New Roman" w:eastAsia="Times New Roman" w:hAnsi="Times New Roman" w:cs="Times New Roman"/>
                <w:color w:val="auto"/>
                <w:sz w:val="22"/>
                <w:szCs w:val="22"/>
                <w:lang w:val="en-GB"/>
                <w14:ligatures w14:val="none"/>
              </w:rPr>
              <w:t xml:space="preserve">report at the closing conference </w:t>
            </w:r>
            <w:r w:rsidR="004F65BE">
              <w:rPr>
                <w:rFonts w:ascii="Times New Roman" w:eastAsia="Times New Roman" w:hAnsi="Times New Roman" w:cs="Times New Roman"/>
                <w:color w:val="auto"/>
                <w:sz w:val="22"/>
                <w:szCs w:val="22"/>
                <w:lang w:val="en-GB"/>
                <w14:ligatures w14:val="none"/>
              </w:rPr>
              <w:t>and provide input, if needed, to the final report.</w:t>
            </w:r>
          </w:p>
          <w:p w14:paraId="3EB8E38A" w14:textId="6D7A3E36" w:rsidR="000A3CE5" w:rsidRPr="00E76011" w:rsidRDefault="000A3CE5" w:rsidP="00E76011">
            <w:pPr>
              <w:widowControl w:val="0"/>
              <w:autoSpaceDE w:val="0"/>
              <w:autoSpaceDN w:val="0"/>
              <w:spacing w:after="0" w:line="240" w:lineRule="auto"/>
              <w:jc w:val="both"/>
              <w:outlineLvl w:val="0"/>
              <w:rPr>
                <w:rFonts w:ascii="Times New Roman" w:eastAsia="Times New Roman" w:hAnsi="Times New Roman" w:cs="Times New Roman"/>
                <w:color w:val="auto"/>
                <w:sz w:val="22"/>
                <w:szCs w:val="22"/>
                <w:lang w:val="en-GB"/>
                <w14:ligatures w14:val="none"/>
              </w:rPr>
            </w:pPr>
            <w:r w:rsidRPr="000A3CE5">
              <w:rPr>
                <w:rFonts w:ascii="Times New Roman" w:eastAsia="Times New Roman" w:hAnsi="Times New Roman" w:cs="Times New Roman"/>
                <w:color w:val="auto"/>
                <w:sz w:val="22"/>
                <w:szCs w:val="22"/>
                <w:lang w:val="en-GB"/>
                <w14:ligatures w14:val="none"/>
              </w:rPr>
              <w:t>Ensure all publications are practical, concise, and directly usable by policymakers</w:t>
            </w:r>
          </w:p>
        </w:tc>
      </w:tr>
    </w:tbl>
    <w:p w14:paraId="35ECFFE1" w14:textId="77777777" w:rsidR="00E76011" w:rsidRDefault="00E76011" w:rsidP="009A06B0">
      <w:pPr>
        <w:widowControl w:val="0"/>
        <w:autoSpaceDE w:val="0"/>
        <w:autoSpaceDN w:val="0"/>
        <w:spacing w:after="0" w:line="240" w:lineRule="auto"/>
        <w:jc w:val="both"/>
        <w:outlineLvl w:val="0"/>
        <w:rPr>
          <w:rFonts w:ascii="Times New Roman" w:eastAsia="Times New Roman" w:hAnsi="Times New Roman" w:cs="Times New Roman"/>
          <w:color w:val="auto"/>
          <w:sz w:val="22"/>
          <w:szCs w:val="22"/>
          <w14:ligatures w14:val="none"/>
        </w:rPr>
      </w:pPr>
    </w:p>
    <w:p w14:paraId="3BFF8FAA" w14:textId="77777777" w:rsidR="00A62E38" w:rsidRDefault="00A62E38" w:rsidP="009A06B0">
      <w:pPr>
        <w:widowControl w:val="0"/>
        <w:autoSpaceDE w:val="0"/>
        <w:autoSpaceDN w:val="0"/>
        <w:spacing w:after="0" w:line="240" w:lineRule="auto"/>
        <w:jc w:val="both"/>
        <w:outlineLvl w:val="0"/>
        <w:rPr>
          <w:rFonts w:ascii="Times New Roman" w:eastAsia="Times New Roman" w:hAnsi="Times New Roman" w:cs="Times New Roman"/>
          <w:color w:val="auto"/>
          <w:sz w:val="22"/>
          <w:szCs w:val="22"/>
          <w14:ligatures w14:val="none"/>
        </w:rPr>
      </w:pPr>
    </w:p>
    <w:p w14:paraId="2A5F8431" w14:textId="77777777" w:rsidR="00A62E38" w:rsidRPr="00A62E38" w:rsidRDefault="00A62E38" w:rsidP="00A62E38">
      <w:pPr>
        <w:widowControl w:val="0"/>
        <w:autoSpaceDE w:val="0"/>
        <w:autoSpaceDN w:val="0"/>
        <w:spacing w:after="0" w:line="240" w:lineRule="auto"/>
        <w:ind w:right="113"/>
        <w:jc w:val="both"/>
        <w:rPr>
          <w:rFonts w:ascii="Times New Roman" w:eastAsia="Times New Roman" w:hAnsi="Times New Roman" w:cs="Times New Roman"/>
          <w:b/>
          <w:bCs/>
          <w:color w:val="auto"/>
          <w:sz w:val="22"/>
          <w:szCs w:val="22"/>
          <w:u w:val="single"/>
          <w:lang w:val="en-GB"/>
          <w14:ligatures w14:val="none"/>
        </w:rPr>
      </w:pPr>
      <w:r w:rsidRPr="00A62E38">
        <w:rPr>
          <w:rFonts w:ascii="Times New Roman" w:eastAsia="Times New Roman" w:hAnsi="Times New Roman" w:cs="Times New Roman"/>
          <w:b/>
          <w:bCs/>
          <w:color w:val="auto"/>
          <w:sz w:val="22"/>
          <w:szCs w:val="22"/>
          <w:u w:val="single"/>
          <w:lang w:val="en-GB"/>
          <w14:ligatures w14:val="none"/>
        </w:rPr>
        <w:t>Project context:</w:t>
      </w:r>
    </w:p>
    <w:p w14:paraId="2D5F0366" w14:textId="77777777" w:rsidR="00A62E38" w:rsidRPr="00067FC0" w:rsidRDefault="00A62E38" w:rsidP="00A62E38">
      <w:pPr>
        <w:widowControl w:val="0"/>
        <w:autoSpaceDE w:val="0"/>
        <w:autoSpaceDN w:val="0"/>
        <w:spacing w:after="0" w:line="240" w:lineRule="auto"/>
        <w:ind w:right="113"/>
        <w:jc w:val="both"/>
        <w:rPr>
          <w:rFonts w:ascii="Times New Roman" w:eastAsia="Times New Roman" w:hAnsi="Times New Roman" w:cs="Times New Roman"/>
          <w:color w:val="auto"/>
          <w:sz w:val="22"/>
          <w:szCs w:val="22"/>
          <w:u w:val="single"/>
          <w:lang w:val="en-GB"/>
          <w14:ligatures w14:val="none"/>
        </w:rPr>
      </w:pPr>
    </w:p>
    <w:p w14:paraId="3112315A" w14:textId="77777777" w:rsidR="00A62E38" w:rsidRPr="00067FC0" w:rsidRDefault="00A62E38" w:rsidP="00A62E38">
      <w:pPr>
        <w:widowControl w:val="0"/>
        <w:autoSpaceDE w:val="0"/>
        <w:autoSpaceDN w:val="0"/>
        <w:spacing w:before="120" w:after="0" w:line="240" w:lineRule="atLeast"/>
        <w:jc w:val="both"/>
        <w:rPr>
          <w:rFonts w:ascii="Times New Roman" w:eastAsia="Times New Roman" w:hAnsi="Times New Roman" w:cs="Times New Roman"/>
          <w:color w:val="auto"/>
          <w:sz w:val="22"/>
          <w:szCs w:val="22"/>
          <w:lang w:val="en-IE"/>
          <w14:ligatures w14:val="none"/>
        </w:rPr>
      </w:pPr>
      <w:r w:rsidRPr="00067FC0">
        <w:rPr>
          <w:rFonts w:ascii="Times New Roman" w:eastAsia="Times New Roman" w:hAnsi="Times New Roman" w:cs="Times New Roman"/>
          <w:color w:val="auto"/>
          <w:sz w:val="22"/>
          <w:szCs w:val="22"/>
          <w:lang w:val="en-IE"/>
          <w14:ligatures w14:val="none"/>
        </w:rPr>
        <w:t>Green Budgeting aims to align national budgets with sustainability objectives by systematically identifying, assessing, and reporting expenditures and revenues that impact climate and environmental goals. This reform initiative enhances transparency, policy coherence, and informed decision-making, supporting the transition to a sustainable and resilient economy.</w:t>
      </w:r>
    </w:p>
    <w:p w14:paraId="21FC269C" w14:textId="77777777" w:rsidR="00A62E38" w:rsidRPr="00067FC0" w:rsidRDefault="00A62E38" w:rsidP="00A62E38">
      <w:pPr>
        <w:widowControl w:val="0"/>
        <w:autoSpaceDE w:val="0"/>
        <w:autoSpaceDN w:val="0"/>
        <w:spacing w:before="120" w:after="0" w:line="240" w:lineRule="atLeast"/>
        <w:jc w:val="both"/>
        <w:rPr>
          <w:rFonts w:ascii="Times New Roman" w:eastAsia="Times New Roman" w:hAnsi="Times New Roman" w:cs="Times New Roman"/>
          <w:color w:val="auto"/>
          <w:sz w:val="22"/>
          <w:szCs w:val="22"/>
          <w:lang w:val="en-IE"/>
          <w14:ligatures w14:val="none"/>
        </w:rPr>
      </w:pPr>
      <w:r w:rsidRPr="00067FC0">
        <w:rPr>
          <w:rFonts w:ascii="Times New Roman" w:eastAsia="Times New Roman" w:hAnsi="Times New Roman" w:cs="Times New Roman"/>
          <w:color w:val="auto"/>
          <w:sz w:val="22"/>
          <w:szCs w:val="22"/>
          <w:lang w:val="en-IE"/>
          <w14:ligatures w14:val="none"/>
        </w:rPr>
        <w:t xml:space="preserve">The reformed </w:t>
      </w:r>
      <w:r w:rsidRPr="00067FC0">
        <w:rPr>
          <w:rFonts w:ascii="Times New Roman" w:eastAsia="Times New Roman" w:hAnsi="Times New Roman" w:cs="Times New Roman"/>
          <w:b/>
          <w:bCs/>
          <w:color w:val="auto"/>
          <w:sz w:val="22"/>
          <w:szCs w:val="22"/>
          <w:lang w:val="en-IE"/>
          <w14:ligatures w14:val="none"/>
        </w:rPr>
        <w:t>EU Economic Governance Framework</w:t>
      </w:r>
      <w:r w:rsidRPr="00067FC0">
        <w:rPr>
          <w:rFonts w:ascii="Times New Roman" w:eastAsia="Times New Roman" w:hAnsi="Times New Roman" w:cs="Times New Roman"/>
          <w:color w:val="auto"/>
          <w:sz w:val="22"/>
          <w:szCs w:val="22"/>
          <w:lang w:val="en-IE"/>
          <w14:ligatures w14:val="none"/>
        </w:rPr>
        <w:t>, which entered into force in April 2024, aims to ensure sound and sustainable public finances while promoting inclusive and sustainable economic growth. The reform introduces medium-term fiscal structural plans, requiring Member States to outline fiscal, structural, and investment policies over a 4–5-year horizon, with a macroeconomic outlook spanning up to seven years for reforms and investments. This framework aligns public finances with country-specific challenges and EU priorities, including the European Green Deal.</w:t>
      </w:r>
    </w:p>
    <w:p w14:paraId="6161EB23" w14:textId="77777777" w:rsidR="00A62E38" w:rsidRPr="00067FC0" w:rsidRDefault="00A62E38" w:rsidP="00A62E38">
      <w:pPr>
        <w:widowControl w:val="0"/>
        <w:autoSpaceDE w:val="0"/>
        <w:autoSpaceDN w:val="0"/>
        <w:spacing w:before="120" w:after="0" w:line="240" w:lineRule="atLeast"/>
        <w:jc w:val="both"/>
        <w:rPr>
          <w:rFonts w:ascii="Times New Roman" w:eastAsia="Times New Roman" w:hAnsi="Times New Roman" w:cs="Times New Roman"/>
          <w:color w:val="auto"/>
          <w:sz w:val="22"/>
          <w:szCs w:val="22"/>
          <w:lang w:val="en-IE"/>
          <w14:ligatures w14:val="none"/>
        </w:rPr>
      </w:pPr>
      <w:r w:rsidRPr="00067FC0">
        <w:rPr>
          <w:rFonts w:ascii="Times New Roman" w:eastAsia="Times New Roman" w:hAnsi="Times New Roman" w:cs="Times New Roman"/>
          <w:color w:val="auto"/>
          <w:sz w:val="22"/>
          <w:szCs w:val="22"/>
          <w:lang w:val="en-IE"/>
          <w14:ligatures w14:val="none"/>
        </w:rPr>
        <w:t xml:space="preserve">The recently adopted </w:t>
      </w:r>
      <w:r w:rsidRPr="00067FC0">
        <w:rPr>
          <w:rFonts w:ascii="Times New Roman" w:eastAsia="Times New Roman" w:hAnsi="Times New Roman" w:cs="Times New Roman"/>
          <w:b/>
          <w:bCs/>
          <w:color w:val="auto"/>
          <w:sz w:val="22"/>
          <w:szCs w:val="22"/>
          <w:lang w:val="en-IE"/>
          <w14:ligatures w14:val="none"/>
        </w:rPr>
        <w:t>EU Directive 2024/1265</w:t>
      </w:r>
      <w:r w:rsidRPr="00067FC0">
        <w:rPr>
          <w:rFonts w:ascii="Times New Roman" w:eastAsia="Times New Roman" w:hAnsi="Times New Roman" w:cs="Times New Roman"/>
          <w:b/>
          <w:bCs/>
          <w:color w:val="auto"/>
          <w:sz w:val="22"/>
          <w:szCs w:val="22"/>
          <w:vertAlign w:val="superscript"/>
          <w:lang w:val="en-IE"/>
          <w14:ligatures w14:val="none"/>
        </w:rPr>
        <w:footnoteReference w:id="1"/>
      </w:r>
      <w:r w:rsidRPr="00067FC0">
        <w:rPr>
          <w:rFonts w:ascii="Times New Roman" w:eastAsia="Times New Roman" w:hAnsi="Times New Roman" w:cs="Times New Roman"/>
          <w:color w:val="auto"/>
          <w:sz w:val="22"/>
          <w:szCs w:val="22"/>
          <w:lang w:val="en-IE"/>
          <w14:ligatures w14:val="none"/>
        </w:rPr>
        <w:t xml:space="preserve"> and the new </w:t>
      </w:r>
      <w:r w:rsidRPr="00067FC0">
        <w:rPr>
          <w:rFonts w:ascii="Times New Roman" w:eastAsia="Times New Roman" w:hAnsi="Times New Roman" w:cs="Times New Roman"/>
          <w:b/>
          <w:bCs/>
          <w:color w:val="auto"/>
          <w:sz w:val="22"/>
          <w:szCs w:val="22"/>
          <w:lang w:val="en-IE"/>
          <w14:ligatures w14:val="none"/>
        </w:rPr>
        <w:t>EU Economic Governance Framework</w:t>
      </w:r>
      <w:r w:rsidRPr="00067FC0">
        <w:rPr>
          <w:rFonts w:ascii="Times New Roman" w:eastAsia="Times New Roman" w:hAnsi="Times New Roman" w:cs="Times New Roman"/>
          <w:color w:val="auto"/>
          <w:sz w:val="22"/>
          <w:szCs w:val="22"/>
          <w:lang w:val="en-IE"/>
          <w14:ligatures w14:val="none"/>
        </w:rPr>
        <w:t xml:space="preserve"> emphasize the importance of aligning fiscal policies with sustainability and climate objectives. The Directive requires Member States to report on macro-fiscal risks arising from climate change, climate-related contingent liabilities, and fiscal costs of disasters. </w:t>
      </w:r>
    </w:p>
    <w:p w14:paraId="04868DF6" w14:textId="77777777" w:rsidR="00A62E38" w:rsidRPr="00067FC0" w:rsidRDefault="00A62E38" w:rsidP="00A62E38">
      <w:pPr>
        <w:widowControl w:val="0"/>
        <w:autoSpaceDE w:val="0"/>
        <w:autoSpaceDN w:val="0"/>
        <w:spacing w:before="120" w:after="0" w:line="240" w:lineRule="atLeast"/>
        <w:jc w:val="both"/>
        <w:rPr>
          <w:rFonts w:ascii="Times New Roman" w:eastAsia="Times New Roman" w:hAnsi="Times New Roman" w:cs="Times New Roman"/>
          <w:color w:val="auto"/>
          <w:sz w:val="22"/>
          <w:szCs w:val="22"/>
          <w:lang w:val="en-IE"/>
          <w14:ligatures w14:val="none"/>
        </w:rPr>
      </w:pPr>
      <w:r w:rsidRPr="00067FC0">
        <w:rPr>
          <w:rFonts w:ascii="Times New Roman" w:eastAsia="Times New Roman" w:hAnsi="Times New Roman" w:cs="Times New Roman"/>
          <w:color w:val="auto"/>
          <w:sz w:val="22"/>
          <w:szCs w:val="22"/>
          <w:lang w:val="en-IE"/>
          <w14:ligatures w14:val="none"/>
        </w:rPr>
        <w:t xml:space="preserve">The </w:t>
      </w:r>
      <w:r w:rsidRPr="00067FC0">
        <w:rPr>
          <w:rFonts w:ascii="Times New Roman" w:eastAsia="Times New Roman" w:hAnsi="Times New Roman" w:cs="Times New Roman"/>
          <w:b/>
          <w:bCs/>
          <w:color w:val="auto"/>
          <w:sz w:val="22"/>
          <w:szCs w:val="22"/>
          <w:lang w:val="en-IE"/>
          <w14:ligatures w14:val="none"/>
        </w:rPr>
        <w:t>Green Deal Communication</w:t>
      </w:r>
      <w:r w:rsidRPr="00067FC0">
        <w:rPr>
          <w:rFonts w:ascii="Times New Roman" w:eastAsia="Times New Roman" w:hAnsi="Times New Roman" w:cs="Times New Roman"/>
          <w:color w:val="auto"/>
          <w:sz w:val="22"/>
          <w:szCs w:val="22"/>
          <w:lang w:val="en-IE"/>
          <w14:ligatures w14:val="none"/>
        </w:rPr>
        <w:t xml:space="preserve">, the </w:t>
      </w:r>
      <w:r w:rsidRPr="00067FC0">
        <w:rPr>
          <w:rFonts w:ascii="Times New Roman" w:eastAsia="Times New Roman" w:hAnsi="Times New Roman" w:cs="Times New Roman"/>
          <w:b/>
          <w:bCs/>
          <w:color w:val="auto"/>
          <w:sz w:val="22"/>
          <w:szCs w:val="22"/>
          <w:lang w:val="en-IE"/>
          <w14:ligatures w14:val="none"/>
        </w:rPr>
        <w:t>Fit for 55 package</w:t>
      </w:r>
      <w:r w:rsidRPr="00067FC0">
        <w:rPr>
          <w:rFonts w:ascii="Times New Roman" w:eastAsia="Times New Roman" w:hAnsi="Times New Roman" w:cs="Times New Roman"/>
          <w:b/>
          <w:bCs/>
          <w:color w:val="auto"/>
          <w:sz w:val="22"/>
          <w:szCs w:val="22"/>
          <w:vertAlign w:val="superscript"/>
          <w:lang w:val="en-IE"/>
          <w14:ligatures w14:val="none"/>
        </w:rPr>
        <w:footnoteReference w:id="2"/>
      </w:r>
      <w:r w:rsidRPr="00067FC0">
        <w:rPr>
          <w:rFonts w:ascii="Times New Roman" w:eastAsia="Times New Roman" w:hAnsi="Times New Roman" w:cs="Times New Roman"/>
          <w:color w:val="auto"/>
          <w:sz w:val="22"/>
          <w:szCs w:val="22"/>
          <w:lang w:val="en-IE"/>
          <w14:ligatures w14:val="none"/>
        </w:rPr>
        <w:t xml:space="preserve">, and the </w:t>
      </w:r>
      <w:r w:rsidRPr="00067FC0">
        <w:rPr>
          <w:rFonts w:ascii="Times New Roman" w:eastAsia="Times New Roman" w:hAnsi="Times New Roman" w:cs="Times New Roman"/>
          <w:b/>
          <w:bCs/>
          <w:color w:val="auto"/>
          <w:sz w:val="22"/>
          <w:szCs w:val="22"/>
          <w:lang w:val="en-IE"/>
          <w14:ligatures w14:val="none"/>
        </w:rPr>
        <w:t>reformed EU Economic Governance Framework</w:t>
      </w:r>
      <w:r w:rsidRPr="00067FC0">
        <w:rPr>
          <w:rFonts w:ascii="Times New Roman" w:eastAsia="Times New Roman" w:hAnsi="Times New Roman" w:cs="Times New Roman"/>
          <w:color w:val="auto"/>
          <w:sz w:val="22"/>
          <w:szCs w:val="22"/>
          <w:lang w:val="en-IE"/>
          <w14:ligatures w14:val="none"/>
        </w:rPr>
        <w:t xml:space="preserve"> set an ambitious policy context for addressing climate change, emphasizing the need to align public finances with climate and environmental objectives. Green Budgeting is critical to achieving these goals.</w:t>
      </w:r>
    </w:p>
    <w:p w14:paraId="3900CD97" w14:textId="77777777" w:rsidR="00A62E38" w:rsidRPr="00067FC0" w:rsidRDefault="00A62E38" w:rsidP="00A62E38">
      <w:pPr>
        <w:widowControl w:val="0"/>
        <w:autoSpaceDE w:val="0"/>
        <w:autoSpaceDN w:val="0"/>
        <w:spacing w:before="120" w:after="0" w:line="240" w:lineRule="atLeast"/>
        <w:jc w:val="both"/>
        <w:rPr>
          <w:rFonts w:ascii="Times New Roman" w:eastAsia="Times New Roman" w:hAnsi="Times New Roman" w:cs="Times New Roman"/>
          <w:color w:val="auto"/>
          <w:sz w:val="22"/>
          <w:szCs w:val="22"/>
          <w:lang w:val="en-IE"/>
          <w14:ligatures w14:val="none"/>
        </w:rPr>
      </w:pPr>
      <w:r w:rsidRPr="00067FC0">
        <w:rPr>
          <w:rFonts w:ascii="Times New Roman" w:eastAsia="Times New Roman" w:hAnsi="Times New Roman" w:cs="Times New Roman"/>
          <w:color w:val="auto"/>
          <w:sz w:val="22"/>
          <w:szCs w:val="22"/>
          <w:lang w:val="en-IE"/>
          <w14:ligatures w14:val="none"/>
        </w:rPr>
        <w:t xml:space="preserve">Between 2021 and 2024, the Commission implemented the </w:t>
      </w:r>
      <w:r w:rsidRPr="00067FC0">
        <w:rPr>
          <w:rFonts w:ascii="Times New Roman" w:eastAsia="Times New Roman" w:hAnsi="Times New Roman" w:cs="Times New Roman"/>
          <w:b/>
          <w:bCs/>
          <w:color w:val="auto"/>
          <w:sz w:val="22"/>
          <w:szCs w:val="22"/>
          <w:lang w:val="en-IE"/>
          <w14:ligatures w14:val="none"/>
        </w:rPr>
        <w:t>Green Budgeting Training Programme</w:t>
      </w:r>
      <w:r w:rsidRPr="00067FC0">
        <w:rPr>
          <w:rFonts w:ascii="Times New Roman" w:eastAsia="Times New Roman" w:hAnsi="Times New Roman" w:cs="Times New Roman"/>
          <w:b/>
          <w:bCs/>
          <w:color w:val="auto"/>
          <w:sz w:val="22"/>
          <w:szCs w:val="22"/>
          <w:vertAlign w:val="superscript"/>
          <w:lang w:val="en-IE"/>
          <w14:ligatures w14:val="none"/>
        </w:rPr>
        <w:footnoteReference w:id="3"/>
      </w:r>
      <w:r w:rsidRPr="00067FC0">
        <w:rPr>
          <w:rFonts w:ascii="Times New Roman" w:eastAsia="Times New Roman" w:hAnsi="Times New Roman" w:cs="Times New Roman"/>
          <w:color w:val="auto"/>
          <w:sz w:val="22"/>
          <w:szCs w:val="22"/>
          <w:lang w:val="en-IE"/>
          <w14:ligatures w14:val="none"/>
        </w:rPr>
        <w:t>, a multi-country technical support project under the Technical Support Instrument (TSI). This program, based on the European Union Green Budgeting Reference Framework, provided capacity-building in Green Budgeting to 23 Member States. It consisted of four modules covering foundational principles, tagging methodologies, environmental impact assessments, and peer-to-peer exchanges. The program:</w:t>
      </w:r>
    </w:p>
    <w:p w14:paraId="6EDBEEAC" w14:textId="77777777" w:rsidR="00A62E38" w:rsidRPr="00067FC0" w:rsidRDefault="00A62E38" w:rsidP="00A62E38">
      <w:pPr>
        <w:widowControl w:val="0"/>
        <w:numPr>
          <w:ilvl w:val="0"/>
          <w:numId w:val="8"/>
        </w:numPr>
        <w:tabs>
          <w:tab w:val="num" w:pos="620"/>
        </w:tabs>
        <w:autoSpaceDE w:val="0"/>
        <w:autoSpaceDN w:val="0"/>
        <w:spacing w:before="120" w:after="120" w:line="240" w:lineRule="atLeast"/>
        <w:ind w:left="620"/>
        <w:jc w:val="both"/>
        <w:rPr>
          <w:rFonts w:ascii="Times New Roman" w:eastAsia="Times New Roman" w:hAnsi="Times New Roman" w:cs="Times New Roman"/>
          <w:color w:val="auto"/>
          <w:sz w:val="22"/>
          <w:szCs w:val="22"/>
          <w:lang w:val="en-IE"/>
          <w14:ligatures w14:val="none"/>
        </w:rPr>
      </w:pPr>
      <w:r w:rsidRPr="00067FC0">
        <w:rPr>
          <w:rFonts w:ascii="Times New Roman" w:eastAsia="Times New Roman" w:hAnsi="Times New Roman" w:cs="Times New Roman"/>
          <w:color w:val="auto"/>
          <w:sz w:val="22"/>
          <w:szCs w:val="22"/>
          <w:lang w:val="en-IE"/>
          <w14:ligatures w14:val="none"/>
        </w:rPr>
        <w:t>Trained approximately 1,200 participants.</w:t>
      </w:r>
    </w:p>
    <w:p w14:paraId="06602E01" w14:textId="77777777" w:rsidR="00A62E38" w:rsidRPr="00067FC0" w:rsidRDefault="00A62E38" w:rsidP="00A62E38">
      <w:pPr>
        <w:widowControl w:val="0"/>
        <w:numPr>
          <w:ilvl w:val="0"/>
          <w:numId w:val="8"/>
        </w:numPr>
        <w:tabs>
          <w:tab w:val="num" w:pos="620"/>
        </w:tabs>
        <w:autoSpaceDE w:val="0"/>
        <w:autoSpaceDN w:val="0"/>
        <w:spacing w:before="120" w:after="120" w:line="240" w:lineRule="atLeast"/>
        <w:ind w:left="620"/>
        <w:jc w:val="both"/>
        <w:rPr>
          <w:rFonts w:ascii="Times New Roman" w:eastAsia="Times New Roman" w:hAnsi="Times New Roman" w:cs="Times New Roman"/>
          <w:color w:val="auto"/>
          <w:sz w:val="22"/>
          <w:szCs w:val="22"/>
          <w:lang w:val="en-IE"/>
          <w14:ligatures w14:val="none"/>
        </w:rPr>
      </w:pPr>
      <w:r w:rsidRPr="00067FC0">
        <w:rPr>
          <w:rFonts w:ascii="Times New Roman" w:eastAsia="Times New Roman" w:hAnsi="Times New Roman" w:cs="Times New Roman"/>
          <w:color w:val="auto"/>
          <w:sz w:val="22"/>
          <w:szCs w:val="22"/>
          <w:lang w:val="en-IE"/>
          <w14:ligatures w14:val="none"/>
        </w:rPr>
        <w:t>Enabled Member States to develop and implement Green Budgeting frameworks at the national level.</w:t>
      </w:r>
    </w:p>
    <w:p w14:paraId="32D19709" w14:textId="77777777" w:rsidR="00A62E38" w:rsidRDefault="00A62E38" w:rsidP="00A62E38">
      <w:pPr>
        <w:widowControl w:val="0"/>
        <w:numPr>
          <w:ilvl w:val="0"/>
          <w:numId w:val="8"/>
        </w:numPr>
        <w:tabs>
          <w:tab w:val="num" w:pos="620"/>
        </w:tabs>
        <w:autoSpaceDE w:val="0"/>
        <w:autoSpaceDN w:val="0"/>
        <w:spacing w:before="120" w:after="120" w:line="240" w:lineRule="atLeast"/>
        <w:ind w:left="620"/>
        <w:jc w:val="both"/>
        <w:rPr>
          <w:rFonts w:ascii="Times New Roman" w:eastAsia="Times New Roman" w:hAnsi="Times New Roman" w:cs="Times New Roman"/>
          <w:color w:val="auto"/>
          <w:sz w:val="22"/>
          <w:szCs w:val="22"/>
          <w:lang w:val="en-IE"/>
          <w14:ligatures w14:val="none"/>
        </w:rPr>
      </w:pPr>
      <w:r w:rsidRPr="00067FC0">
        <w:rPr>
          <w:rFonts w:ascii="Times New Roman" w:eastAsia="Times New Roman" w:hAnsi="Times New Roman" w:cs="Times New Roman"/>
          <w:color w:val="auto"/>
          <w:sz w:val="22"/>
          <w:szCs w:val="22"/>
          <w:lang w:val="en-IE"/>
          <w14:ligatures w14:val="none"/>
        </w:rPr>
        <w:t>Fostered cross-border collaboration and established a community of Green Budgeting Practitioners among public officials across the EU.</w:t>
      </w:r>
    </w:p>
    <w:p w14:paraId="2D9BF05D" w14:textId="77777777" w:rsidR="00A62E38" w:rsidRDefault="00A62E38" w:rsidP="00A62E38">
      <w:pPr>
        <w:widowControl w:val="0"/>
        <w:autoSpaceDE w:val="0"/>
        <w:autoSpaceDN w:val="0"/>
        <w:spacing w:before="120" w:after="120" w:line="240" w:lineRule="atLeast"/>
        <w:jc w:val="both"/>
        <w:rPr>
          <w:rFonts w:ascii="Times New Roman" w:eastAsia="Times New Roman" w:hAnsi="Times New Roman" w:cs="Times New Roman"/>
          <w:color w:val="auto"/>
          <w:sz w:val="22"/>
          <w:szCs w:val="22"/>
          <w:lang w:val="en-IE"/>
          <w14:ligatures w14:val="none"/>
        </w:rPr>
      </w:pPr>
      <w:r w:rsidRPr="000975B3">
        <w:rPr>
          <w:rFonts w:ascii="Times New Roman" w:eastAsia="Times New Roman" w:hAnsi="Times New Roman" w:cs="Times New Roman"/>
          <w:color w:val="auto"/>
          <w:sz w:val="22"/>
          <w:szCs w:val="22"/>
          <w:lang w:val="en-IE"/>
          <w14:ligatures w14:val="none"/>
        </w:rPr>
        <w:t>At the Closing Conference on June 7, 2024, beneficiary authorities identified ongoing technical support needs at both national and sub-national levels. These include further development and implementation of green budgeting methodologies, alignment with other green workstreams such as those relating to the Do No Significant Harm (DNSH) principle and its application in EU funding.</w:t>
      </w:r>
    </w:p>
    <w:p w14:paraId="5260ED2F" w14:textId="77777777" w:rsidR="00A62E38" w:rsidRPr="00C73925" w:rsidRDefault="00A62E38" w:rsidP="00A62E38">
      <w:pPr>
        <w:widowControl w:val="0"/>
        <w:autoSpaceDE w:val="0"/>
        <w:autoSpaceDN w:val="0"/>
        <w:spacing w:before="120" w:after="120" w:line="240" w:lineRule="atLeast"/>
        <w:jc w:val="both"/>
        <w:rPr>
          <w:rFonts w:ascii="Times New Roman" w:eastAsia="Times New Roman" w:hAnsi="Times New Roman" w:cs="Times New Roman"/>
          <w:b/>
          <w:bCs/>
          <w:color w:val="auto"/>
          <w:sz w:val="22"/>
          <w:szCs w:val="22"/>
          <w:lang w:val="en-IE"/>
          <w14:ligatures w14:val="none"/>
        </w:rPr>
      </w:pPr>
      <w:r w:rsidRPr="00C73925">
        <w:rPr>
          <w:rFonts w:ascii="Times New Roman" w:eastAsia="Times New Roman" w:hAnsi="Times New Roman" w:cs="Times New Roman"/>
          <w:b/>
          <w:bCs/>
          <w:color w:val="auto"/>
          <w:sz w:val="22"/>
          <w:szCs w:val="22"/>
          <w:lang w:val="en-IE"/>
          <w14:ligatures w14:val="none"/>
        </w:rPr>
        <w:t>Implementing Effective Green Budgeting practices</w:t>
      </w:r>
    </w:p>
    <w:p w14:paraId="6B781643" w14:textId="77777777" w:rsidR="00A62E38" w:rsidRDefault="00A62E38" w:rsidP="00A62E38">
      <w:pPr>
        <w:widowControl w:val="0"/>
        <w:autoSpaceDE w:val="0"/>
        <w:autoSpaceDN w:val="0"/>
        <w:spacing w:before="120" w:after="120" w:line="240" w:lineRule="atLeast"/>
        <w:jc w:val="both"/>
        <w:rPr>
          <w:rFonts w:ascii="Times New Roman" w:eastAsia="Times New Roman" w:hAnsi="Times New Roman" w:cs="Times New Roman"/>
          <w:color w:val="auto"/>
          <w:sz w:val="22"/>
          <w:szCs w:val="22"/>
          <w:lang w:val="en-IE"/>
          <w14:ligatures w14:val="none"/>
        </w:rPr>
      </w:pPr>
      <w:r>
        <w:rPr>
          <w:rFonts w:ascii="Times New Roman" w:eastAsia="Times New Roman" w:hAnsi="Times New Roman" w:cs="Times New Roman"/>
          <w:color w:val="auto"/>
          <w:sz w:val="22"/>
          <w:szCs w:val="22"/>
          <w:lang w:val="en-IE"/>
          <w14:ligatures w14:val="none"/>
        </w:rPr>
        <w:t>These technical support needs shall be addressed in the framework of this new project for Implementing Effective Green Budgeting practices. T</w:t>
      </w:r>
      <w:r w:rsidRPr="00233857">
        <w:rPr>
          <w:rFonts w:ascii="Times New Roman" w:eastAsia="Times New Roman" w:hAnsi="Times New Roman" w:cs="Times New Roman"/>
          <w:color w:val="auto"/>
          <w:sz w:val="22"/>
          <w:szCs w:val="22"/>
          <w:lang w:val="en-IE"/>
          <w14:ligatures w14:val="none"/>
        </w:rPr>
        <w:t xml:space="preserve">he </w:t>
      </w:r>
      <w:r>
        <w:rPr>
          <w:rFonts w:ascii="Times New Roman" w:eastAsia="Times New Roman" w:hAnsi="Times New Roman" w:cs="Times New Roman"/>
          <w:color w:val="auto"/>
          <w:sz w:val="22"/>
          <w:szCs w:val="22"/>
          <w:lang w:val="en-IE"/>
          <w14:ligatures w14:val="none"/>
        </w:rPr>
        <w:t>Beneficiary Authorities</w:t>
      </w:r>
      <w:r w:rsidRPr="00233857">
        <w:rPr>
          <w:rFonts w:ascii="Times New Roman" w:eastAsia="Times New Roman" w:hAnsi="Times New Roman" w:cs="Times New Roman"/>
          <w:color w:val="auto"/>
          <w:sz w:val="22"/>
          <w:szCs w:val="22"/>
          <w:lang w:val="en-IE"/>
          <w14:ligatures w14:val="none"/>
        </w:rPr>
        <w:t xml:space="preserve"> are facing unique challenges in implementing green budgeting practices. Each country has its own specific challenges, such as developing tagging methodologies, institutionalizing green budgeting, and integrating environmental impact assessments into budgeting processes. Despite progress made, </w:t>
      </w:r>
      <w:r>
        <w:rPr>
          <w:rFonts w:ascii="Times New Roman" w:eastAsia="Times New Roman" w:hAnsi="Times New Roman" w:cs="Times New Roman"/>
          <w:color w:val="auto"/>
          <w:sz w:val="22"/>
          <w:szCs w:val="22"/>
          <w:lang w:val="en-IE"/>
          <w14:ligatures w14:val="none"/>
        </w:rPr>
        <w:t>each country</w:t>
      </w:r>
      <w:r w:rsidRPr="00233857">
        <w:rPr>
          <w:rFonts w:ascii="Times New Roman" w:eastAsia="Times New Roman" w:hAnsi="Times New Roman" w:cs="Times New Roman"/>
          <w:color w:val="auto"/>
          <w:sz w:val="22"/>
          <w:szCs w:val="22"/>
          <w:lang w:val="en-IE"/>
          <w14:ligatures w14:val="none"/>
        </w:rPr>
        <w:t xml:space="preserve"> </w:t>
      </w:r>
      <w:proofErr w:type="gramStart"/>
      <w:r w:rsidRPr="00233857">
        <w:rPr>
          <w:rFonts w:ascii="Times New Roman" w:eastAsia="Times New Roman" w:hAnsi="Times New Roman" w:cs="Times New Roman"/>
          <w:color w:val="auto"/>
          <w:sz w:val="22"/>
          <w:szCs w:val="22"/>
          <w:lang w:val="en-IE"/>
          <w14:ligatures w14:val="none"/>
        </w:rPr>
        <w:t>require</w:t>
      </w:r>
      <w:proofErr w:type="gramEnd"/>
      <w:r w:rsidRPr="00233857">
        <w:rPr>
          <w:rFonts w:ascii="Times New Roman" w:eastAsia="Times New Roman" w:hAnsi="Times New Roman" w:cs="Times New Roman"/>
          <w:color w:val="auto"/>
          <w:sz w:val="22"/>
          <w:szCs w:val="22"/>
          <w:lang w:val="en-IE"/>
          <w14:ligatures w14:val="none"/>
        </w:rPr>
        <w:t xml:space="preserve"> technical support to address gaps in capacity, governance, and data management, and to refine methodologies for identifying and categorizing green expenditures. The countries will benefit from the action through tailored support as well as common activities to share experiences, develop and strengthen methodologies, and foster cross-border collaboration.</w:t>
      </w:r>
    </w:p>
    <w:p w14:paraId="78FB01A5" w14:textId="77777777" w:rsidR="00A62E38" w:rsidRPr="00EA5E69" w:rsidRDefault="00A62E38" w:rsidP="00A62E38">
      <w:pPr>
        <w:widowControl w:val="0"/>
        <w:autoSpaceDE w:val="0"/>
        <w:autoSpaceDN w:val="0"/>
        <w:spacing w:before="120" w:after="120" w:line="240" w:lineRule="atLeast"/>
        <w:jc w:val="both"/>
        <w:rPr>
          <w:rFonts w:ascii="Times New Roman" w:eastAsia="Times New Roman" w:hAnsi="Times New Roman" w:cs="Times New Roman"/>
          <w:color w:val="auto"/>
          <w:sz w:val="22"/>
          <w:szCs w:val="22"/>
          <w:lang w:val="en-IE"/>
          <w14:ligatures w14:val="none"/>
        </w:rPr>
      </w:pPr>
      <w:r w:rsidRPr="00EA5E69">
        <w:rPr>
          <w:rFonts w:ascii="Times New Roman" w:eastAsia="Times New Roman" w:hAnsi="Times New Roman" w:cs="Times New Roman"/>
          <w:color w:val="auto"/>
          <w:sz w:val="22"/>
          <w:szCs w:val="22"/>
          <w:lang w:val="en-IE"/>
          <w14:ligatures w14:val="none"/>
        </w:rPr>
        <w:t xml:space="preserve">Croatia, Czech Republic, Cyprus, Denmark, France, Ireland, Portugal, Slovakia, Slovenia and Spain have requested support from the European Commission under Regulation (EU) 2021/240 establishing a Technical Support Instrument ("TSI Regulation").  The request for technical support was assessed by the European Commission in accordance with the criteria and principles referred to in Article 9 of the TSI Regulation and was selected for funding. </w:t>
      </w:r>
    </w:p>
    <w:p w14:paraId="507B1A24" w14:textId="77777777" w:rsidR="00A62E38" w:rsidRPr="00EA5E69" w:rsidRDefault="00A62E38" w:rsidP="00A62E38">
      <w:pPr>
        <w:widowControl w:val="0"/>
        <w:autoSpaceDE w:val="0"/>
        <w:autoSpaceDN w:val="0"/>
        <w:spacing w:before="120" w:after="120" w:line="240" w:lineRule="atLeast"/>
        <w:jc w:val="both"/>
        <w:rPr>
          <w:rFonts w:ascii="Times New Roman" w:eastAsia="Times New Roman" w:hAnsi="Times New Roman" w:cs="Times New Roman"/>
          <w:color w:val="auto"/>
          <w:sz w:val="22"/>
          <w:szCs w:val="22"/>
          <w:lang w:val="en-IE"/>
          <w14:ligatures w14:val="none"/>
        </w:rPr>
      </w:pPr>
      <w:r w:rsidRPr="00EA5E69">
        <w:rPr>
          <w:rFonts w:ascii="Times New Roman" w:eastAsia="Times New Roman" w:hAnsi="Times New Roman" w:cs="Times New Roman"/>
          <w:color w:val="auto"/>
          <w:sz w:val="22"/>
          <w:szCs w:val="22"/>
          <w:lang w:val="en-IE"/>
          <w14:ligatures w14:val="none"/>
        </w:rPr>
        <w:t>The national authorities that requested technical support and will benefit from this Project are:</w:t>
      </w:r>
    </w:p>
    <w:p w14:paraId="1DA6B304" w14:textId="77777777" w:rsidR="00A62E38" w:rsidRPr="00EA5E69" w:rsidRDefault="00A62E38" w:rsidP="00A62E38">
      <w:pPr>
        <w:widowControl w:val="0"/>
        <w:autoSpaceDE w:val="0"/>
        <w:autoSpaceDN w:val="0"/>
        <w:spacing w:before="120" w:after="120" w:line="240" w:lineRule="atLeast"/>
        <w:jc w:val="both"/>
        <w:rPr>
          <w:rFonts w:ascii="Times New Roman" w:eastAsia="Times New Roman" w:hAnsi="Times New Roman" w:cs="Times New Roman"/>
          <w:color w:val="auto"/>
          <w:sz w:val="22"/>
          <w:szCs w:val="22"/>
          <w:lang w:val="en-IE"/>
          <w14:ligatures w14:val="none"/>
        </w:rPr>
      </w:pPr>
      <w:r w:rsidRPr="00EA5E69">
        <w:rPr>
          <w:rFonts w:ascii="Times New Roman" w:eastAsia="Times New Roman" w:hAnsi="Times New Roman" w:cs="Times New Roman"/>
          <w:color w:val="auto"/>
          <w:sz w:val="22"/>
          <w:szCs w:val="22"/>
          <w:lang w:val="en-IE"/>
          <w14:ligatures w14:val="none"/>
        </w:rPr>
        <w:t>•</w:t>
      </w:r>
      <w:r w:rsidRPr="00EA5E69">
        <w:rPr>
          <w:rFonts w:ascii="Times New Roman" w:eastAsia="Times New Roman" w:hAnsi="Times New Roman" w:cs="Times New Roman"/>
          <w:color w:val="auto"/>
          <w:sz w:val="22"/>
          <w:szCs w:val="22"/>
          <w:lang w:val="en-IE"/>
          <w14:ligatures w14:val="none"/>
        </w:rPr>
        <w:tab/>
        <w:t>Ministry of Finance of the Republic of Croatia (</w:t>
      </w:r>
      <w:proofErr w:type="spellStart"/>
      <w:r w:rsidRPr="00EA5E69">
        <w:rPr>
          <w:rFonts w:ascii="Times New Roman" w:eastAsia="Times New Roman" w:hAnsi="Times New Roman" w:cs="Times New Roman"/>
          <w:color w:val="auto"/>
          <w:sz w:val="22"/>
          <w:szCs w:val="22"/>
          <w:lang w:val="en-IE"/>
          <w14:ligatures w14:val="none"/>
        </w:rPr>
        <w:t>Ministarstvo</w:t>
      </w:r>
      <w:proofErr w:type="spellEnd"/>
      <w:r w:rsidRPr="00EA5E69">
        <w:rPr>
          <w:rFonts w:ascii="Times New Roman" w:eastAsia="Times New Roman" w:hAnsi="Times New Roman" w:cs="Times New Roman"/>
          <w:color w:val="auto"/>
          <w:sz w:val="22"/>
          <w:szCs w:val="22"/>
          <w:lang w:val="en-IE"/>
          <w14:ligatures w14:val="none"/>
        </w:rPr>
        <w:t xml:space="preserve"> </w:t>
      </w:r>
      <w:proofErr w:type="spellStart"/>
      <w:r w:rsidRPr="00EA5E69">
        <w:rPr>
          <w:rFonts w:ascii="Times New Roman" w:eastAsia="Times New Roman" w:hAnsi="Times New Roman" w:cs="Times New Roman"/>
          <w:color w:val="auto"/>
          <w:sz w:val="22"/>
          <w:szCs w:val="22"/>
          <w:lang w:val="en-IE"/>
          <w14:ligatures w14:val="none"/>
        </w:rPr>
        <w:t>financija</w:t>
      </w:r>
      <w:proofErr w:type="spellEnd"/>
      <w:r w:rsidRPr="00EA5E69">
        <w:rPr>
          <w:rFonts w:ascii="Times New Roman" w:eastAsia="Times New Roman" w:hAnsi="Times New Roman" w:cs="Times New Roman"/>
          <w:color w:val="auto"/>
          <w:sz w:val="22"/>
          <w:szCs w:val="22"/>
          <w:lang w:val="en-IE"/>
          <w14:ligatures w14:val="none"/>
        </w:rPr>
        <w:t>)</w:t>
      </w:r>
    </w:p>
    <w:p w14:paraId="545B8953" w14:textId="5FCCB40C" w:rsidR="00A62E38" w:rsidRPr="00EA5E69" w:rsidRDefault="00A62E38" w:rsidP="00A62E38">
      <w:pPr>
        <w:widowControl w:val="0"/>
        <w:autoSpaceDE w:val="0"/>
        <w:autoSpaceDN w:val="0"/>
        <w:spacing w:before="120" w:after="120" w:line="240" w:lineRule="atLeast"/>
        <w:jc w:val="both"/>
        <w:rPr>
          <w:rFonts w:ascii="Times New Roman" w:eastAsia="Times New Roman" w:hAnsi="Times New Roman" w:cs="Times New Roman"/>
          <w:color w:val="auto"/>
          <w:sz w:val="22"/>
          <w:szCs w:val="22"/>
          <w:lang w:val="en-IE"/>
          <w14:ligatures w14:val="none"/>
        </w:rPr>
      </w:pPr>
      <w:r w:rsidRPr="00EA5E69">
        <w:rPr>
          <w:rFonts w:ascii="Times New Roman" w:eastAsia="Times New Roman" w:hAnsi="Times New Roman" w:cs="Times New Roman"/>
          <w:color w:val="auto"/>
          <w:sz w:val="22"/>
          <w:szCs w:val="22"/>
          <w:lang w:val="en-IE"/>
          <w14:ligatures w14:val="none"/>
        </w:rPr>
        <w:t>•</w:t>
      </w:r>
      <w:r w:rsidRPr="00EA5E69">
        <w:rPr>
          <w:rFonts w:ascii="Times New Roman" w:eastAsia="Times New Roman" w:hAnsi="Times New Roman" w:cs="Times New Roman"/>
          <w:color w:val="auto"/>
          <w:sz w:val="22"/>
          <w:szCs w:val="22"/>
          <w:lang w:val="en-IE"/>
          <w14:ligatures w14:val="none"/>
        </w:rPr>
        <w:tab/>
        <w:t>Ministry of Finance of Cyprus</w:t>
      </w:r>
    </w:p>
    <w:p w14:paraId="56B00DDE" w14:textId="77777777" w:rsidR="00A62E38" w:rsidRPr="00EA5E69" w:rsidRDefault="00A62E38" w:rsidP="00A62E38">
      <w:pPr>
        <w:widowControl w:val="0"/>
        <w:autoSpaceDE w:val="0"/>
        <w:autoSpaceDN w:val="0"/>
        <w:spacing w:before="120" w:after="120" w:line="240" w:lineRule="atLeast"/>
        <w:jc w:val="both"/>
        <w:rPr>
          <w:rFonts w:ascii="Times New Roman" w:eastAsia="Times New Roman" w:hAnsi="Times New Roman" w:cs="Times New Roman"/>
          <w:color w:val="auto"/>
          <w:sz w:val="22"/>
          <w:szCs w:val="22"/>
          <w:lang w:val="en-IE"/>
          <w14:ligatures w14:val="none"/>
        </w:rPr>
      </w:pPr>
      <w:r w:rsidRPr="00EA5E69">
        <w:rPr>
          <w:rFonts w:ascii="Times New Roman" w:eastAsia="Times New Roman" w:hAnsi="Times New Roman" w:cs="Times New Roman"/>
          <w:color w:val="auto"/>
          <w:sz w:val="22"/>
          <w:szCs w:val="22"/>
          <w:lang w:val="en-IE"/>
          <w14:ligatures w14:val="none"/>
        </w:rPr>
        <w:t>•</w:t>
      </w:r>
      <w:r w:rsidRPr="00EA5E69">
        <w:rPr>
          <w:rFonts w:ascii="Times New Roman" w:eastAsia="Times New Roman" w:hAnsi="Times New Roman" w:cs="Times New Roman"/>
          <w:color w:val="auto"/>
          <w:sz w:val="22"/>
          <w:szCs w:val="22"/>
          <w:lang w:val="en-IE"/>
          <w14:ligatures w14:val="none"/>
        </w:rPr>
        <w:tab/>
        <w:t>Ministry of Finance of Denmark (</w:t>
      </w:r>
      <w:proofErr w:type="spellStart"/>
      <w:r w:rsidRPr="00EA5E69">
        <w:rPr>
          <w:rFonts w:ascii="Times New Roman" w:eastAsia="Times New Roman" w:hAnsi="Times New Roman" w:cs="Times New Roman"/>
          <w:color w:val="auto"/>
          <w:sz w:val="22"/>
          <w:szCs w:val="22"/>
          <w:lang w:val="en-IE"/>
          <w14:ligatures w14:val="none"/>
        </w:rPr>
        <w:t>Finansministeriet</w:t>
      </w:r>
      <w:proofErr w:type="spellEnd"/>
      <w:r w:rsidRPr="00EA5E69">
        <w:rPr>
          <w:rFonts w:ascii="Times New Roman" w:eastAsia="Times New Roman" w:hAnsi="Times New Roman" w:cs="Times New Roman"/>
          <w:color w:val="auto"/>
          <w:sz w:val="22"/>
          <w:szCs w:val="22"/>
          <w:lang w:val="en-IE"/>
          <w14:ligatures w14:val="none"/>
        </w:rPr>
        <w:t>)</w:t>
      </w:r>
    </w:p>
    <w:p w14:paraId="3B10D9E3" w14:textId="77777777" w:rsidR="00A62E38" w:rsidRPr="000A3CE5" w:rsidRDefault="00A62E38" w:rsidP="00A62E38">
      <w:pPr>
        <w:widowControl w:val="0"/>
        <w:autoSpaceDE w:val="0"/>
        <w:autoSpaceDN w:val="0"/>
        <w:spacing w:before="120" w:after="120" w:line="240" w:lineRule="atLeast"/>
        <w:jc w:val="both"/>
        <w:rPr>
          <w:rFonts w:ascii="Times New Roman" w:eastAsia="Times New Roman" w:hAnsi="Times New Roman" w:cs="Times New Roman"/>
          <w:color w:val="auto"/>
          <w:sz w:val="22"/>
          <w:szCs w:val="22"/>
          <w:lang w:val="en-IE"/>
          <w14:ligatures w14:val="none"/>
        </w:rPr>
      </w:pPr>
      <w:r w:rsidRPr="000A3CE5">
        <w:rPr>
          <w:rFonts w:ascii="Times New Roman" w:eastAsia="Times New Roman" w:hAnsi="Times New Roman" w:cs="Times New Roman"/>
          <w:color w:val="auto"/>
          <w:sz w:val="22"/>
          <w:szCs w:val="22"/>
          <w:lang w:val="en-IE"/>
          <w14:ligatures w14:val="none"/>
        </w:rPr>
        <w:t>•</w:t>
      </w:r>
      <w:r w:rsidRPr="000A3CE5">
        <w:rPr>
          <w:rFonts w:ascii="Times New Roman" w:eastAsia="Times New Roman" w:hAnsi="Times New Roman" w:cs="Times New Roman"/>
          <w:color w:val="auto"/>
          <w:sz w:val="22"/>
          <w:szCs w:val="22"/>
          <w:lang w:val="en-IE"/>
          <w14:ligatures w14:val="none"/>
        </w:rPr>
        <w:tab/>
        <w:t xml:space="preserve">General Direction for Public Finances and Budget Directorate, Ministry of Economics, Finance and Industrial and Digital Sovereignty (Direction </w:t>
      </w:r>
      <w:proofErr w:type="spellStart"/>
      <w:r w:rsidRPr="000A3CE5">
        <w:rPr>
          <w:rFonts w:ascii="Times New Roman" w:eastAsia="Times New Roman" w:hAnsi="Times New Roman" w:cs="Times New Roman"/>
          <w:color w:val="auto"/>
          <w:sz w:val="22"/>
          <w:szCs w:val="22"/>
          <w:lang w:val="en-IE"/>
          <w14:ligatures w14:val="none"/>
        </w:rPr>
        <w:t>Générale</w:t>
      </w:r>
      <w:proofErr w:type="spellEnd"/>
      <w:r w:rsidRPr="000A3CE5">
        <w:rPr>
          <w:rFonts w:ascii="Times New Roman" w:eastAsia="Times New Roman" w:hAnsi="Times New Roman" w:cs="Times New Roman"/>
          <w:color w:val="auto"/>
          <w:sz w:val="22"/>
          <w:szCs w:val="22"/>
          <w:lang w:val="en-IE"/>
          <w14:ligatures w14:val="none"/>
        </w:rPr>
        <w:t xml:space="preserve"> des Finances </w:t>
      </w:r>
      <w:proofErr w:type="spellStart"/>
      <w:r w:rsidRPr="000A3CE5">
        <w:rPr>
          <w:rFonts w:ascii="Times New Roman" w:eastAsia="Times New Roman" w:hAnsi="Times New Roman" w:cs="Times New Roman"/>
          <w:color w:val="auto"/>
          <w:sz w:val="22"/>
          <w:szCs w:val="22"/>
          <w:lang w:val="en-IE"/>
          <w14:ligatures w14:val="none"/>
        </w:rPr>
        <w:t>Publiques</w:t>
      </w:r>
      <w:proofErr w:type="spellEnd"/>
      <w:r w:rsidRPr="000A3CE5">
        <w:rPr>
          <w:rFonts w:ascii="Times New Roman" w:eastAsia="Times New Roman" w:hAnsi="Times New Roman" w:cs="Times New Roman"/>
          <w:color w:val="auto"/>
          <w:sz w:val="22"/>
          <w:szCs w:val="22"/>
          <w:lang w:val="en-IE"/>
          <w14:ligatures w14:val="none"/>
        </w:rPr>
        <w:t xml:space="preserve"> (</w:t>
      </w:r>
      <w:proofErr w:type="spellStart"/>
      <w:r w:rsidRPr="000A3CE5">
        <w:rPr>
          <w:rFonts w:ascii="Times New Roman" w:eastAsia="Times New Roman" w:hAnsi="Times New Roman" w:cs="Times New Roman"/>
          <w:color w:val="auto"/>
          <w:sz w:val="22"/>
          <w:szCs w:val="22"/>
          <w:lang w:val="en-IE"/>
          <w14:ligatures w14:val="none"/>
        </w:rPr>
        <w:t>DGFiP</w:t>
      </w:r>
      <w:proofErr w:type="spellEnd"/>
      <w:r w:rsidRPr="000A3CE5">
        <w:rPr>
          <w:rFonts w:ascii="Times New Roman" w:eastAsia="Times New Roman" w:hAnsi="Times New Roman" w:cs="Times New Roman"/>
          <w:color w:val="auto"/>
          <w:sz w:val="22"/>
          <w:szCs w:val="22"/>
          <w:lang w:val="en-IE"/>
          <w14:ligatures w14:val="none"/>
        </w:rPr>
        <w:t>) and Direction du Budget (</w:t>
      </w:r>
      <w:proofErr w:type="spellStart"/>
      <w:r w:rsidRPr="000A3CE5">
        <w:rPr>
          <w:rFonts w:ascii="Times New Roman" w:eastAsia="Times New Roman" w:hAnsi="Times New Roman" w:cs="Times New Roman"/>
          <w:color w:val="auto"/>
          <w:sz w:val="22"/>
          <w:szCs w:val="22"/>
          <w:lang w:val="en-IE"/>
          <w14:ligatures w14:val="none"/>
        </w:rPr>
        <w:t>Ministère</w:t>
      </w:r>
      <w:proofErr w:type="spellEnd"/>
      <w:r w:rsidRPr="000A3CE5">
        <w:rPr>
          <w:rFonts w:ascii="Times New Roman" w:eastAsia="Times New Roman" w:hAnsi="Times New Roman" w:cs="Times New Roman"/>
          <w:color w:val="auto"/>
          <w:sz w:val="22"/>
          <w:szCs w:val="22"/>
          <w:lang w:val="en-IE"/>
          <w14:ligatures w14:val="none"/>
        </w:rPr>
        <w:t xml:space="preserve"> de </w:t>
      </w:r>
      <w:proofErr w:type="spellStart"/>
      <w:r w:rsidRPr="000A3CE5">
        <w:rPr>
          <w:rFonts w:ascii="Times New Roman" w:eastAsia="Times New Roman" w:hAnsi="Times New Roman" w:cs="Times New Roman"/>
          <w:color w:val="auto"/>
          <w:sz w:val="22"/>
          <w:szCs w:val="22"/>
          <w:lang w:val="en-IE"/>
          <w14:ligatures w14:val="none"/>
        </w:rPr>
        <w:t>l’Économie</w:t>
      </w:r>
      <w:proofErr w:type="spellEnd"/>
      <w:r w:rsidRPr="000A3CE5">
        <w:rPr>
          <w:rFonts w:ascii="Times New Roman" w:eastAsia="Times New Roman" w:hAnsi="Times New Roman" w:cs="Times New Roman"/>
          <w:color w:val="auto"/>
          <w:sz w:val="22"/>
          <w:szCs w:val="22"/>
          <w:lang w:val="en-IE"/>
          <w14:ligatures w14:val="none"/>
        </w:rPr>
        <w:t xml:space="preserve">, des Finances et de </w:t>
      </w:r>
      <w:proofErr w:type="spellStart"/>
      <w:r w:rsidRPr="000A3CE5">
        <w:rPr>
          <w:rFonts w:ascii="Times New Roman" w:eastAsia="Times New Roman" w:hAnsi="Times New Roman" w:cs="Times New Roman"/>
          <w:color w:val="auto"/>
          <w:sz w:val="22"/>
          <w:szCs w:val="22"/>
          <w:lang w:val="en-IE"/>
          <w14:ligatures w14:val="none"/>
        </w:rPr>
        <w:t>l’Industrie</w:t>
      </w:r>
      <w:proofErr w:type="spellEnd"/>
      <w:r w:rsidRPr="000A3CE5">
        <w:rPr>
          <w:rFonts w:ascii="Times New Roman" w:eastAsia="Times New Roman" w:hAnsi="Times New Roman" w:cs="Times New Roman"/>
          <w:color w:val="auto"/>
          <w:sz w:val="22"/>
          <w:szCs w:val="22"/>
          <w:lang w:val="en-IE"/>
          <w14:ligatures w14:val="none"/>
        </w:rPr>
        <w:t>)</w:t>
      </w:r>
    </w:p>
    <w:p w14:paraId="1083A3F2" w14:textId="77777777" w:rsidR="00A62E38" w:rsidRPr="00EA5E69" w:rsidRDefault="00A62E38" w:rsidP="00A62E38">
      <w:pPr>
        <w:widowControl w:val="0"/>
        <w:autoSpaceDE w:val="0"/>
        <w:autoSpaceDN w:val="0"/>
        <w:spacing w:before="120" w:after="120" w:line="240" w:lineRule="atLeast"/>
        <w:jc w:val="both"/>
        <w:rPr>
          <w:rFonts w:ascii="Times New Roman" w:eastAsia="Times New Roman" w:hAnsi="Times New Roman" w:cs="Times New Roman"/>
          <w:color w:val="auto"/>
          <w:sz w:val="22"/>
          <w:szCs w:val="22"/>
          <w:lang w:val="en-IE"/>
          <w14:ligatures w14:val="none"/>
        </w:rPr>
      </w:pPr>
      <w:r w:rsidRPr="00EA5E69">
        <w:rPr>
          <w:rFonts w:ascii="Times New Roman" w:eastAsia="Times New Roman" w:hAnsi="Times New Roman" w:cs="Times New Roman"/>
          <w:color w:val="auto"/>
          <w:sz w:val="22"/>
          <w:szCs w:val="22"/>
          <w:lang w:val="en-IE"/>
          <w14:ligatures w14:val="none"/>
        </w:rPr>
        <w:t>•</w:t>
      </w:r>
      <w:r w:rsidRPr="00EA5E69">
        <w:rPr>
          <w:rFonts w:ascii="Times New Roman" w:eastAsia="Times New Roman" w:hAnsi="Times New Roman" w:cs="Times New Roman"/>
          <w:color w:val="auto"/>
          <w:sz w:val="22"/>
          <w:szCs w:val="22"/>
          <w:lang w:val="en-IE"/>
          <w14:ligatures w14:val="none"/>
        </w:rPr>
        <w:tab/>
        <w:t xml:space="preserve">Department of Public Expenditure and Reform, Department of Finance of Ireland (An </w:t>
      </w:r>
      <w:proofErr w:type="spellStart"/>
      <w:r w:rsidRPr="00EA5E69">
        <w:rPr>
          <w:rFonts w:ascii="Times New Roman" w:eastAsia="Times New Roman" w:hAnsi="Times New Roman" w:cs="Times New Roman"/>
          <w:color w:val="auto"/>
          <w:sz w:val="22"/>
          <w:szCs w:val="22"/>
          <w:lang w:val="en-IE"/>
          <w14:ligatures w14:val="none"/>
        </w:rPr>
        <w:t>Roinn</w:t>
      </w:r>
      <w:proofErr w:type="spellEnd"/>
      <w:r w:rsidRPr="00EA5E69">
        <w:rPr>
          <w:rFonts w:ascii="Times New Roman" w:eastAsia="Times New Roman" w:hAnsi="Times New Roman" w:cs="Times New Roman"/>
          <w:color w:val="auto"/>
          <w:sz w:val="22"/>
          <w:szCs w:val="22"/>
          <w:lang w:val="en-IE"/>
          <w14:ligatures w14:val="none"/>
        </w:rPr>
        <w:t xml:space="preserve"> </w:t>
      </w:r>
      <w:proofErr w:type="spellStart"/>
      <w:r w:rsidRPr="00EA5E69">
        <w:rPr>
          <w:rFonts w:ascii="Times New Roman" w:eastAsia="Times New Roman" w:hAnsi="Times New Roman" w:cs="Times New Roman"/>
          <w:color w:val="auto"/>
          <w:sz w:val="22"/>
          <w:szCs w:val="22"/>
          <w:lang w:val="en-IE"/>
          <w14:ligatures w14:val="none"/>
        </w:rPr>
        <w:t>Caiteachais</w:t>
      </w:r>
      <w:proofErr w:type="spellEnd"/>
      <w:r w:rsidRPr="00EA5E69">
        <w:rPr>
          <w:rFonts w:ascii="Times New Roman" w:eastAsia="Times New Roman" w:hAnsi="Times New Roman" w:cs="Times New Roman"/>
          <w:color w:val="auto"/>
          <w:sz w:val="22"/>
          <w:szCs w:val="22"/>
          <w:lang w:val="en-IE"/>
          <w14:ligatures w14:val="none"/>
        </w:rPr>
        <w:t xml:space="preserve"> </w:t>
      </w:r>
      <w:proofErr w:type="spellStart"/>
      <w:r w:rsidRPr="00EA5E69">
        <w:rPr>
          <w:rFonts w:ascii="Times New Roman" w:eastAsia="Times New Roman" w:hAnsi="Times New Roman" w:cs="Times New Roman"/>
          <w:color w:val="auto"/>
          <w:sz w:val="22"/>
          <w:szCs w:val="22"/>
          <w:lang w:val="en-IE"/>
          <w14:ligatures w14:val="none"/>
        </w:rPr>
        <w:t>Phoiblí</w:t>
      </w:r>
      <w:proofErr w:type="spellEnd"/>
      <w:r w:rsidRPr="00EA5E69">
        <w:rPr>
          <w:rFonts w:ascii="Times New Roman" w:eastAsia="Times New Roman" w:hAnsi="Times New Roman" w:cs="Times New Roman"/>
          <w:color w:val="auto"/>
          <w:sz w:val="22"/>
          <w:szCs w:val="22"/>
          <w:lang w:val="en-IE"/>
          <w14:ligatures w14:val="none"/>
        </w:rPr>
        <w:t xml:space="preserve">, </w:t>
      </w:r>
      <w:proofErr w:type="spellStart"/>
      <w:r w:rsidRPr="00EA5E69">
        <w:rPr>
          <w:rFonts w:ascii="Times New Roman" w:eastAsia="Times New Roman" w:hAnsi="Times New Roman" w:cs="Times New Roman"/>
          <w:color w:val="auto"/>
          <w:sz w:val="22"/>
          <w:szCs w:val="22"/>
          <w:lang w:val="en-IE"/>
          <w14:ligatures w14:val="none"/>
        </w:rPr>
        <w:t>Bonneagair</w:t>
      </w:r>
      <w:proofErr w:type="spellEnd"/>
      <w:r w:rsidRPr="00EA5E69">
        <w:rPr>
          <w:rFonts w:ascii="Times New Roman" w:eastAsia="Times New Roman" w:hAnsi="Times New Roman" w:cs="Times New Roman"/>
          <w:color w:val="auto"/>
          <w:sz w:val="22"/>
          <w:szCs w:val="22"/>
          <w:lang w:val="en-IE"/>
          <w14:ligatures w14:val="none"/>
        </w:rPr>
        <w:t xml:space="preserve">, </w:t>
      </w:r>
      <w:proofErr w:type="spellStart"/>
      <w:r w:rsidRPr="00EA5E69">
        <w:rPr>
          <w:rFonts w:ascii="Times New Roman" w:eastAsia="Times New Roman" w:hAnsi="Times New Roman" w:cs="Times New Roman"/>
          <w:color w:val="auto"/>
          <w:sz w:val="22"/>
          <w:szCs w:val="22"/>
          <w:lang w:val="en-IE"/>
          <w14:ligatures w14:val="none"/>
        </w:rPr>
        <w:t>Seirbhísí</w:t>
      </w:r>
      <w:proofErr w:type="spellEnd"/>
      <w:r w:rsidRPr="00EA5E69">
        <w:rPr>
          <w:rFonts w:ascii="Times New Roman" w:eastAsia="Times New Roman" w:hAnsi="Times New Roman" w:cs="Times New Roman"/>
          <w:color w:val="auto"/>
          <w:sz w:val="22"/>
          <w:szCs w:val="22"/>
          <w:lang w:val="en-IE"/>
          <w14:ligatures w14:val="none"/>
        </w:rPr>
        <w:t xml:space="preserve"> </w:t>
      </w:r>
      <w:proofErr w:type="spellStart"/>
      <w:r w:rsidRPr="00EA5E69">
        <w:rPr>
          <w:rFonts w:ascii="Times New Roman" w:eastAsia="Times New Roman" w:hAnsi="Times New Roman" w:cs="Times New Roman"/>
          <w:color w:val="auto"/>
          <w:sz w:val="22"/>
          <w:szCs w:val="22"/>
          <w:lang w:val="en-IE"/>
          <w14:ligatures w14:val="none"/>
        </w:rPr>
        <w:t>Poiblí</w:t>
      </w:r>
      <w:proofErr w:type="spellEnd"/>
      <w:r w:rsidRPr="00EA5E69">
        <w:rPr>
          <w:rFonts w:ascii="Times New Roman" w:eastAsia="Times New Roman" w:hAnsi="Times New Roman" w:cs="Times New Roman"/>
          <w:color w:val="auto"/>
          <w:sz w:val="22"/>
          <w:szCs w:val="22"/>
          <w:lang w:val="en-IE"/>
          <w14:ligatures w14:val="none"/>
        </w:rPr>
        <w:t xml:space="preserve">, </w:t>
      </w:r>
      <w:proofErr w:type="spellStart"/>
      <w:r w:rsidRPr="00EA5E69">
        <w:rPr>
          <w:rFonts w:ascii="Times New Roman" w:eastAsia="Times New Roman" w:hAnsi="Times New Roman" w:cs="Times New Roman"/>
          <w:color w:val="auto"/>
          <w:sz w:val="22"/>
          <w:szCs w:val="22"/>
          <w:lang w:val="en-IE"/>
          <w14:ligatures w14:val="none"/>
        </w:rPr>
        <w:t>Athchóirithe</w:t>
      </w:r>
      <w:proofErr w:type="spellEnd"/>
      <w:r w:rsidRPr="00EA5E69">
        <w:rPr>
          <w:rFonts w:ascii="Times New Roman" w:eastAsia="Times New Roman" w:hAnsi="Times New Roman" w:cs="Times New Roman"/>
          <w:color w:val="auto"/>
          <w:sz w:val="22"/>
          <w:szCs w:val="22"/>
          <w:lang w:val="en-IE"/>
          <w14:ligatures w14:val="none"/>
        </w:rPr>
        <w:t xml:space="preserve"> </w:t>
      </w:r>
      <w:proofErr w:type="spellStart"/>
      <w:r w:rsidRPr="00EA5E69">
        <w:rPr>
          <w:rFonts w:ascii="Times New Roman" w:eastAsia="Times New Roman" w:hAnsi="Times New Roman" w:cs="Times New Roman"/>
          <w:color w:val="auto"/>
          <w:sz w:val="22"/>
          <w:szCs w:val="22"/>
          <w:lang w:val="en-IE"/>
          <w14:ligatures w14:val="none"/>
        </w:rPr>
        <w:t>agus</w:t>
      </w:r>
      <w:proofErr w:type="spellEnd"/>
      <w:r w:rsidRPr="00EA5E69">
        <w:rPr>
          <w:rFonts w:ascii="Times New Roman" w:eastAsia="Times New Roman" w:hAnsi="Times New Roman" w:cs="Times New Roman"/>
          <w:color w:val="auto"/>
          <w:sz w:val="22"/>
          <w:szCs w:val="22"/>
          <w:lang w:val="en-IE"/>
          <w14:ligatures w14:val="none"/>
        </w:rPr>
        <w:t xml:space="preserve"> </w:t>
      </w:r>
      <w:proofErr w:type="spellStart"/>
      <w:r w:rsidRPr="00EA5E69">
        <w:rPr>
          <w:rFonts w:ascii="Times New Roman" w:eastAsia="Times New Roman" w:hAnsi="Times New Roman" w:cs="Times New Roman"/>
          <w:color w:val="auto"/>
          <w:sz w:val="22"/>
          <w:szCs w:val="22"/>
          <w:lang w:val="en-IE"/>
          <w14:ligatures w14:val="none"/>
        </w:rPr>
        <w:t>Digiteachaithe</w:t>
      </w:r>
      <w:proofErr w:type="spellEnd"/>
      <w:r w:rsidRPr="00EA5E69">
        <w:rPr>
          <w:rFonts w:ascii="Times New Roman" w:eastAsia="Times New Roman" w:hAnsi="Times New Roman" w:cs="Times New Roman"/>
          <w:color w:val="auto"/>
          <w:sz w:val="22"/>
          <w:szCs w:val="22"/>
          <w:lang w:val="en-IE"/>
          <w14:ligatures w14:val="none"/>
        </w:rPr>
        <w:t>)</w:t>
      </w:r>
    </w:p>
    <w:p w14:paraId="25354386" w14:textId="77777777" w:rsidR="00A62E38" w:rsidRPr="00EA5E69" w:rsidRDefault="00A62E38" w:rsidP="00A62E38">
      <w:pPr>
        <w:widowControl w:val="0"/>
        <w:autoSpaceDE w:val="0"/>
        <w:autoSpaceDN w:val="0"/>
        <w:spacing w:before="120" w:after="120" w:line="240" w:lineRule="atLeast"/>
        <w:jc w:val="both"/>
        <w:rPr>
          <w:rFonts w:ascii="Times New Roman" w:eastAsia="Times New Roman" w:hAnsi="Times New Roman" w:cs="Times New Roman"/>
          <w:color w:val="auto"/>
          <w:sz w:val="22"/>
          <w:szCs w:val="22"/>
          <w:lang w:val="en-IE"/>
          <w14:ligatures w14:val="none"/>
        </w:rPr>
      </w:pPr>
      <w:r w:rsidRPr="00EA5E69">
        <w:rPr>
          <w:rFonts w:ascii="Times New Roman" w:eastAsia="Times New Roman" w:hAnsi="Times New Roman" w:cs="Times New Roman"/>
          <w:color w:val="auto"/>
          <w:sz w:val="22"/>
          <w:szCs w:val="22"/>
          <w:lang w:val="en-IE"/>
          <w14:ligatures w14:val="none"/>
        </w:rPr>
        <w:t>•</w:t>
      </w:r>
      <w:r w:rsidRPr="00EA5E69">
        <w:rPr>
          <w:rFonts w:ascii="Times New Roman" w:eastAsia="Times New Roman" w:hAnsi="Times New Roman" w:cs="Times New Roman"/>
          <w:color w:val="auto"/>
          <w:sz w:val="22"/>
          <w:szCs w:val="22"/>
          <w:lang w:val="en-IE"/>
          <w14:ligatures w14:val="none"/>
        </w:rPr>
        <w:tab/>
        <w:t>Office for Economic Policy and International Affairs, Ministry of Finance (</w:t>
      </w:r>
      <w:proofErr w:type="spellStart"/>
      <w:r w:rsidRPr="00EA5E69">
        <w:rPr>
          <w:rFonts w:ascii="Times New Roman" w:eastAsia="Times New Roman" w:hAnsi="Times New Roman" w:cs="Times New Roman"/>
          <w:color w:val="auto"/>
          <w:sz w:val="22"/>
          <w:szCs w:val="22"/>
          <w:lang w:val="en-IE"/>
          <w14:ligatures w14:val="none"/>
        </w:rPr>
        <w:t>Gabinete</w:t>
      </w:r>
      <w:proofErr w:type="spellEnd"/>
      <w:r w:rsidRPr="00EA5E69">
        <w:rPr>
          <w:rFonts w:ascii="Times New Roman" w:eastAsia="Times New Roman" w:hAnsi="Times New Roman" w:cs="Times New Roman"/>
          <w:color w:val="auto"/>
          <w:sz w:val="22"/>
          <w:szCs w:val="22"/>
          <w:lang w:val="en-IE"/>
          <w14:ligatures w14:val="none"/>
        </w:rPr>
        <w:t xml:space="preserve"> de </w:t>
      </w:r>
      <w:proofErr w:type="spellStart"/>
      <w:r w:rsidRPr="00EA5E69">
        <w:rPr>
          <w:rFonts w:ascii="Times New Roman" w:eastAsia="Times New Roman" w:hAnsi="Times New Roman" w:cs="Times New Roman"/>
          <w:color w:val="auto"/>
          <w:sz w:val="22"/>
          <w:szCs w:val="22"/>
          <w:lang w:val="en-IE"/>
          <w14:ligatures w14:val="none"/>
        </w:rPr>
        <w:t>Planeamento</w:t>
      </w:r>
      <w:proofErr w:type="spellEnd"/>
      <w:r w:rsidRPr="00EA5E69">
        <w:rPr>
          <w:rFonts w:ascii="Times New Roman" w:eastAsia="Times New Roman" w:hAnsi="Times New Roman" w:cs="Times New Roman"/>
          <w:color w:val="auto"/>
          <w:sz w:val="22"/>
          <w:szCs w:val="22"/>
          <w:lang w:val="en-IE"/>
          <w14:ligatures w14:val="none"/>
        </w:rPr>
        <w:t xml:space="preserve">, </w:t>
      </w:r>
      <w:proofErr w:type="spellStart"/>
      <w:r w:rsidRPr="00EA5E69">
        <w:rPr>
          <w:rFonts w:ascii="Times New Roman" w:eastAsia="Times New Roman" w:hAnsi="Times New Roman" w:cs="Times New Roman"/>
          <w:color w:val="auto"/>
          <w:sz w:val="22"/>
          <w:szCs w:val="22"/>
          <w:lang w:val="en-IE"/>
          <w14:ligatures w14:val="none"/>
        </w:rPr>
        <w:t>Estratégia</w:t>
      </w:r>
      <w:proofErr w:type="spellEnd"/>
      <w:r w:rsidRPr="00EA5E69">
        <w:rPr>
          <w:rFonts w:ascii="Times New Roman" w:eastAsia="Times New Roman" w:hAnsi="Times New Roman" w:cs="Times New Roman"/>
          <w:color w:val="auto"/>
          <w:sz w:val="22"/>
          <w:szCs w:val="22"/>
          <w:lang w:val="en-IE"/>
          <w14:ligatures w14:val="none"/>
        </w:rPr>
        <w:t xml:space="preserve">, </w:t>
      </w:r>
      <w:proofErr w:type="spellStart"/>
      <w:r w:rsidRPr="00EA5E69">
        <w:rPr>
          <w:rFonts w:ascii="Times New Roman" w:eastAsia="Times New Roman" w:hAnsi="Times New Roman" w:cs="Times New Roman"/>
          <w:color w:val="auto"/>
          <w:sz w:val="22"/>
          <w:szCs w:val="22"/>
          <w:lang w:val="en-IE"/>
          <w14:ligatures w14:val="none"/>
        </w:rPr>
        <w:t>Avaliação</w:t>
      </w:r>
      <w:proofErr w:type="spellEnd"/>
      <w:r w:rsidRPr="00EA5E69">
        <w:rPr>
          <w:rFonts w:ascii="Times New Roman" w:eastAsia="Times New Roman" w:hAnsi="Times New Roman" w:cs="Times New Roman"/>
          <w:color w:val="auto"/>
          <w:sz w:val="22"/>
          <w:szCs w:val="22"/>
          <w:lang w:val="en-IE"/>
          <w14:ligatures w14:val="none"/>
        </w:rPr>
        <w:t xml:space="preserve"> e </w:t>
      </w:r>
      <w:proofErr w:type="spellStart"/>
      <w:r w:rsidRPr="00EA5E69">
        <w:rPr>
          <w:rFonts w:ascii="Times New Roman" w:eastAsia="Times New Roman" w:hAnsi="Times New Roman" w:cs="Times New Roman"/>
          <w:color w:val="auto"/>
          <w:sz w:val="22"/>
          <w:szCs w:val="22"/>
          <w:lang w:val="en-IE"/>
          <w14:ligatures w14:val="none"/>
        </w:rPr>
        <w:t>Relações</w:t>
      </w:r>
      <w:proofErr w:type="spellEnd"/>
      <w:r w:rsidRPr="00EA5E69">
        <w:rPr>
          <w:rFonts w:ascii="Times New Roman" w:eastAsia="Times New Roman" w:hAnsi="Times New Roman" w:cs="Times New Roman"/>
          <w:color w:val="auto"/>
          <w:sz w:val="22"/>
          <w:szCs w:val="22"/>
          <w:lang w:val="en-IE"/>
          <w14:ligatures w14:val="none"/>
        </w:rPr>
        <w:t xml:space="preserve"> </w:t>
      </w:r>
      <w:proofErr w:type="spellStart"/>
      <w:r w:rsidRPr="00EA5E69">
        <w:rPr>
          <w:rFonts w:ascii="Times New Roman" w:eastAsia="Times New Roman" w:hAnsi="Times New Roman" w:cs="Times New Roman"/>
          <w:color w:val="auto"/>
          <w:sz w:val="22"/>
          <w:szCs w:val="22"/>
          <w:lang w:val="en-IE"/>
          <w14:ligatures w14:val="none"/>
        </w:rPr>
        <w:t>Internacionais</w:t>
      </w:r>
      <w:proofErr w:type="spellEnd"/>
      <w:r w:rsidRPr="00EA5E69">
        <w:rPr>
          <w:rFonts w:ascii="Times New Roman" w:eastAsia="Times New Roman" w:hAnsi="Times New Roman" w:cs="Times New Roman"/>
          <w:color w:val="auto"/>
          <w:sz w:val="22"/>
          <w:szCs w:val="22"/>
          <w:lang w:val="en-IE"/>
          <w14:ligatures w14:val="none"/>
        </w:rPr>
        <w:t xml:space="preserve"> (GPEARI) – </w:t>
      </w:r>
      <w:proofErr w:type="spellStart"/>
      <w:r w:rsidRPr="00EA5E69">
        <w:rPr>
          <w:rFonts w:ascii="Times New Roman" w:eastAsia="Times New Roman" w:hAnsi="Times New Roman" w:cs="Times New Roman"/>
          <w:color w:val="auto"/>
          <w:sz w:val="22"/>
          <w:szCs w:val="22"/>
          <w:lang w:val="en-IE"/>
          <w14:ligatures w14:val="none"/>
        </w:rPr>
        <w:t>Ministério</w:t>
      </w:r>
      <w:proofErr w:type="spellEnd"/>
      <w:r w:rsidRPr="00EA5E69">
        <w:rPr>
          <w:rFonts w:ascii="Times New Roman" w:eastAsia="Times New Roman" w:hAnsi="Times New Roman" w:cs="Times New Roman"/>
          <w:color w:val="auto"/>
          <w:sz w:val="22"/>
          <w:szCs w:val="22"/>
          <w:lang w:val="en-IE"/>
          <w14:ligatures w14:val="none"/>
        </w:rPr>
        <w:t xml:space="preserve"> das </w:t>
      </w:r>
      <w:proofErr w:type="spellStart"/>
      <w:r w:rsidRPr="00EA5E69">
        <w:rPr>
          <w:rFonts w:ascii="Times New Roman" w:eastAsia="Times New Roman" w:hAnsi="Times New Roman" w:cs="Times New Roman"/>
          <w:color w:val="auto"/>
          <w:sz w:val="22"/>
          <w:szCs w:val="22"/>
          <w:lang w:val="en-IE"/>
          <w14:ligatures w14:val="none"/>
        </w:rPr>
        <w:t>Finanças</w:t>
      </w:r>
      <w:proofErr w:type="spellEnd"/>
      <w:r w:rsidRPr="00EA5E69">
        <w:rPr>
          <w:rFonts w:ascii="Times New Roman" w:eastAsia="Times New Roman" w:hAnsi="Times New Roman" w:cs="Times New Roman"/>
          <w:color w:val="auto"/>
          <w:sz w:val="22"/>
          <w:szCs w:val="22"/>
          <w:lang w:val="en-IE"/>
          <w14:ligatures w14:val="none"/>
        </w:rPr>
        <w:t>)</w:t>
      </w:r>
    </w:p>
    <w:p w14:paraId="076C1F89" w14:textId="77777777" w:rsidR="00A62E38" w:rsidRPr="00EA5E69" w:rsidRDefault="00A62E38" w:rsidP="00A62E38">
      <w:pPr>
        <w:widowControl w:val="0"/>
        <w:autoSpaceDE w:val="0"/>
        <w:autoSpaceDN w:val="0"/>
        <w:spacing w:before="120" w:after="120" w:line="240" w:lineRule="atLeast"/>
        <w:jc w:val="both"/>
        <w:rPr>
          <w:rFonts w:ascii="Times New Roman" w:eastAsia="Times New Roman" w:hAnsi="Times New Roman" w:cs="Times New Roman"/>
          <w:color w:val="auto"/>
          <w:sz w:val="22"/>
          <w:szCs w:val="22"/>
          <w:lang w:val="en-IE"/>
          <w14:ligatures w14:val="none"/>
        </w:rPr>
      </w:pPr>
      <w:r w:rsidRPr="00EA5E69">
        <w:rPr>
          <w:rFonts w:ascii="Times New Roman" w:eastAsia="Times New Roman" w:hAnsi="Times New Roman" w:cs="Times New Roman"/>
          <w:color w:val="auto"/>
          <w:sz w:val="22"/>
          <w:szCs w:val="22"/>
          <w:lang w:val="en-IE"/>
          <w14:ligatures w14:val="none"/>
        </w:rPr>
        <w:t>•</w:t>
      </w:r>
      <w:r w:rsidRPr="00EA5E69">
        <w:rPr>
          <w:rFonts w:ascii="Times New Roman" w:eastAsia="Times New Roman" w:hAnsi="Times New Roman" w:cs="Times New Roman"/>
          <w:color w:val="auto"/>
          <w:sz w:val="22"/>
          <w:szCs w:val="22"/>
          <w:lang w:val="en-IE"/>
          <w14:ligatures w14:val="none"/>
        </w:rPr>
        <w:tab/>
        <w:t>Ministry of Environment of Slovakia (</w:t>
      </w:r>
      <w:proofErr w:type="spellStart"/>
      <w:r w:rsidRPr="00EA5E69">
        <w:rPr>
          <w:rFonts w:ascii="Times New Roman" w:eastAsia="Times New Roman" w:hAnsi="Times New Roman" w:cs="Times New Roman"/>
          <w:color w:val="auto"/>
          <w:sz w:val="22"/>
          <w:szCs w:val="22"/>
          <w:lang w:val="en-IE"/>
          <w14:ligatures w14:val="none"/>
        </w:rPr>
        <w:t>Ministerstvo</w:t>
      </w:r>
      <w:proofErr w:type="spellEnd"/>
      <w:r w:rsidRPr="00EA5E69">
        <w:rPr>
          <w:rFonts w:ascii="Times New Roman" w:eastAsia="Times New Roman" w:hAnsi="Times New Roman" w:cs="Times New Roman"/>
          <w:color w:val="auto"/>
          <w:sz w:val="22"/>
          <w:szCs w:val="22"/>
          <w:lang w:val="en-IE"/>
          <w14:ligatures w14:val="none"/>
        </w:rPr>
        <w:t xml:space="preserve"> </w:t>
      </w:r>
      <w:proofErr w:type="spellStart"/>
      <w:r w:rsidRPr="00EA5E69">
        <w:rPr>
          <w:rFonts w:ascii="Times New Roman" w:eastAsia="Times New Roman" w:hAnsi="Times New Roman" w:cs="Times New Roman"/>
          <w:color w:val="auto"/>
          <w:sz w:val="22"/>
          <w:szCs w:val="22"/>
          <w:lang w:val="en-IE"/>
          <w14:ligatures w14:val="none"/>
        </w:rPr>
        <w:t>životného</w:t>
      </w:r>
      <w:proofErr w:type="spellEnd"/>
      <w:r w:rsidRPr="00EA5E69">
        <w:rPr>
          <w:rFonts w:ascii="Times New Roman" w:eastAsia="Times New Roman" w:hAnsi="Times New Roman" w:cs="Times New Roman"/>
          <w:color w:val="auto"/>
          <w:sz w:val="22"/>
          <w:szCs w:val="22"/>
          <w:lang w:val="en-IE"/>
          <w14:ligatures w14:val="none"/>
        </w:rPr>
        <w:t xml:space="preserve"> </w:t>
      </w:r>
      <w:proofErr w:type="spellStart"/>
      <w:r w:rsidRPr="00EA5E69">
        <w:rPr>
          <w:rFonts w:ascii="Times New Roman" w:eastAsia="Times New Roman" w:hAnsi="Times New Roman" w:cs="Times New Roman"/>
          <w:color w:val="auto"/>
          <w:sz w:val="22"/>
          <w:szCs w:val="22"/>
          <w:lang w:val="en-IE"/>
          <w14:ligatures w14:val="none"/>
        </w:rPr>
        <w:t>prostredia</w:t>
      </w:r>
      <w:proofErr w:type="spellEnd"/>
      <w:r w:rsidRPr="00EA5E69">
        <w:rPr>
          <w:rFonts w:ascii="Times New Roman" w:eastAsia="Times New Roman" w:hAnsi="Times New Roman" w:cs="Times New Roman"/>
          <w:color w:val="auto"/>
          <w:sz w:val="22"/>
          <w:szCs w:val="22"/>
          <w:lang w:val="en-IE"/>
          <w14:ligatures w14:val="none"/>
        </w:rPr>
        <w:t xml:space="preserve"> </w:t>
      </w:r>
      <w:proofErr w:type="spellStart"/>
      <w:r w:rsidRPr="00EA5E69">
        <w:rPr>
          <w:rFonts w:ascii="Times New Roman" w:eastAsia="Times New Roman" w:hAnsi="Times New Roman" w:cs="Times New Roman"/>
          <w:color w:val="auto"/>
          <w:sz w:val="22"/>
          <w:szCs w:val="22"/>
          <w:lang w:val="en-IE"/>
          <w14:ligatures w14:val="none"/>
        </w:rPr>
        <w:t>Slovenskej</w:t>
      </w:r>
      <w:proofErr w:type="spellEnd"/>
      <w:r w:rsidRPr="00EA5E69">
        <w:rPr>
          <w:rFonts w:ascii="Times New Roman" w:eastAsia="Times New Roman" w:hAnsi="Times New Roman" w:cs="Times New Roman"/>
          <w:color w:val="auto"/>
          <w:sz w:val="22"/>
          <w:szCs w:val="22"/>
          <w:lang w:val="en-IE"/>
          <w14:ligatures w14:val="none"/>
        </w:rPr>
        <w:t xml:space="preserve"> </w:t>
      </w:r>
      <w:proofErr w:type="spellStart"/>
      <w:r w:rsidRPr="00EA5E69">
        <w:rPr>
          <w:rFonts w:ascii="Times New Roman" w:eastAsia="Times New Roman" w:hAnsi="Times New Roman" w:cs="Times New Roman"/>
          <w:color w:val="auto"/>
          <w:sz w:val="22"/>
          <w:szCs w:val="22"/>
          <w:lang w:val="en-IE"/>
          <w14:ligatures w14:val="none"/>
        </w:rPr>
        <w:t>republiky</w:t>
      </w:r>
      <w:proofErr w:type="spellEnd"/>
      <w:r w:rsidRPr="00EA5E69">
        <w:rPr>
          <w:rFonts w:ascii="Times New Roman" w:eastAsia="Times New Roman" w:hAnsi="Times New Roman" w:cs="Times New Roman"/>
          <w:color w:val="auto"/>
          <w:sz w:val="22"/>
          <w:szCs w:val="22"/>
          <w:lang w:val="en-IE"/>
          <w14:ligatures w14:val="none"/>
        </w:rPr>
        <w:t>)</w:t>
      </w:r>
    </w:p>
    <w:p w14:paraId="5A02728E" w14:textId="77777777" w:rsidR="00A62E38" w:rsidRPr="00EA5E69" w:rsidRDefault="00A62E38" w:rsidP="00A62E38">
      <w:pPr>
        <w:widowControl w:val="0"/>
        <w:autoSpaceDE w:val="0"/>
        <w:autoSpaceDN w:val="0"/>
        <w:spacing w:before="120" w:after="120" w:line="240" w:lineRule="atLeast"/>
        <w:jc w:val="both"/>
        <w:rPr>
          <w:rFonts w:ascii="Times New Roman" w:eastAsia="Times New Roman" w:hAnsi="Times New Roman" w:cs="Times New Roman"/>
          <w:color w:val="auto"/>
          <w:sz w:val="22"/>
          <w:szCs w:val="22"/>
          <w:lang w:val="en-IE"/>
          <w14:ligatures w14:val="none"/>
        </w:rPr>
      </w:pPr>
      <w:r w:rsidRPr="00EA5E69">
        <w:rPr>
          <w:rFonts w:ascii="Times New Roman" w:eastAsia="Times New Roman" w:hAnsi="Times New Roman" w:cs="Times New Roman"/>
          <w:color w:val="auto"/>
          <w:sz w:val="22"/>
          <w:szCs w:val="22"/>
          <w:lang w:val="en-IE"/>
          <w14:ligatures w14:val="none"/>
        </w:rPr>
        <w:t>•</w:t>
      </w:r>
      <w:r w:rsidRPr="00EA5E69">
        <w:rPr>
          <w:rFonts w:ascii="Times New Roman" w:eastAsia="Times New Roman" w:hAnsi="Times New Roman" w:cs="Times New Roman"/>
          <w:color w:val="auto"/>
          <w:sz w:val="22"/>
          <w:szCs w:val="22"/>
          <w:lang w:val="en-IE"/>
          <w14:ligatures w14:val="none"/>
        </w:rPr>
        <w:tab/>
        <w:t>Ministry of Finance of Slovenia (</w:t>
      </w:r>
      <w:proofErr w:type="spellStart"/>
      <w:r w:rsidRPr="00EA5E69">
        <w:rPr>
          <w:rFonts w:ascii="Times New Roman" w:eastAsia="Times New Roman" w:hAnsi="Times New Roman" w:cs="Times New Roman"/>
          <w:color w:val="auto"/>
          <w:sz w:val="22"/>
          <w:szCs w:val="22"/>
          <w:lang w:val="en-IE"/>
          <w14:ligatures w14:val="none"/>
        </w:rPr>
        <w:t>Ministrstvo</w:t>
      </w:r>
      <w:proofErr w:type="spellEnd"/>
      <w:r w:rsidRPr="00EA5E69">
        <w:rPr>
          <w:rFonts w:ascii="Times New Roman" w:eastAsia="Times New Roman" w:hAnsi="Times New Roman" w:cs="Times New Roman"/>
          <w:color w:val="auto"/>
          <w:sz w:val="22"/>
          <w:szCs w:val="22"/>
          <w:lang w:val="en-IE"/>
          <w14:ligatures w14:val="none"/>
        </w:rPr>
        <w:t xml:space="preserve"> </w:t>
      </w:r>
      <w:proofErr w:type="spellStart"/>
      <w:r w:rsidRPr="00EA5E69">
        <w:rPr>
          <w:rFonts w:ascii="Times New Roman" w:eastAsia="Times New Roman" w:hAnsi="Times New Roman" w:cs="Times New Roman"/>
          <w:color w:val="auto"/>
          <w:sz w:val="22"/>
          <w:szCs w:val="22"/>
          <w:lang w:val="en-IE"/>
          <w14:ligatures w14:val="none"/>
        </w:rPr>
        <w:t>za</w:t>
      </w:r>
      <w:proofErr w:type="spellEnd"/>
      <w:r w:rsidRPr="00EA5E69">
        <w:rPr>
          <w:rFonts w:ascii="Times New Roman" w:eastAsia="Times New Roman" w:hAnsi="Times New Roman" w:cs="Times New Roman"/>
          <w:color w:val="auto"/>
          <w:sz w:val="22"/>
          <w:szCs w:val="22"/>
          <w:lang w:val="en-IE"/>
          <w14:ligatures w14:val="none"/>
        </w:rPr>
        <w:t xml:space="preserve"> finance)</w:t>
      </w:r>
    </w:p>
    <w:p w14:paraId="2AF19CBC" w14:textId="77777777" w:rsidR="00A62E38" w:rsidRPr="00EA5E69" w:rsidRDefault="00A62E38" w:rsidP="00A62E38">
      <w:pPr>
        <w:widowControl w:val="0"/>
        <w:autoSpaceDE w:val="0"/>
        <w:autoSpaceDN w:val="0"/>
        <w:spacing w:before="120" w:after="120" w:line="240" w:lineRule="atLeast"/>
        <w:jc w:val="both"/>
        <w:rPr>
          <w:rFonts w:ascii="Times New Roman" w:eastAsia="Times New Roman" w:hAnsi="Times New Roman" w:cs="Times New Roman"/>
          <w:color w:val="auto"/>
          <w:sz w:val="22"/>
          <w:szCs w:val="22"/>
          <w:lang w:val="es-ES"/>
          <w14:ligatures w14:val="none"/>
        </w:rPr>
      </w:pPr>
      <w:r w:rsidRPr="00EA5E69">
        <w:rPr>
          <w:rFonts w:ascii="Times New Roman" w:eastAsia="Times New Roman" w:hAnsi="Times New Roman" w:cs="Times New Roman"/>
          <w:color w:val="auto"/>
          <w:sz w:val="22"/>
          <w:szCs w:val="22"/>
          <w:lang w:val="es-ES"/>
          <w14:ligatures w14:val="none"/>
        </w:rPr>
        <w:t>•</w:t>
      </w:r>
      <w:r w:rsidRPr="00EA5E69">
        <w:rPr>
          <w:rFonts w:ascii="Times New Roman" w:eastAsia="Times New Roman" w:hAnsi="Times New Roman" w:cs="Times New Roman"/>
          <w:color w:val="auto"/>
          <w:sz w:val="22"/>
          <w:szCs w:val="22"/>
          <w:lang w:val="es-ES"/>
          <w14:ligatures w14:val="none"/>
        </w:rPr>
        <w:tab/>
      </w:r>
      <w:proofErr w:type="spellStart"/>
      <w:r w:rsidRPr="00EA5E69">
        <w:rPr>
          <w:rFonts w:ascii="Times New Roman" w:eastAsia="Times New Roman" w:hAnsi="Times New Roman" w:cs="Times New Roman"/>
          <w:color w:val="auto"/>
          <w:sz w:val="22"/>
          <w:szCs w:val="22"/>
          <w:lang w:val="es-ES"/>
          <w14:ligatures w14:val="none"/>
        </w:rPr>
        <w:t>Ministry</w:t>
      </w:r>
      <w:proofErr w:type="spellEnd"/>
      <w:r w:rsidRPr="00EA5E69">
        <w:rPr>
          <w:rFonts w:ascii="Times New Roman" w:eastAsia="Times New Roman" w:hAnsi="Times New Roman" w:cs="Times New Roman"/>
          <w:color w:val="auto"/>
          <w:sz w:val="22"/>
          <w:szCs w:val="22"/>
          <w:lang w:val="es-ES"/>
          <w14:ligatures w14:val="none"/>
        </w:rPr>
        <w:t xml:space="preserve"> of </w:t>
      </w:r>
      <w:proofErr w:type="spellStart"/>
      <w:r w:rsidRPr="00EA5E69">
        <w:rPr>
          <w:rFonts w:ascii="Times New Roman" w:eastAsia="Times New Roman" w:hAnsi="Times New Roman" w:cs="Times New Roman"/>
          <w:color w:val="auto"/>
          <w:sz w:val="22"/>
          <w:szCs w:val="22"/>
          <w:lang w:val="es-ES"/>
          <w14:ligatures w14:val="none"/>
        </w:rPr>
        <w:t>Ecological</w:t>
      </w:r>
      <w:proofErr w:type="spellEnd"/>
      <w:r w:rsidRPr="00EA5E69">
        <w:rPr>
          <w:rFonts w:ascii="Times New Roman" w:eastAsia="Times New Roman" w:hAnsi="Times New Roman" w:cs="Times New Roman"/>
          <w:color w:val="auto"/>
          <w:sz w:val="22"/>
          <w:szCs w:val="22"/>
          <w:lang w:val="es-ES"/>
          <w14:ligatures w14:val="none"/>
        </w:rPr>
        <w:t xml:space="preserve"> </w:t>
      </w:r>
      <w:proofErr w:type="spellStart"/>
      <w:r w:rsidRPr="00EA5E69">
        <w:rPr>
          <w:rFonts w:ascii="Times New Roman" w:eastAsia="Times New Roman" w:hAnsi="Times New Roman" w:cs="Times New Roman"/>
          <w:color w:val="auto"/>
          <w:sz w:val="22"/>
          <w:szCs w:val="22"/>
          <w:lang w:val="es-ES"/>
          <w14:ligatures w14:val="none"/>
        </w:rPr>
        <w:t>Transition</w:t>
      </w:r>
      <w:proofErr w:type="spellEnd"/>
      <w:r w:rsidRPr="00EA5E69">
        <w:rPr>
          <w:rFonts w:ascii="Times New Roman" w:eastAsia="Times New Roman" w:hAnsi="Times New Roman" w:cs="Times New Roman"/>
          <w:color w:val="auto"/>
          <w:sz w:val="22"/>
          <w:szCs w:val="22"/>
          <w:lang w:val="es-ES"/>
          <w14:ligatures w14:val="none"/>
        </w:rPr>
        <w:t xml:space="preserve"> and </w:t>
      </w:r>
      <w:proofErr w:type="spellStart"/>
      <w:r w:rsidRPr="00EA5E69">
        <w:rPr>
          <w:rFonts w:ascii="Times New Roman" w:eastAsia="Times New Roman" w:hAnsi="Times New Roman" w:cs="Times New Roman"/>
          <w:color w:val="auto"/>
          <w:sz w:val="22"/>
          <w:szCs w:val="22"/>
          <w:lang w:val="es-ES"/>
          <w14:ligatures w14:val="none"/>
        </w:rPr>
        <w:t>the</w:t>
      </w:r>
      <w:proofErr w:type="spellEnd"/>
      <w:r w:rsidRPr="00EA5E69">
        <w:rPr>
          <w:rFonts w:ascii="Times New Roman" w:eastAsia="Times New Roman" w:hAnsi="Times New Roman" w:cs="Times New Roman"/>
          <w:color w:val="auto"/>
          <w:sz w:val="22"/>
          <w:szCs w:val="22"/>
          <w:lang w:val="es-ES"/>
          <w14:ligatures w14:val="none"/>
        </w:rPr>
        <w:t xml:space="preserve"> </w:t>
      </w:r>
      <w:proofErr w:type="spellStart"/>
      <w:r w:rsidRPr="00EA5E69">
        <w:rPr>
          <w:rFonts w:ascii="Times New Roman" w:eastAsia="Times New Roman" w:hAnsi="Times New Roman" w:cs="Times New Roman"/>
          <w:color w:val="auto"/>
          <w:sz w:val="22"/>
          <w:szCs w:val="22"/>
          <w:lang w:val="es-ES"/>
          <w14:ligatures w14:val="none"/>
        </w:rPr>
        <w:t>Demographic</w:t>
      </w:r>
      <w:proofErr w:type="spellEnd"/>
      <w:r w:rsidRPr="00EA5E69">
        <w:rPr>
          <w:rFonts w:ascii="Times New Roman" w:eastAsia="Times New Roman" w:hAnsi="Times New Roman" w:cs="Times New Roman"/>
          <w:color w:val="auto"/>
          <w:sz w:val="22"/>
          <w:szCs w:val="22"/>
          <w:lang w:val="es-ES"/>
          <w14:ligatures w14:val="none"/>
        </w:rPr>
        <w:t xml:space="preserve"> </w:t>
      </w:r>
      <w:proofErr w:type="spellStart"/>
      <w:r w:rsidRPr="00EA5E69">
        <w:rPr>
          <w:rFonts w:ascii="Times New Roman" w:eastAsia="Times New Roman" w:hAnsi="Times New Roman" w:cs="Times New Roman"/>
          <w:color w:val="auto"/>
          <w:sz w:val="22"/>
          <w:szCs w:val="22"/>
          <w:lang w:val="es-ES"/>
          <w14:ligatures w14:val="none"/>
        </w:rPr>
        <w:t>Challenge</w:t>
      </w:r>
      <w:proofErr w:type="spellEnd"/>
      <w:r w:rsidRPr="00EA5E69">
        <w:rPr>
          <w:rFonts w:ascii="Times New Roman" w:eastAsia="Times New Roman" w:hAnsi="Times New Roman" w:cs="Times New Roman"/>
          <w:color w:val="auto"/>
          <w:sz w:val="22"/>
          <w:szCs w:val="22"/>
          <w:lang w:val="es-ES"/>
          <w14:ligatures w14:val="none"/>
        </w:rPr>
        <w:t xml:space="preserve"> of Spain (Ministerio para la Transición Ecológica y el Reto Demográfico)</w:t>
      </w:r>
    </w:p>
    <w:p w14:paraId="1216A866" w14:textId="77777777" w:rsidR="00A62E38" w:rsidRPr="00EA5E69" w:rsidRDefault="00A62E38" w:rsidP="00A62E38">
      <w:pPr>
        <w:widowControl w:val="0"/>
        <w:autoSpaceDE w:val="0"/>
        <w:autoSpaceDN w:val="0"/>
        <w:spacing w:before="120" w:after="120" w:line="240" w:lineRule="atLeast"/>
        <w:jc w:val="both"/>
        <w:rPr>
          <w:rFonts w:ascii="Times New Roman" w:eastAsia="Times New Roman" w:hAnsi="Times New Roman" w:cs="Times New Roman"/>
          <w:color w:val="auto"/>
          <w:sz w:val="22"/>
          <w:szCs w:val="22"/>
          <w:lang w:val="es-ES"/>
          <w14:ligatures w14:val="none"/>
        </w:rPr>
      </w:pPr>
    </w:p>
    <w:p w14:paraId="0A470B34" w14:textId="77777777" w:rsidR="00A62E38" w:rsidRPr="00EA5E69" w:rsidRDefault="00A62E38" w:rsidP="00A62E38">
      <w:pPr>
        <w:widowControl w:val="0"/>
        <w:autoSpaceDE w:val="0"/>
        <w:autoSpaceDN w:val="0"/>
        <w:spacing w:before="120" w:after="120" w:line="240" w:lineRule="atLeast"/>
        <w:jc w:val="both"/>
        <w:rPr>
          <w:rFonts w:ascii="Times New Roman" w:eastAsia="Times New Roman" w:hAnsi="Times New Roman" w:cs="Times New Roman"/>
          <w:color w:val="auto"/>
          <w:sz w:val="22"/>
          <w:szCs w:val="22"/>
          <w:lang w:val="en-IE"/>
          <w14:ligatures w14:val="none"/>
        </w:rPr>
      </w:pPr>
      <w:r w:rsidRPr="00EA5E69">
        <w:rPr>
          <w:rFonts w:ascii="Times New Roman" w:eastAsia="Times New Roman" w:hAnsi="Times New Roman" w:cs="Times New Roman"/>
          <w:color w:val="auto"/>
          <w:sz w:val="22"/>
          <w:szCs w:val="22"/>
          <w:lang w:val="en-IE"/>
          <w14:ligatures w14:val="none"/>
        </w:rPr>
        <w:t xml:space="preserve">This </w:t>
      </w:r>
      <w:r>
        <w:rPr>
          <w:rFonts w:ascii="Times New Roman" w:eastAsia="Times New Roman" w:hAnsi="Times New Roman" w:cs="Times New Roman"/>
          <w:color w:val="auto"/>
          <w:sz w:val="22"/>
          <w:szCs w:val="22"/>
          <w:lang w:val="en-IE"/>
          <w14:ligatures w14:val="none"/>
        </w:rPr>
        <w:t>project</w:t>
      </w:r>
      <w:r w:rsidRPr="00EA5E69">
        <w:rPr>
          <w:rFonts w:ascii="Times New Roman" w:eastAsia="Times New Roman" w:hAnsi="Times New Roman" w:cs="Times New Roman"/>
          <w:color w:val="auto"/>
          <w:sz w:val="22"/>
          <w:szCs w:val="22"/>
          <w:lang w:val="en-IE"/>
          <w14:ligatures w14:val="none"/>
        </w:rPr>
        <w:t xml:space="preserve"> has two strands of technical support: </w:t>
      </w:r>
    </w:p>
    <w:p w14:paraId="62857B91" w14:textId="4570C51C" w:rsidR="00A62E38" w:rsidRPr="00EA5E69" w:rsidRDefault="00A62E38" w:rsidP="00A62E38">
      <w:pPr>
        <w:widowControl w:val="0"/>
        <w:autoSpaceDE w:val="0"/>
        <w:autoSpaceDN w:val="0"/>
        <w:spacing w:before="120" w:after="120" w:line="240" w:lineRule="atLeast"/>
        <w:jc w:val="both"/>
        <w:rPr>
          <w:rFonts w:ascii="Times New Roman" w:eastAsia="Times New Roman" w:hAnsi="Times New Roman" w:cs="Times New Roman"/>
          <w:color w:val="auto"/>
          <w:sz w:val="22"/>
          <w:szCs w:val="22"/>
          <w:lang w:val="en-IE"/>
          <w14:ligatures w14:val="none"/>
        </w:rPr>
      </w:pPr>
      <w:r w:rsidRPr="00EA5E69">
        <w:rPr>
          <w:rFonts w:ascii="Times New Roman" w:eastAsia="Times New Roman" w:hAnsi="Times New Roman" w:cs="Times New Roman"/>
          <w:color w:val="auto"/>
          <w:sz w:val="22"/>
          <w:szCs w:val="22"/>
          <w:lang w:val="en-IE"/>
          <w14:ligatures w14:val="none"/>
        </w:rPr>
        <w:t>1.</w:t>
      </w:r>
      <w:r w:rsidRPr="00EA5E69">
        <w:rPr>
          <w:rFonts w:ascii="Times New Roman" w:eastAsia="Times New Roman" w:hAnsi="Times New Roman" w:cs="Times New Roman"/>
          <w:color w:val="auto"/>
          <w:sz w:val="22"/>
          <w:szCs w:val="22"/>
          <w:lang w:val="en-IE"/>
          <w14:ligatures w14:val="none"/>
        </w:rPr>
        <w:tab/>
        <w:t>Five Standalone Requests: These focus on tailored technical support for implementing Green Budgeting practices at the national level in Cyprus, Denmark, France</w:t>
      </w:r>
      <w:r>
        <w:rPr>
          <w:rFonts w:ascii="Times New Roman" w:eastAsia="Times New Roman" w:hAnsi="Times New Roman" w:cs="Times New Roman"/>
          <w:color w:val="auto"/>
          <w:sz w:val="22"/>
          <w:szCs w:val="22"/>
          <w:lang w:val="en-IE"/>
          <w14:ligatures w14:val="none"/>
        </w:rPr>
        <w:t xml:space="preserve"> (sub-national)</w:t>
      </w:r>
      <w:r w:rsidRPr="00EA5E69">
        <w:rPr>
          <w:rFonts w:ascii="Times New Roman" w:eastAsia="Times New Roman" w:hAnsi="Times New Roman" w:cs="Times New Roman"/>
          <w:color w:val="auto"/>
          <w:sz w:val="22"/>
          <w:szCs w:val="22"/>
          <w:lang w:val="en-IE"/>
          <w14:ligatures w14:val="none"/>
        </w:rPr>
        <w:t>, and Portugal. The support includes developing methodologies for tagging climate-relevant expenditures, enhancing governance frameworks, and building capacity within national ministries.</w:t>
      </w:r>
    </w:p>
    <w:p w14:paraId="35E253ED" w14:textId="5910DB3F" w:rsidR="00A62E38" w:rsidRDefault="00A62E38" w:rsidP="00A62E38">
      <w:pPr>
        <w:widowControl w:val="0"/>
        <w:autoSpaceDE w:val="0"/>
        <w:autoSpaceDN w:val="0"/>
        <w:spacing w:before="120" w:after="120" w:line="240" w:lineRule="atLeast"/>
        <w:jc w:val="both"/>
        <w:rPr>
          <w:rFonts w:ascii="Times New Roman" w:eastAsia="Times New Roman" w:hAnsi="Times New Roman" w:cs="Times New Roman"/>
          <w:color w:val="auto"/>
          <w:sz w:val="22"/>
          <w:szCs w:val="22"/>
          <w:lang w:val="en-IE"/>
          <w14:ligatures w14:val="none"/>
        </w:rPr>
      </w:pPr>
      <w:r w:rsidRPr="00EA5E69">
        <w:rPr>
          <w:rFonts w:ascii="Times New Roman" w:eastAsia="Times New Roman" w:hAnsi="Times New Roman" w:cs="Times New Roman"/>
          <w:color w:val="auto"/>
          <w:sz w:val="22"/>
          <w:szCs w:val="22"/>
          <w:lang w:val="en-IE"/>
          <w14:ligatures w14:val="none"/>
        </w:rPr>
        <w:t>2.</w:t>
      </w:r>
      <w:r w:rsidRPr="00EA5E69">
        <w:rPr>
          <w:rFonts w:ascii="Times New Roman" w:eastAsia="Times New Roman" w:hAnsi="Times New Roman" w:cs="Times New Roman"/>
          <w:color w:val="auto"/>
          <w:sz w:val="22"/>
          <w:szCs w:val="22"/>
          <w:lang w:val="en-IE"/>
          <w14:ligatures w14:val="none"/>
        </w:rPr>
        <w:tab/>
        <w:t xml:space="preserve">Civil Servants Exchange: This component facilitates knowledge-sharing and capacity-building among Member States. It includes participation from the five standalone project beneficiaries (Cyprus, Denmark, France, and Portugal) as well as Croatia, Ireland, Slovakia, Slovenia, and Spain. </w:t>
      </w:r>
    </w:p>
    <w:p w14:paraId="2D349898" w14:textId="77777777" w:rsidR="000260F0" w:rsidRPr="00A62E38" w:rsidRDefault="000260F0" w:rsidP="009A06B0">
      <w:pPr>
        <w:widowControl w:val="0"/>
        <w:autoSpaceDE w:val="0"/>
        <w:autoSpaceDN w:val="0"/>
        <w:spacing w:after="0" w:line="240" w:lineRule="auto"/>
        <w:jc w:val="both"/>
        <w:outlineLvl w:val="0"/>
        <w:rPr>
          <w:rFonts w:ascii="Times New Roman" w:eastAsia="Times New Roman" w:hAnsi="Times New Roman" w:cs="Times New Roman"/>
          <w:color w:val="auto"/>
          <w:sz w:val="22"/>
          <w:szCs w:val="22"/>
          <w:lang w:val="en-IE"/>
          <w14:ligatures w14:val="none"/>
        </w:rPr>
      </w:pPr>
    </w:p>
    <w:p w14:paraId="768D3E1E" w14:textId="77777777" w:rsidR="000260F0" w:rsidRDefault="000260F0" w:rsidP="009A06B0">
      <w:pPr>
        <w:widowControl w:val="0"/>
        <w:autoSpaceDE w:val="0"/>
        <w:autoSpaceDN w:val="0"/>
        <w:spacing w:after="0" w:line="240" w:lineRule="auto"/>
        <w:jc w:val="both"/>
        <w:outlineLvl w:val="0"/>
        <w:rPr>
          <w:rFonts w:ascii="Times New Roman" w:eastAsia="Times New Roman" w:hAnsi="Times New Roman" w:cs="Times New Roman"/>
          <w:color w:val="auto"/>
          <w:sz w:val="22"/>
          <w:szCs w:val="22"/>
          <w14:ligatures w14:val="none"/>
        </w:rPr>
      </w:pPr>
    </w:p>
    <w:p w14:paraId="24148919" w14:textId="77777777" w:rsidR="000260F0" w:rsidRPr="00E76011" w:rsidRDefault="000260F0" w:rsidP="009A06B0">
      <w:pPr>
        <w:widowControl w:val="0"/>
        <w:autoSpaceDE w:val="0"/>
        <w:autoSpaceDN w:val="0"/>
        <w:spacing w:after="0" w:line="240" w:lineRule="auto"/>
        <w:jc w:val="both"/>
        <w:outlineLvl w:val="0"/>
        <w:rPr>
          <w:rFonts w:ascii="Times New Roman" w:eastAsia="Times New Roman" w:hAnsi="Times New Roman" w:cs="Times New Roman"/>
          <w:color w:val="auto"/>
          <w:sz w:val="22"/>
          <w:szCs w:val="22"/>
          <w14:ligatures w14:val="none"/>
        </w:rPr>
      </w:pPr>
    </w:p>
    <w:p w14:paraId="484DC912" w14:textId="77777777" w:rsidR="003E525D" w:rsidRPr="003E525D" w:rsidRDefault="003E525D" w:rsidP="003E525D">
      <w:pPr>
        <w:rPr>
          <w:b/>
          <w:bCs/>
          <w:sz w:val="22"/>
          <w:szCs w:val="22"/>
          <w:lang w:val="en-GB"/>
        </w:rPr>
      </w:pPr>
      <w:r w:rsidRPr="003E525D">
        <w:rPr>
          <w:b/>
          <w:bCs/>
          <w:sz w:val="22"/>
          <w:szCs w:val="22"/>
          <w:lang w:val="en-GB"/>
        </w:rPr>
        <w:t>Desired profile</w:t>
      </w:r>
    </w:p>
    <w:p w14:paraId="6B27A18F" w14:textId="77777777" w:rsidR="003E525D" w:rsidRPr="003E525D" w:rsidRDefault="003E525D" w:rsidP="003E525D">
      <w:pPr>
        <w:rPr>
          <w:rFonts w:ascii="Times New Roman" w:hAnsi="Times New Roman" w:cs="Times New Roman"/>
          <w:sz w:val="22"/>
          <w:szCs w:val="22"/>
          <w:lang w:val="en-GB"/>
        </w:rPr>
      </w:pPr>
      <w:r w:rsidRPr="003E525D">
        <w:rPr>
          <w:rFonts w:ascii="Times New Roman" w:hAnsi="Times New Roman" w:cs="Times New Roman"/>
          <w:sz w:val="22"/>
          <w:szCs w:val="22"/>
          <w:lang w:val="en-GB"/>
        </w:rPr>
        <w:t>- Master’s or PhD in Environmental and/or Climate economics, Environmental fiscal policy, Green Public Financial Management, other relevant fields with at least 7 years of professional experience in the outlined areas;</w:t>
      </w:r>
    </w:p>
    <w:p w14:paraId="6A6DEBF9" w14:textId="23B799C1" w:rsidR="003E525D" w:rsidRPr="003E525D" w:rsidRDefault="003E525D" w:rsidP="003E525D">
      <w:pPr>
        <w:numPr>
          <w:ilvl w:val="0"/>
          <w:numId w:val="7"/>
        </w:numPr>
        <w:rPr>
          <w:rFonts w:ascii="Times New Roman" w:hAnsi="Times New Roman" w:cs="Times New Roman"/>
          <w:sz w:val="22"/>
          <w:szCs w:val="22"/>
          <w:lang w:val="en-GB"/>
        </w:rPr>
      </w:pPr>
      <w:r w:rsidRPr="003E525D">
        <w:rPr>
          <w:rFonts w:ascii="Times New Roman" w:hAnsi="Times New Roman" w:cs="Times New Roman"/>
          <w:sz w:val="22"/>
          <w:szCs w:val="22"/>
          <w:lang w:val="en-GB"/>
        </w:rPr>
        <w:t xml:space="preserve">Knowledge of </w:t>
      </w:r>
      <w:proofErr w:type="gramStart"/>
      <w:r w:rsidRPr="000260F0">
        <w:rPr>
          <w:rFonts w:ascii="Times New Roman" w:hAnsi="Times New Roman" w:cs="Times New Roman"/>
          <w:sz w:val="22"/>
          <w:szCs w:val="22"/>
          <w:lang w:val="en-GB"/>
        </w:rPr>
        <w:t xml:space="preserve">EU </w:t>
      </w:r>
      <w:r w:rsidRPr="003E525D">
        <w:rPr>
          <w:rFonts w:ascii="Times New Roman" w:hAnsi="Times New Roman" w:cs="Times New Roman"/>
          <w:sz w:val="22"/>
          <w:szCs w:val="22"/>
          <w:lang w:val="en-GB"/>
        </w:rPr>
        <w:t xml:space="preserve"> </w:t>
      </w:r>
      <w:r w:rsidR="006528D5" w:rsidRPr="000260F0">
        <w:rPr>
          <w:rFonts w:ascii="Times New Roman" w:hAnsi="Times New Roman" w:cs="Times New Roman"/>
          <w:sz w:val="22"/>
          <w:szCs w:val="22"/>
          <w:lang w:val="en-GB"/>
        </w:rPr>
        <w:t>climate</w:t>
      </w:r>
      <w:proofErr w:type="gramEnd"/>
      <w:r w:rsidRPr="003E525D">
        <w:rPr>
          <w:rFonts w:ascii="Times New Roman" w:hAnsi="Times New Roman" w:cs="Times New Roman"/>
          <w:sz w:val="22"/>
          <w:szCs w:val="22"/>
          <w:lang w:val="en-GB"/>
        </w:rPr>
        <w:t xml:space="preserve"> and environmental objectives, and fiscal policy;</w:t>
      </w:r>
    </w:p>
    <w:p w14:paraId="1602A792" w14:textId="77777777" w:rsidR="003E525D" w:rsidRPr="003E525D" w:rsidRDefault="003E525D" w:rsidP="003E525D">
      <w:pPr>
        <w:numPr>
          <w:ilvl w:val="0"/>
          <w:numId w:val="7"/>
        </w:numPr>
        <w:rPr>
          <w:rFonts w:ascii="Times New Roman" w:hAnsi="Times New Roman" w:cs="Times New Roman"/>
          <w:sz w:val="22"/>
          <w:szCs w:val="22"/>
          <w:lang w:val="en-GB"/>
        </w:rPr>
      </w:pPr>
      <w:r w:rsidRPr="003E525D">
        <w:rPr>
          <w:rFonts w:ascii="Times New Roman" w:hAnsi="Times New Roman" w:cs="Times New Roman"/>
          <w:sz w:val="22"/>
          <w:szCs w:val="22"/>
          <w:lang w:val="en-GB"/>
        </w:rPr>
        <w:t>Track record of providing technical support to the development and implementation of Green PFM tools or climate finance, as well as experience in executing capacity building activities;</w:t>
      </w:r>
    </w:p>
    <w:p w14:paraId="7EE34608" w14:textId="77777777" w:rsidR="003E525D" w:rsidRPr="003E525D" w:rsidRDefault="003E525D" w:rsidP="003E525D">
      <w:pPr>
        <w:numPr>
          <w:ilvl w:val="0"/>
          <w:numId w:val="7"/>
        </w:numPr>
        <w:rPr>
          <w:rFonts w:ascii="Times New Roman" w:hAnsi="Times New Roman" w:cs="Times New Roman"/>
          <w:sz w:val="22"/>
          <w:szCs w:val="22"/>
          <w:lang w:val="en-GB"/>
        </w:rPr>
      </w:pPr>
      <w:r w:rsidRPr="003E525D">
        <w:rPr>
          <w:rFonts w:ascii="Times New Roman" w:hAnsi="Times New Roman" w:cs="Times New Roman"/>
          <w:sz w:val="22"/>
          <w:szCs w:val="22"/>
          <w:lang w:val="en-GB"/>
        </w:rPr>
        <w:t>Track record in strategic engagement with multidisciplinary teams, and with senior-level government, private sector, and/or international cooperation partners;</w:t>
      </w:r>
    </w:p>
    <w:p w14:paraId="7002915F" w14:textId="76288244" w:rsidR="003E525D" w:rsidRPr="003E525D" w:rsidRDefault="003E525D" w:rsidP="003E525D">
      <w:pPr>
        <w:rPr>
          <w:rFonts w:ascii="Times New Roman" w:hAnsi="Times New Roman" w:cs="Times New Roman"/>
          <w:sz w:val="22"/>
          <w:szCs w:val="22"/>
          <w:lang w:val="en-GB"/>
        </w:rPr>
      </w:pPr>
      <w:r w:rsidRPr="003E525D">
        <w:rPr>
          <w:rFonts w:ascii="Times New Roman" w:hAnsi="Times New Roman" w:cs="Times New Roman"/>
          <w:sz w:val="22"/>
          <w:szCs w:val="22"/>
          <w:lang w:val="en-GB"/>
        </w:rPr>
        <w:t xml:space="preserve">-Fluency in </w:t>
      </w:r>
      <w:proofErr w:type="gramStart"/>
      <w:r w:rsidRPr="003E525D">
        <w:rPr>
          <w:rFonts w:ascii="Times New Roman" w:hAnsi="Times New Roman" w:cs="Times New Roman"/>
          <w:sz w:val="22"/>
          <w:szCs w:val="22"/>
          <w:lang w:val="en-GB"/>
        </w:rPr>
        <w:t>English .</w:t>
      </w:r>
      <w:proofErr w:type="gramEnd"/>
    </w:p>
    <w:p w14:paraId="16F6CD27" w14:textId="77777777" w:rsidR="003E525D" w:rsidRDefault="003E525D" w:rsidP="003E525D">
      <w:pPr>
        <w:rPr>
          <w:rFonts w:ascii="Times New Roman" w:hAnsi="Times New Roman" w:cs="Times New Roman"/>
          <w:sz w:val="22"/>
          <w:szCs w:val="22"/>
          <w:lang w:val="en-GB"/>
        </w:rPr>
      </w:pPr>
      <w:r w:rsidRPr="003E525D">
        <w:rPr>
          <w:rFonts w:ascii="Times New Roman" w:hAnsi="Times New Roman" w:cs="Times New Roman"/>
          <w:sz w:val="22"/>
          <w:szCs w:val="22"/>
          <w:lang w:val="en-GB"/>
        </w:rPr>
        <w:t>-Experience with providing technical support in projects financed by the European Commission is an asset</w:t>
      </w:r>
    </w:p>
    <w:p w14:paraId="62FFCFF7" w14:textId="77777777" w:rsidR="00DB7A33" w:rsidRPr="000A3CE5" w:rsidRDefault="00DB7A33" w:rsidP="003E525D">
      <w:pPr>
        <w:rPr>
          <w:rFonts w:ascii="Times New Roman" w:hAnsi="Times New Roman" w:cs="Times New Roman"/>
          <w:sz w:val="22"/>
          <w:szCs w:val="22"/>
        </w:rPr>
      </w:pPr>
    </w:p>
    <w:p w14:paraId="6AAC235B" w14:textId="77777777" w:rsidR="00DB7A33" w:rsidRDefault="00DB7A33" w:rsidP="003E525D">
      <w:pPr>
        <w:rPr>
          <w:rFonts w:ascii="Times New Roman" w:hAnsi="Times New Roman" w:cs="Times New Roman"/>
          <w:sz w:val="22"/>
          <w:szCs w:val="22"/>
          <w:lang w:val="en-GB"/>
        </w:rPr>
      </w:pPr>
    </w:p>
    <w:p w14:paraId="2D8FDC14" w14:textId="77777777" w:rsidR="00DB7A33" w:rsidRPr="003E525D" w:rsidRDefault="00DB7A33" w:rsidP="003E525D">
      <w:pPr>
        <w:rPr>
          <w:rFonts w:ascii="Times New Roman" w:hAnsi="Times New Roman" w:cs="Times New Roman"/>
          <w:sz w:val="22"/>
          <w:szCs w:val="22"/>
          <w:lang w:val="en-GB"/>
        </w:rPr>
        <w:sectPr w:rsidR="00DB7A33" w:rsidRPr="003E525D" w:rsidSect="003E525D">
          <w:pgSz w:w="11910" w:h="16840"/>
          <w:pgMar w:top="1340" w:right="1320" w:bottom="280" w:left="1340" w:header="720" w:footer="720" w:gutter="0"/>
          <w:cols w:space="720"/>
        </w:sectPr>
      </w:pPr>
    </w:p>
    <w:p w14:paraId="61458017" w14:textId="77777777" w:rsidR="00284BF1" w:rsidRPr="0025787A" w:rsidRDefault="00284BF1">
      <w:pPr>
        <w:rPr>
          <w:lang w:val="en-GB"/>
        </w:rPr>
      </w:pPr>
    </w:p>
    <w:sectPr w:rsidR="00284BF1" w:rsidRPr="0025787A" w:rsidSect="00431D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60495" w14:textId="77777777" w:rsidR="009539A0" w:rsidRDefault="009539A0" w:rsidP="00A62E38">
      <w:pPr>
        <w:spacing w:after="0" w:line="240" w:lineRule="auto"/>
      </w:pPr>
      <w:r>
        <w:separator/>
      </w:r>
    </w:p>
  </w:endnote>
  <w:endnote w:type="continuationSeparator" w:id="0">
    <w:p w14:paraId="7CCBE9B4" w14:textId="77777777" w:rsidR="009539A0" w:rsidRDefault="009539A0" w:rsidP="00A62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Arial"/>
    <w:charset w:val="4D"/>
    <w:family w:val="swiss"/>
    <w:pitch w:val="variable"/>
    <w:sig w:usb0="00000001"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7BAE2" w14:textId="77777777" w:rsidR="009539A0" w:rsidRDefault="009539A0" w:rsidP="00A62E38">
      <w:pPr>
        <w:spacing w:after="0" w:line="240" w:lineRule="auto"/>
      </w:pPr>
      <w:r>
        <w:separator/>
      </w:r>
    </w:p>
  </w:footnote>
  <w:footnote w:type="continuationSeparator" w:id="0">
    <w:p w14:paraId="6A63B3A2" w14:textId="77777777" w:rsidR="009539A0" w:rsidRDefault="009539A0" w:rsidP="00A62E38">
      <w:pPr>
        <w:spacing w:after="0" w:line="240" w:lineRule="auto"/>
      </w:pPr>
      <w:r>
        <w:continuationSeparator/>
      </w:r>
    </w:p>
  </w:footnote>
  <w:footnote w:id="1">
    <w:p w14:paraId="46BA744D" w14:textId="77777777" w:rsidR="00A62E38" w:rsidRPr="0041750F" w:rsidRDefault="00A62E38" w:rsidP="00A62E38">
      <w:pPr>
        <w:pStyle w:val="Notedebasdepage"/>
        <w:rPr>
          <w:rFonts w:ascii="Times New Roman" w:hAnsi="Times New Roman" w:cs="Times New Roman"/>
        </w:rPr>
      </w:pPr>
      <w:r w:rsidRPr="0041750F">
        <w:rPr>
          <w:rStyle w:val="Appelnotedebasdep"/>
          <w:rFonts w:ascii="Times New Roman" w:hAnsi="Times New Roman" w:cs="Times New Roman"/>
        </w:rPr>
        <w:footnoteRef/>
      </w:r>
      <w:r w:rsidRPr="0041750F">
        <w:rPr>
          <w:rFonts w:ascii="Times New Roman" w:hAnsi="Times New Roman" w:cs="Times New Roman"/>
        </w:rPr>
        <w:t xml:space="preserve"> https://eur-lex.europa.eu/legal-content/EN/TXT/PDF/?uri=OJ:L_202401265</w:t>
      </w:r>
    </w:p>
  </w:footnote>
  <w:footnote w:id="2">
    <w:p w14:paraId="7A0C9991" w14:textId="77777777" w:rsidR="00A62E38" w:rsidRPr="0041750F" w:rsidRDefault="00A62E38" w:rsidP="00A62E38">
      <w:pPr>
        <w:pStyle w:val="Notedebasdepage"/>
        <w:rPr>
          <w:rFonts w:ascii="Times New Roman" w:hAnsi="Times New Roman" w:cs="Times New Roman"/>
        </w:rPr>
      </w:pPr>
      <w:r w:rsidRPr="0041750F">
        <w:rPr>
          <w:rStyle w:val="Appelnotedebasdep"/>
          <w:rFonts w:ascii="Times New Roman" w:hAnsi="Times New Roman" w:cs="Times New Roman"/>
        </w:rPr>
        <w:footnoteRef/>
      </w:r>
      <w:r w:rsidRPr="0041750F">
        <w:rPr>
          <w:rFonts w:ascii="Times New Roman" w:hAnsi="Times New Roman" w:cs="Times New Roman"/>
        </w:rPr>
        <w:t xml:space="preserve">https://www.consilium.europa.eu/en/policies/fit-for-55/ </w:t>
      </w:r>
    </w:p>
  </w:footnote>
  <w:footnote w:id="3">
    <w:p w14:paraId="506C4995" w14:textId="77777777" w:rsidR="00A62E38" w:rsidRPr="00D80FEA" w:rsidRDefault="00A62E38" w:rsidP="00A62E38">
      <w:pPr>
        <w:pStyle w:val="Notedebasdepage"/>
      </w:pPr>
      <w:r w:rsidRPr="0041750F">
        <w:rPr>
          <w:rStyle w:val="Appelnotedebasdep"/>
          <w:rFonts w:ascii="Times New Roman" w:hAnsi="Times New Roman" w:cs="Times New Roman"/>
        </w:rPr>
        <w:footnoteRef/>
      </w:r>
      <w:hyperlink r:id="rId1" w:history="1">
        <w:r w:rsidRPr="0041750F">
          <w:rPr>
            <w:rStyle w:val="Hipervnculo1"/>
            <w:rFonts w:ascii="Times New Roman" w:hAnsi="Times New Roman" w:cs="Times New Roman"/>
            <w:color w:val="auto"/>
          </w:rPr>
          <w:t>https://reform-support.ec.europa.eu/what-we-do/revenue-administration-and-public-financial-management/supporting-implementation-green-budgeting-practices-eu_en</w:t>
        </w:r>
      </w:hyperlink>
      <w:r w:rsidRPr="0041750F">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35B95"/>
    <w:multiLevelType w:val="hybridMultilevel"/>
    <w:tmpl w:val="5DFA9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8C3286"/>
    <w:multiLevelType w:val="hybridMultilevel"/>
    <w:tmpl w:val="E236BF2A"/>
    <w:lvl w:ilvl="0" w:tplc="FFFFFFFF">
      <w:start w:val="1"/>
      <w:numFmt w:val="decimal"/>
      <w:lvlText w:val="%1."/>
      <w:lvlJc w:val="left"/>
      <w:pPr>
        <w:ind w:left="720" w:hanging="360"/>
      </w:pPr>
      <w:rPr>
        <w:rFonts w:hint="default"/>
        <w:b/>
        <w:bCs/>
      </w:rPr>
    </w:lvl>
    <w:lvl w:ilvl="1" w:tplc="1809000B">
      <w:start w:val="1"/>
      <w:numFmt w:val="bullet"/>
      <w:lvlText w:val=""/>
      <w:lvlJc w:val="left"/>
      <w:pPr>
        <w:ind w:left="1440" w:hanging="360"/>
      </w:pPr>
      <w:rPr>
        <w:rFonts w:ascii="Wingdings" w:hAnsi="Wingdings" w:hint="default"/>
      </w:rPr>
    </w:lvl>
    <w:lvl w:ilvl="2" w:tplc="2CB6A20C">
      <w:numFmt w:val="bullet"/>
      <w:lvlText w:val="•"/>
      <w:lvlJc w:val="left"/>
      <w:pPr>
        <w:ind w:left="2700" w:hanging="720"/>
      </w:pPr>
      <w:rPr>
        <w:rFonts w:ascii="Times New Roman" w:eastAsia="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533A22"/>
    <w:multiLevelType w:val="multilevel"/>
    <w:tmpl w:val="C7522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5023DD"/>
    <w:multiLevelType w:val="multilevel"/>
    <w:tmpl w:val="31A8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4F2333"/>
    <w:multiLevelType w:val="hybridMultilevel"/>
    <w:tmpl w:val="32AA2BD4"/>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5" w15:restartNumberingAfterBreak="0">
    <w:nsid w:val="4155121B"/>
    <w:multiLevelType w:val="hybridMultilevel"/>
    <w:tmpl w:val="A43E6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C16DAD"/>
    <w:multiLevelType w:val="multilevel"/>
    <w:tmpl w:val="BE4E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A0596"/>
    <w:multiLevelType w:val="hybridMultilevel"/>
    <w:tmpl w:val="FCFE6A0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8" w15:restartNumberingAfterBreak="0">
    <w:nsid w:val="621E68BF"/>
    <w:multiLevelType w:val="hybridMultilevel"/>
    <w:tmpl w:val="4FE20A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27076C0"/>
    <w:multiLevelType w:val="multilevel"/>
    <w:tmpl w:val="F4AC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10196C"/>
    <w:multiLevelType w:val="hybridMultilevel"/>
    <w:tmpl w:val="EE22556C"/>
    <w:lvl w:ilvl="0" w:tplc="9272C54C">
      <w:numFmt w:val="bullet"/>
      <w:lvlText w:val="-"/>
      <w:lvlJc w:val="left"/>
      <w:pPr>
        <w:ind w:left="100" w:hanging="132"/>
      </w:pPr>
      <w:rPr>
        <w:rFonts w:ascii="Times New Roman" w:eastAsia="Times New Roman" w:hAnsi="Times New Roman" w:cs="Times New Roman" w:hint="default"/>
        <w:b w:val="0"/>
        <w:bCs w:val="0"/>
        <w:i w:val="0"/>
        <w:iCs w:val="0"/>
        <w:spacing w:val="0"/>
        <w:w w:val="100"/>
        <w:sz w:val="24"/>
        <w:szCs w:val="24"/>
        <w:lang w:val="en-US" w:eastAsia="en-US" w:bidi="ar-SA"/>
      </w:rPr>
    </w:lvl>
    <w:lvl w:ilvl="1" w:tplc="9A16CF7C">
      <w:numFmt w:val="bullet"/>
      <w:lvlText w:val="•"/>
      <w:lvlJc w:val="left"/>
      <w:pPr>
        <w:ind w:left="1014" w:hanging="132"/>
      </w:pPr>
      <w:rPr>
        <w:rFonts w:hint="default"/>
        <w:lang w:val="en-US" w:eastAsia="en-US" w:bidi="ar-SA"/>
      </w:rPr>
    </w:lvl>
    <w:lvl w:ilvl="2" w:tplc="729401B0">
      <w:numFmt w:val="bullet"/>
      <w:lvlText w:val="•"/>
      <w:lvlJc w:val="left"/>
      <w:pPr>
        <w:ind w:left="1929" w:hanging="132"/>
      </w:pPr>
      <w:rPr>
        <w:rFonts w:hint="default"/>
        <w:lang w:val="en-US" w:eastAsia="en-US" w:bidi="ar-SA"/>
      </w:rPr>
    </w:lvl>
    <w:lvl w:ilvl="3" w:tplc="14B6E300">
      <w:numFmt w:val="bullet"/>
      <w:lvlText w:val="•"/>
      <w:lvlJc w:val="left"/>
      <w:pPr>
        <w:ind w:left="2843" w:hanging="132"/>
      </w:pPr>
      <w:rPr>
        <w:rFonts w:hint="default"/>
        <w:lang w:val="en-US" w:eastAsia="en-US" w:bidi="ar-SA"/>
      </w:rPr>
    </w:lvl>
    <w:lvl w:ilvl="4" w:tplc="FCEC9B0A">
      <w:numFmt w:val="bullet"/>
      <w:lvlText w:val="•"/>
      <w:lvlJc w:val="left"/>
      <w:pPr>
        <w:ind w:left="3758" w:hanging="132"/>
      </w:pPr>
      <w:rPr>
        <w:rFonts w:hint="default"/>
        <w:lang w:val="en-US" w:eastAsia="en-US" w:bidi="ar-SA"/>
      </w:rPr>
    </w:lvl>
    <w:lvl w:ilvl="5" w:tplc="3760BC76">
      <w:numFmt w:val="bullet"/>
      <w:lvlText w:val="•"/>
      <w:lvlJc w:val="left"/>
      <w:pPr>
        <w:ind w:left="4673" w:hanging="132"/>
      </w:pPr>
      <w:rPr>
        <w:rFonts w:hint="default"/>
        <w:lang w:val="en-US" w:eastAsia="en-US" w:bidi="ar-SA"/>
      </w:rPr>
    </w:lvl>
    <w:lvl w:ilvl="6" w:tplc="94BA43FE">
      <w:numFmt w:val="bullet"/>
      <w:lvlText w:val="•"/>
      <w:lvlJc w:val="left"/>
      <w:pPr>
        <w:ind w:left="5587" w:hanging="132"/>
      </w:pPr>
      <w:rPr>
        <w:rFonts w:hint="default"/>
        <w:lang w:val="en-US" w:eastAsia="en-US" w:bidi="ar-SA"/>
      </w:rPr>
    </w:lvl>
    <w:lvl w:ilvl="7" w:tplc="FC420884">
      <w:numFmt w:val="bullet"/>
      <w:lvlText w:val="•"/>
      <w:lvlJc w:val="left"/>
      <w:pPr>
        <w:ind w:left="6502" w:hanging="132"/>
      </w:pPr>
      <w:rPr>
        <w:rFonts w:hint="default"/>
        <w:lang w:val="en-US" w:eastAsia="en-US" w:bidi="ar-SA"/>
      </w:rPr>
    </w:lvl>
    <w:lvl w:ilvl="8" w:tplc="F444747E">
      <w:numFmt w:val="bullet"/>
      <w:lvlText w:val="•"/>
      <w:lvlJc w:val="left"/>
      <w:pPr>
        <w:ind w:left="7417" w:hanging="132"/>
      </w:pPr>
      <w:rPr>
        <w:rFonts w:hint="default"/>
        <w:lang w:val="en-US" w:eastAsia="en-US" w:bidi="ar-SA"/>
      </w:rPr>
    </w:lvl>
  </w:abstractNum>
  <w:abstractNum w:abstractNumId="11" w15:restartNumberingAfterBreak="0">
    <w:nsid w:val="7D7F3215"/>
    <w:multiLevelType w:val="hybridMultilevel"/>
    <w:tmpl w:val="1E9489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1"/>
  </w:num>
  <w:num w:numId="4">
    <w:abstractNumId w:val="1"/>
  </w:num>
  <w:num w:numId="5">
    <w:abstractNumId w:val="8"/>
  </w:num>
  <w:num w:numId="6">
    <w:abstractNumId w:val="0"/>
  </w:num>
  <w:num w:numId="7">
    <w:abstractNumId w:val="10"/>
  </w:num>
  <w:num w:numId="8">
    <w:abstractNumId w:val="6"/>
  </w:num>
  <w:num w:numId="9">
    <w:abstractNumId w:val="5"/>
  </w:num>
  <w:num w:numId="10">
    <w:abstractNumId w:val="9"/>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BBD"/>
    <w:rsid w:val="000135DB"/>
    <w:rsid w:val="000260F0"/>
    <w:rsid w:val="0004478C"/>
    <w:rsid w:val="000A3CE5"/>
    <w:rsid w:val="000B194B"/>
    <w:rsid w:val="000B3AB6"/>
    <w:rsid w:val="000E3A98"/>
    <w:rsid w:val="000E7EFD"/>
    <w:rsid w:val="000F6E49"/>
    <w:rsid w:val="00120B1E"/>
    <w:rsid w:val="001653E5"/>
    <w:rsid w:val="0017044B"/>
    <w:rsid w:val="00180950"/>
    <w:rsid w:val="001F54D9"/>
    <w:rsid w:val="00202044"/>
    <w:rsid w:val="00205DE6"/>
    <w:rsid w:val="002172EE"/>
    <w:rsid w:val="002251F8"/>
    <w:rsid w:val="00242322"/>
    <w:rsid w:val="00250E2C"/>
    <w:rsid w:val="0025787A"/>
    <w:rsid w:val="0026380E"/>
    <w:rsid w:val="00274D8C"/>
    <w:rsid w:val="0028036F"/>
    <w:rsid w:val="00284BF1"/>
    <w:rsid w:val="002A5821"/>
    <w:rsid w:val="002B4BBD"/>
    <w:rsid w:val="002E0EC2"/>
    <w:rsid w:val="002E5DD6"/>
    <w:rsid w:val="002E6977"/>
    <w:rsid w:val="003A2457"/>
    <w:rsid w:val="003C7E45"/>
    <w:rsid w:val="003D40E9"/>
    <w:rsid w:val="003E3FA4"/>
    <w:rsid w:val="003E525D"/>
    <w:rsid w:val="0040150B"/>
    <w:rsid w:val="00414916"/>
    <w:rsid w:val="00431DA3"/>
    <w:rsid w:val="0043399D"/>
    <w:rsid w:val="004520B8"/>
    <w:rsid w:val="004C398B"/>
    <w:rsid w:val="004C3A1E"/>
    <w:rsid w:val="004F0416"/>
    <w:rsid w:val="004F65BE"/>
    <w:rsid w:val="0054269C"/>
    <w:rsid w:val="00555ED2"/>
    <w:rsid w:val="00561A4F"/>
    <w:rsid w:val="006115E3"/>
    <w:rsid w:val="00615B82"/>
    <w:rsid w:val="00645CAD"/>
    <w:rsid w:val="00652395"/>
    <w:rsid w:val="006528D5"/>
    <w:rsid w:val="006A6C26"/>
    <w:rsid w:val="006E41C8"/>
    <w:rsid w:val="00727A05"/>
    <w:rsid w:val="007666DB"/>
    <w:rsid w:val="007B7497"/>
    <w:rsid w:val="0080638C"/>
    <w:rsid w:val="008A5E38"/>
    <w:rsid w:val="00902FDE"/>
    <w:rsid w:val="009539A0"/>
    <w:rsid w:val="00993833"/>
    <w:rsid w:val="009A06B0"/>
    <w:rsid w:val="009A7FD8"/>
    <w:rsid w:val="009C585D"/>
    <w:rsid w:val="00A62E38"/>
    <w:rsid w:val="00AF17A4"/>
    <w:rsid w:val="00B73969"/>
    <w:rsid w:val="00BD0054"/>
    <w:rsid w:val="00BE5D65"/>
    <w:rsid w:val="00BF75C8"/>
    <w:rsid w:val="00C23E5C"/>
    <w:rsid w:val="00C50638"/>
    <w:rsid w:val="00C6273D"/>
    <w:rsid w:val="00C8189C"/>
    <w:rsid w:val="00D014CE"/>
    <w:rsid w:val="00D50EA5"/>
    <w:rsid w:val="00D938B1"/>
    <w:rsid w:val="00DB3002"/>
    <w:rsid w:val="00DB7A33"/>
    <w:rsid w:val="00E004B3"/>
    <w:rsid w:val="00E16BC7"/>
    <w:rsid w:val="00E23C55"/>
    <w:rsid w:val="00E76011"/>
    <w:rsid w:val="00E86C52"/>
    <w:rsid w:val="00EB4180"/>
    <w:rsid w:val="00ED204C"/>
    <w:rsid w:val="00EE0849"/>
    <w:rsid w:val="00F450B5"/>
    <w:rsid w:val="00F473B2"/>
    <w:rsid w:val="00F5315B"/>
    <w:rsid w:val="00F5703D"/>
    <w:rsid w:val="00F57652"/>
    <w:rsid w:val="00F621F8"/>
    <w:rsid w:val="00F94FBD"/>
    <w:rsid w:val="00FA10D1"/>
    <w:rsid w:val="00FC5624"/>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7ED20"/>
  <w15:chartTrackingRefBased/>
  <w15:docId w15:val="{949493B7-C36E-48FE-830F-155E8984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venir Next LT Pro" w:eastAsiaTheme="minorHAnsi" w:hAnsi="Avenir Next LT Pro" w:cstheme="minorBidi"/>
        <w:color w:val="000000" w:themeColor="text1"/>
        <w:sz w:val="18"/>
        <w:szCs w:val="1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87A"/>
  </w:style>
  <w:style w:type="paragraph" w:styleId="Titre1">
    <w:name w:val="heading 1"/>
    <w:basedOn w:val="Normal"/>
    <w:next w:val="Normal"/>
    <w:link w:val="Titre1Car"/>
    <w:uiPriority w:val="9"/>
    <w:qFormat/>
    <w:rsid w:val="002B4B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B4B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B4BB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B4BB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2B4BBD"/>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2B4BBD"/>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2B4BBD"/>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2B4BBD"/>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2B4BBD"/>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4BB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B4BB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B4BBD"/>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uiPriority w:val="9"/>
    <w:semiHidden/>
    <w:rsid w:val="002B4BBD"/>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uiPriority w:val="9"/>
    <w:semiHidden/>
    <w:rsid w:val="002B4BBD"/>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uiPriority w:val="9"/>
    <w:semiHidden/>
    <w:rsid w:val="002B4BBD"/>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2B4BBD"/>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2B4BBD"/>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2B4BBD"/>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2B4BBD"/>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reCar">
    <w:name w:val="Titre Car"/>
    <w:basedOn w:val="Policepardfaut"/>
    <w:link w:val="Titre"/>
    <w:uiPriority w:val="10"/>
    <w:rsid w:val="002B4BBD"/>
    <w:rPr>
      <w:rFonts w:asciiTheme="majorHAnsi" w:eastAsiaTheme="majorEastAsia" w:hAnsiTheme="majorHAnsi" w:cstheme="majorBidi"/>
      <w:color w:val="auto"/>
      <w:spacing w:val="-10"/>
      <w:kern w:val="28"/>
      <w:sz w:val="56"/>
      <w:szCs w:val="56"/>
    </w:rPr>
  </w:style>
  <w:style w:type="paragraph" w:styleId="Sous-titre">
    <w:name w:val="Subtitle"/>
    <w:basedOn w:val="Normal"/>
    <w:next w:val="Normal"/>
    <w:link w:val="Sous-titreCar"/>
    <w:uiPriority w:val="11"/>
    <w:qFormat/>
    <w:rsid w:val="002B4BB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B4BBD"/>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2B4BBD"/>
    <w:pPr>
      <w:spacing w:before="160"/>
      <w:jc w:val="center"/>
    </w:pPr>
    <w:rPr>
      <w:i/>
      <w:iCs/>
      <w:color w:val="404040" w:themeColor="text1" w:themeTint="BF"/>
    </w:rPr>
  </w:style>
  <w:style w:type="character" w:customStyle="1" w:styleId="CitationCar">
    <w:name w:val="Citation Car"/>
    <w:basedOn w:val="Policepardfaut"/>
    <w:link w:val="Citation"/>
    <w:uiPriority w:val="29"/>
    <w:rsid w:val="002B4BBD"/>
    <w:rPr>
      <w:i/>
      <w:iCs/>
      <w:color w:val="404040" w:themeColor="text1" w:themeTint="BF"/>
    </w:rPr>
  </w:style>
  <w:style w:type="paragraph" w:styleId="Paragraphedeliste">
    <w:name w:val="List Paragraph"/>
    <w:basedOn w:val="Normal"/>
    <w:uiPriority w:val="34"/>
    <w:qFormat/>
    <w:rsid w:val="002B4BBD"/>
    <w:pPr>
      <w:ind w:left="720"/>
      <w:contextualSpacing/>
    </w:pPr>
  </w:style>
  <w:style w:type="character" w:styleId="Emphaseintense">
    <w:name w:val="Intense Emphasis"/>
    <w:basedOn w:val="Policepardfaut"/>
    <w:uiPriority w:val="21"/>
    <w:qFormat/>
    <w:rsid w:val="002B4BBD"/>
    <w:rPr>
      <w:i/>
      <w:iCs/>
      <w:color w:val="2F5496" w:themeColor="accent1" w:themeShade="BF"/>
    </w:rPr>
  </w:style>
  <w:style w:type="paragraph" w:styleId="Citationintense">
    <w:name w:val="Intense Quote"/>
    <w:basedOn w:val="Normal"/>
    <w:next w:val="Normal"/>
    <w:link w:val="CitationintenseCar"/>
    <w:uiPriority w:val="30"/>
    <w:qFormat/>
    <w:rsid w:val="002B4B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B4BBD"/>
    <w:rPr>
      <w:i/>
      <w:iCs/>
      <w:color w:val="2F5496" w:themeColor="accent1" w:themeShade="BF"/>
    </w:rPr>
  </w:style>
  <w:style w:type="character" w:styleId="Rfrenceintense">
    <w:name w:val="Intense Reference"/>
    <w:basedOn w:val="Policepardfaut"/>
    <w:uiPriority w:val="32"/>
    <w:qFormat/>
    <w:rsid w:val="002B4BBD"/>
    <w:rPr>
      <w:b/>
      <w:bCs/>
      <w:smallCaps/>
      <w:color w:val="2F5496" w:themeColor="accent1" w:themeShade="BF"/>
      <w:spacing w:val="5"/>
    </w:rPr>
  </w:style>
  <w:style w:type="paragraph" w:styleId="Notedebasdepage">
    <w:name w:val="footnote text"/>
    <w:basedOn w:val="Normal"/>
    <w:link w:val="NotedebasdepageCar"/>
    <w:uiPriority w:val="99"/>
    <w:semiHidden/>
    <w:unhideWhenUsed/>
    <w:rsid w:val="00A62E3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62E38"/>
    <w:rPr>
      <w:sz w:val="20"/>
      <w:szCs w:val="20"/>
    </w:rPr>
  </w:style>
  <w:style w:type="character" w:customStyle="1" w:styleId="Hipervnculo1">
    <w:name w:val="Hipervínculo1"/>
    <w:basedOn w:val="Policepardfaut"/>
    <w:uiPriority w:val="99"/>
    <w:unhideWhenUsed/>
    <w:rsid w:val="00A62E38"/>
    <w:rPr>
      <w:color w:val="0000FF"/>
      <w:u w:val="single"/>
    </w:rPr>
  </w:style>
  <w:style w:type="character" w:styleId="Appelnotedebasdep">
    <w:name w:val="footnote reference"/>
    <w:aliases w:val="ftref,ftref Char,BVI fnr Char,BVI fnr Car Char,Char Char Car Char,Char Char Char Char Char Char Char Char Char Char Char Char Char Char Char Char Char Char Char Char Car Char,16 Point Char,16 Point,Superscript 6 Point"/>
    <w:basedOn w:val="Policepardfaut"/>
    <w:link w:val="Nota"/>
    <w:uiPriority w:val="99"/>
    <w:qFormat/>
    <w:rsid w:val="00A62E38"/>
    <w:rPr>
      <w:vertAlign w:val="superscript"/>
    </w:rPr>
  </w:style>
  <w:style w:type="paragraph" w:customStyle="1" w:styleId="Nota">
    <w:name w:val="Nota"/>
    <w:aliases w:val=" Char1,Char1,(NECG) Footnote Reference,fr,Appel note de bas de p,o,Style 6,Signature Ch"/>
    <w:basedOn w:val="Normal"/>
    <w:link w:val="Appelnotedebasdep"/>
    <w:uiPriority w:val="99"/>
    <w:rsid w:val="00A62E38"/>
    <w:pPr>
      <w:spacing w:line="240" w:lineRule="exact"/>
    </w:pPr>
    <w:rPr>
      <w:vertAlign w:val="superscript"/>
    </w:rPr>
  </w:style>
  <w:style w:type="table" w:styleId="Grilledutableau">
    <w:name w:val="Table Grid"/>
    <w:basedOn w:val="TableauNormal"/>
    <w:uiPriority w:val="39"/>
    <w:rsid w:val="00DB7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eauNormal"/>
    <w:next w:val="Grilledutableau"/>
    <w:uiPriority w:val="99"/>
    <w:rsid w:val="0004478C"/>
    <w:pPr>
      <w:spacing w:after="0" w:line="240" w:lineRule="auto"/>
    </w:pPr>
    <w:rPr>
      <w:rFonts w:ascii="Times" w:eastAsia="Times" w:hAnsi="Times" w:cs="Times New Roman"/>
      <w:color w:val="auto"/>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3399D"/>
    <w:pPr>
      <w:spacing w:before="100" w:beforeAutospacing="1" w:after="100" w:afterAutospacing="1" w:line="240" w:lineRule="auto"/>
    </w:pPr>
    <w:rPr>
      <w:rFonts w:ascii="Times New Roman" w:eastAsia="Times New Roman" w:hAnsi="Times New Roman" w:cs="Times New Roman"/>
      <w:color w:val="auto"/>
      <w:sz w:val="24"/>
      <w:szCs w:val="24"/>
      <w:lang w:val="en-GB" w:eastAsia="en-GB"/>
      <w14:ligatures w14:val="none"/>
    </w:rPr>
  </w:style>
  <w:style w:type="character" w:styleId="lev">
    <w:name w:val="Strong"/>
    <w:basedOn w:val="Policepardfaut"/>
    <w:uiPriority w:val="22"/>
    <w:qFormat/>
    <w:rsid w:val="004339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reform-support.ec.europa.eu/what-we-do/revenue-administration-and-public-financial-management/supporting-implementation-green-budgeting-practices-eu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1784</Words>
  <Characters>9816</Characters>
  <Application>Microsoft Office Word</Application>
  <DocSecurity>0</DocSecurity>
  <Lines>81</Lines>
  <Paragraphs>23</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Jimeno</dc:creator>
  <cp:keywords/>
  <dc:description/>
  <cp:lastModifiedBy>Lucille VALENTIN</cp:lastModifiedBy>
  <cp:revision>4</cp:revision>
  <dcterms:created xsi:type="dcterms:W3CDTF">2026-04-27T10:35:00Z</dcterms:created>
  <dcterms:modified xsi:type="dcterms:W3CDTF">2026-04-27T12:22:00Z</dcterms:modified>
</cp:coreProperties>
</file>