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0A39" w14:textId="17E0E326" w:rsidR="0025787A" w:rsidRPr="00067FC0" w:rsidRDefault="0025787A" w:rsidP="0025787A">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bookmarkStart w:id="0" w:name="_GoBack"/>
      <w:bookmarkEnd w:id="0"/>
      <w:r w:rsidRPr="00067FC0">
        <w:rPr>
          <w:rFonts w:ascii="Times New Roman" w:eastAsia="Times New Roman" w:hAnsi="Times New Roman" w:cs="Times New Roman"/>
          <w:b/>
          <w:bCs/>
          <w:color w:val="auto"/>
          <w:sz w:val="28"/>
          <w:szCs w:val="28"/>
          <w:lang w:val="en-GB"/>
          <w14:ligatures w14:val="none"/>
        </w:rPr>
        <w:t>Expert</w:t>
      </w:r>
      <w:r w:rsidRPr="00067FC0">
        <w:rPr>
          <w:rFonts w:ascii="Times New Roman" w:eastAsia="Times New Roman" w:hAnsi="Times New Roman" w:cs="Times New Roman"/>
          <w:b/>
          <w:bCs/>
          <w:color w:val="auto"/>
          <w:spacing w:val="-7"/>
          <w:sz w:val="28"/>
          <w:szCs w:val="28"/>
          <w:lang w:val="en-GB"/>
          <w14:ligatures w14:val="none"/>
        </w:rPr>
        <w:t xml:space="preserve"> </w:t>
      </w:r>
      <w:r w:rsidRPr="00067FC0">
        <w:rPr>
          <w:rFonts w:ascii="Times New Roman" w:eastAsia="Times New Roman" w:hAnsi="Times New Roman" w:cs="Times New Roman"/>
          <w:b/>
          <w:bCs/>
          <w:color w:val="auto"/>
          <w:sz w:val="28"/>
          <w:szCs w:val="28"/>
          <w:lang w:val="en-GB"/>
          <w14:ligatures w14:val="none"/>
        </w:rPr>
        <w:t>in</w:t>
      </w:r>
      <w:r w:rsidRPr="00067FC0">
        <w:rPr>
          <w:rFonts w:ascii="Times New Roman" w:eastAsia="Times New Roman" w:hAnsi="Times New Roman" w:cs="Times New Roman"/>
          <w:b/>
          <w:bCs/>
          <w:color w:val="auto"/>
          <w:spacing w:val="-6"/>
          <w:sz w:val="28"/>
          <w:szCs w:val="28"/>
          <w:lang w:val="en-GB"/>
          <w14:ligatures w14:val="none"/>
        </w:rPr>
        <w:t xml:space="preserve"> </w:t>
      </w:r>
      <w:r>
        <w:rPr>
          <w:rFonts w:ascii="Times New Roman" w:eastAsia="Times New Roman" w:hAnsi="Times New Roman" w:cs="Times New Roman"/>
          <w:b/>
          <w:bCs/>
          <w:color w:val="auto"/>
          <w:sz w:val="28"/>
          <w:szCs w:val="28"/>
          <w:lang w:val="en-GB"/>
          <w14:ligatures w14:val="none"/>
        </w:rPr>
        <w:t>Green Budgeting and Environmental</w:t>
      </w:r>
      <w:r w:rsidR="00F621F8">
        <w:rPr>
          <w:rFonts w:ascii="Times New Roman" w:eastAsia="Times New Roman" w:hAnsi="Times New Roman" w:cs="Times New Roman"/>
          <w:b/>
          <w:bCs/>
          <w:color w:val="auto"/>
          <w:sz w:val="28"/>
          <w:szCs w:val="28"/>
          <w:lang w:val="en-GB"/>
          <w14:ligatures w14:val="none"/>
        </w:rPr>
        <w:t xml:space="preserve"> Fiscal Policy</w:t>
      </w:r>
    </w:p>
    <w:p w14:paraId="4595FAEF" w14:textId="738A4298" w:rsidR="0025787A" w:rsidRPr="00067FC0" w:rsidRDefault="0025787A" w:rsidP="0025787A">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sidRPr="00067FC0">
        <w:rPr>
          <w:rFonts w:ascii="Times New Roman" w:eastAsia="Times New Roman" w:hAnsi="Times New Roman" w:cs="Times New Roman"/>
          <w:b/>
          <w:bCs/>
          <w:color w:val="auto"/>
          <w:sz w:val="24"/>
          <w:szCs w:val="24"/>
          <w:lang w:val="en-GB"/>
          <w14:ligatures w14:val="none"/>
        </w:rPr>
        <w:t>Technical</w:t>
      </w:r>
      <w:r w:rsidRPr="00067FC0">
        <w:rPr>
          <w:rFonts w:ascii="Times New Roman" w:eastAsia="Times New Roman" w:hAnsi="Times New Roman" w:cs="Times New Roman"/>
          <w:b/>
          <w:bCs/>
          <w:color w:val="auto"/>
          <w:spacing w:val="-4"/>
          <w:sz w:val="24"/>
          <w:szCs w:val="24"/>
          <w:lang w:val="en-GB"/>
          <w14:ligatures w14:val="none"/>
        </w:rPr>
        <w:t xml:space="preserve"> </w:t>
      </w:r>
      <w:r w:rsidRPr="00067FC0">
        <w:rPr>
          <w:rFonts w:ascii="Times New Roman" w:eastAsia="Times New Roman" w:hAnsi="Times New Roman" w:cs="Times New Roman"/>
          <w:b/>
          <w:bCs/>
          <w:color w:val="auto"/>
          <w:sz w:val="24"/>
          <w:szCs w:val="24"/>
          <w:lang w:val="en-GB"/>
          <w14:ligatures w14:val="none"/>
        </w:rPr>
        <w:t>support</w:t>
      </w:r>
      <w:r w:rsidRPr="00067FC0">
        <w:rPr>
          <w:rFonts w:ascii="Times New Roman" w:eastAsia="Times New Roman" w:hAnsi="Times New Roman" w:cs="Times New Roman"/>
          <w:b/>
          <w:bCs/>
          <w:color w:val="auto"/>
          <w:spacing w:val="-4"/>
          <w:sz w:val="24"/>
          <w:szCs w:val="24"/>
          <w:lang w:val="en-GB"/>
          <w14:ligatures w14:val="none"/>
        </w:rPr>
        <w:t xml:space="preserve"> </w:t>
      </w:r>
      <w:r w:rsidR="00F621F8">
        <w:rPr>
          <w:rFonts w:ascii="Times New Roman" w:eastAsia="Times New Roman" w:hAnsi="Times New Roman" w:cs="Times New Roman"/>
          <w:b/>
          <w:bCs/>
          <w:color w:val="auto"/>
          <w:sz w:val="24"/>
          <w:szCs w:val="24"/>
          <w:lang w:val="en-GB"/>
          <w14:ligatures w14:val="none"/>
        </w:rPr>
        <w:t xml:space="preserve">for </w:t>
      </w:r>
      <w:r w:rsidR="004C398B">
        <w:rPr>
          <w:rFonts w:ascii="Times New Roman" w:eastAsia="Times New Roman" w:hAnsi="Times New Roman" w:cs="Times New Roman"/>
          <w:b/>
          <w:bCs/>
          <w:color w:val="auto"/>
          <w:sz w:val="24"/>
          <w:szCs w:val="24"/>
          <w:lang w:val="en-GB"/>
          <w14:ligatures w14:val="none"/>
        </w:rPr>
        <w:t>the EU Civil Servants E</w:t>
      </w:r>
      <w:r w:rsidR="00F621F8">
        <w:rPr>
          <w:rFonts w:ascii="Times New Roman" w:eastAsia="Times New Roman" w:hAnsi="Times New Roman" w:cs="Times New Roman"/>
          <w:b/>
          <w:bCs/>
          <w:color w:val="auto"/>
          <w:sz w:val="24"/>
          <w:szCs w:val="24"/>
          <w:lang w:val="en-GB"/>
          <w14:ligatures w14:val="none"/>
        </w:rPr>
        <w:t xml:space="preserve">xchange </w:t>
      </w:r>
      <w:r w:rsidR="004C398B">
        <w:rPr>
          <w:rFonts w:ascii="Times New Roman" w:eastAsia="Times New Roman" w:hAnsi="Times New Roman" w:cs="Times New Roman"/>
          <w:b/>
          <w:bCs/>
          <w:color w:val="auto"/>
          <w:sz w:val="24"/>
          <w:szCs w:val="24"/>
          <w:lang w:val="en-GB"/>
          <w14:ligatures w14:val="none"/>
        </w:rPr>
        <w:t>P</w:t>
      </w:r>
      <w:r w:rsidR="00F621F8">
        <w:rPr>
          <w:rFonts w:ascii="Times New Roman" w:eastAsia="Times New Roman" w:hAnsi="Times New Roman" w:cs="Times New Roman"/>
          <w:b/>
          <w:bCs/>
          <w:color w:val="auto"/>
          <w:sz w:val="24"/>
          <w:szCs w:val="24"/>
          <w:lang w:val="en-GB"/>
          <w14:ligatures w14:val="none"/>
        </w:rPr>
        <w:t>rogramme</w:t>
      </w:r>
    </w:p>
    <w:p w14:paraId="25C86E94" w14:textId="77777777" w:rsidR="0025787A" w:rsidRPr="00067FC0" w:rsidRDefault="0025787A" w:rsidP="0025787A">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1546EFBF" w14:textId="77777777" w:rsidR="0025787A" w:rsidRPr="00067FC0" w:rsidRDefault="0025787A" w:rsidP="0025787A">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067FC0">
        <w:rPr>
          <w:rFonts w:ascii="Times New Roman" w:eastAsia="Times New Roman" w:hAnsi="Times New Roman" w:cs="Times New Roman"/>
          <w:b/>
          <w:bCs/>
          <w:color w:val="auto"/>
          <w:sz w:val="22"/>
          <w:szCs w:val="22"/>
          <w:lang w:val="en-GB"/>
          <w14:ligatures w14:val="none"/>
        </w:rPr>
        <w:t>Duty</w:t>
      </w:r>
      <w:r w:rsidRPr="00067FC0">
        <w:rPr>
          <w:rFonts w:ascii="Times New Roman" w:eastAsia="Times New Roman" w:hAnsi="Times New Roman" w:cs="Times New Roman"/>
          <w:b/>
          <w:bCs/>
          <w:color w:val="auto"/>
          <w:spacing w:val="-1"/>
          <w:sz w:val="22"/>
          <w:szCs w:val="22"/>
          <w:lang w:val="en-GB"/>
          <w14:ligatures w14:val="none"/>
        </w:rPr>
        <w:t xml:space="preserve"> </w:t>
      </w:r>
      <w:r w:rsidRPr="00067FC0">
        <w:rPr>
          <w:rFonts w:ascii="Times New Roman" w:eastAsia="Times New Roman" w:hAnsi="Times New Roman" w:cs="Times New Roman"/>
          <w:b/>
          <w:bCs/>
          <w:color w:val="auto"/>
          <w:sz w:val="22"/>
          <w:szCs w:val="22"/>
          <w:lang w:val="en-GB"/>
          <w14:ligatures w14:val="none"/>
        </w:rPr>
        <w:t>station:</w:t>
      </w:r>
      <w:r w:rsidRPr="00067FC0">
        <w:rPr>
          <w:rFonts w:ascii="Times New Roman" w:eastAsia="Times New Roman" w:hAnsi="Times New Roman" w:cs="Times New Roman"/>
          <w:b/>
          <w:bCs/>
          <w:color w:val="auto"/>
          <w:spacing w:val="-1"/>
          <w:sz w:val="22"/>
          <w:szCs w:val="22"/>
          <w:lang w:val="en-GB"/>
          <w14:ligatures w14:val="none"/>
        </w:rPr>
        <w:t xml:space="preserve"> </w:t>
      </w:r>
      <w:r w:rsidRPr="00067FC0">
        <w:rPr>
          <w:rFonts w:ascii="Times New Roman" w:eastAsia="Times New Roman" w:hAnsi="Times New Roman" w:cs="Times New Roman"/>
          <w:color w:val="auto"/>
          <w:spacing w:val="-2"/>
          <w:sz w:val="22"/>
          <w:szCs w:val="22"/>
          <w:lang w:val="en-GB"/>
          <w14:ligatures w14:val="none"/>
        </w:rPr>
        <w:t>remote</w:t>
      </w:r>
    </w:p>
    <w:p w14:paraId="5D682CE7" w14:textId="77777777" w:rsidR="0025787A" w:rsidRPr="00067FC0" w:rsidRDefault="0025787A" w:rsidP="0025787A">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Contract</w:t>
      </w:r>
      <w:r w:rsidRPr="00067FC0">
        <w:rPr>
          <w:rFonts w:ascii="Times New Roman" w:eastAsia="Times New Roman" w:hAnsi="Times New Roman" w:cs="Times New Roman"/>
          <w:b/>
          <w:color w:val="auto"/>
          <w:spacing w:val="1"/>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type:</w:t>
      </w:r>
      <w:r w:rsidRPr="00067FC0">
        <w:rPr>
          <w:rFonts w:ascii="Times New Roman" w:eastAsia="Times New Roman" w:hAnsi="Times New Roman" w:cs="Times New Roman"/>
          <w:b/>
          <w:color w:val="auto"/>
          <w:spacing w:val="-16"/>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service</w:t>
      </w:r>
      <w:r w:rsidRPr="00067FC0">
        <w:rPr>
          <w:rFonts w:ascii="Times New Roman" w:eastAsia="Times New Roman" w:hAnsi="Times New Roman" w:cs="Times New Roman"/>
          <w:color w:val="auto"/>
          <w:spacing w:val="-1"/>
          <w:sz w:val="22"/>
          <w:szCs w:val="22"/>
          <w:lang w:val="en-GB"/>
          <w14:ligatures w14:val="none"/>
        </w:rPr>
        <w:t xml:space="preserve"> </w:t>
      </w:r>
      <w:r w:rsidRPr="00067FC0">
        <w:rPr>
          <w:rFonts w:ascii="Times New Roman" w:eastAsia="Times New Roman" w:hAnsi="Times New Roman" w:cs="Times New Roman"/>
          <w:color w:val="auto"/>
          <w:spacing w:val="-2"/>
          <w:sz w:val="22"/>
          <w:szCs w:val="22"/>
          <w:lang w:val="en-GB"/>
          <w14:ligatures w14:val="none"/>
        </w:rPr>
        <w:t>contract</w:t>
      </w:r>
    </w:p>
    <w:p w14:paraId="008F94CE" w14:textId="549918B6" w:rsidR="0025787A" w:rsidRDefault="0025787A" w:rsidP="0025787A">
      <w:pPr>
        <w:widowControl w:val="0"/>
        <w:autoSpaceDE w:val="0"/>
        <w:autoSpaceDN w:val="0"/>
        <w:spacing w:after="0" w:line="240" w:lineRule="auto"/>
        <w:rPr>
          <w:rFonts w:ascii="Times New Roman" w:eastAsia="Times New Roman" w:hAnsi="Times New Roman" w:cs="Times New Roman"/>
          <w:b/>
          <w:color w:val="auto"/>
          <w:spacing w:val="-1"/>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Duration:</w:t>
      </w:r>
      <w:r w:rsidRPr="00067FC0">
        <w:rPr>
          <w:rFonts w:ascii="Times New Roman" w:eastAsia="Times New Roman" w:hAnsi="Times New Roman" w:cs="Times New Roman"/>
          <w:b/>
          <w:color w:val="auto"/>
          <w:spacing w:val="-1"/>
          <w:sz w:val="22"/>
          <w:szCs w:val="22"/>
          <w:lang w:val="en-GB"/>
          <w14:ligatures w14:val="none"/>
        </w:rPr>
        <w:t xml:space="preserve"> </w:t>
      </w:r>
      <w:r w:rsidR="00652395" w:rsidRPr="00652395">
        <w:rPr>
          <w:rFonts w:ascii="Times New Roman" w:eastAsia="Times New Roman" w:hAnsi="Times New Roman" w:cs="Times New Roman"/>
          <w:bCs/>
          <w:color w:val="auto"/>
          <w:spacing w:val="-1"/>
          <w:sz w:val="22"/>
          <w:szCs w:val="22"/>
          <w:lang w:val="en-GB"/>
          <w14:ligatures w14:val="none"/>
        </w:rPr>
        <w:t>30 months</w:t>
      </w:r>
    </w:p>
    <w:p w14:paraId="1F4C521E" w14:textId="25BBDB81" w:rsidR="0025787A" w:rsidRPr="00067FC0" w:rsidRDefault="0025787A" w:rsidP="0025787A">
      <w:pPr>
        <w:widowControl w:val="0"/>
        <w:autoSpaceDE w:val="0"/>
        <w:autoSpaceDN w:val="0"/>
        <w:spacing w:after="0" w:line="240" w:lineRule="auto"/>
        <w:rPr>
          <w:rFonts w:ascii="Times New Roman" w:eastAsia="Times New Roman" w:hAnsi="Times New Roman" w:cs="Times New Roman"/>
          <w:color w:val="auto"/>
          <w:spacing w:val="-4"/>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Total number of working days:</w:t>
      </w:r>
      <w:r w:rsidR="00652395">
        <w:rPr>
          <w:rFonts w:ascii="Times New Roman" w:eastAsia="Times New Roman" w:hAnsi="Times New Roman" w:cs="Times New Roman"/>
          <w:b/>
          <w:color w:val="auto"/>
          <w:spacing w:val="-1"/>
          <w:sz w:val="22"/>
          <w:szCs w:val="22"/>
          <w:lang w:val="en-GB"/>
          <w14:ligatures w14:val="none"/>
        </w:rPr>
        <w:t xml:space="preserve"> </w:t>
      </w:r>
      <w:r w:rsidR="00652395" w:rsidRPr="00652395">
        <w:rPr>
          <w:rFonts w:ascii="Times New Roman" w:eastAsia="Times New Roman" w:hAnsi="Times New Roman" w:cs="Times New Roman"/>
          <w:bCs/>
          <w:color w:val="auto"/>
          <w:spacing w:val="-1"/>
          <w:sz w:val="22"/>
          <w:szCs w:val="22"/>
          <w:lang w:val="en-GB"/>
          <w14:ligatures w14:val="none"/>
        </w:rPr>
        <w:t>30</w:t>
      </w:r>
    </w:p>
    <w:p w14:paraId="4DF713FA" w14:textId="77777777" w:rsidR="0025787A" w:rsidRPr="00067FC0" w:rsidRDefault="0025787A" w:rsidP="0025787A">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Financing Authority:</w:t>
      </w:r>
      <w:r w:rsidRPr="00067FC0">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1AC64350" w14:textId="77777777" w:rsidR="0025787A" w:rsidRPr="00067FC0" w:rsidRDefault="0025787A" w:rsidP="0025787A">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 xml:space="preserve">Implementing Partner: </w:t>
      </w:r>
      <w:r w:rsidRPr="00067FC0">
        <w:rPr>
          <w:rFonts w:ascii="Times New Roman" w:eastAsia="Times New Roman" w:hAnsi="Times New Roman" w:cs="Times New Roman"/>
          <w:bCs/>
          <w:color w:val="auto"/>
          <w:sz w:val="22"/>
          <w:szCs w:val="22"/>
          <w:lang w:val="en-GB"/>
          <w14:ligatures w14:val="none"/>
        </w:rPr>
        <w:t>Expertise France</w:t>
      </w:r>
    </w:p>
    <w:p w14:paraId="43111BFE" w14:textId="77777777" w:rsidR="0025787A" w:rsidRPr="00067FC0" w:rsidRDefault="0025787A" w:rsidP="0025787A">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color w:val="auto"/>
          <w:sz w:val="22"/>
          <w:szCs w:val="22"/>
          <w:lang w:val="en-GB"/>
          <w14:ligatures w14:val="none"/>
        </w:rPr>
        <w:t>Deadline</w:t>
      </w:r>
      <w:r w:rsidRPr="00067FC0">
        <w:rPr>
          <w:rFonts w:ascii="Times New Roman" w:eastAsia="Times New Roman" w:hAnsi="Times New Roman" w:cs="Times New Roman"/>
          <w:b/>
          <w:color w:val="auto"/>
          <w:spacing w:val="-2"/>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for</w:t>
      </w:r>
      <w:r w:rsidRPr="00067FC0">
        <w:rPr>
          <w:rFonts w:ascii="Times New Roman" w:eastAsia="Times New Roman" w:hAnsi="Times New Roman" w:cs="Times New Roman"/>
          <w:b/>
          <w:color w:val="auto"/>
          <w:spacing w:val="-2"/>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application</w:t>
      </w:r>
      <w:r w:rsidRPr="00067FC0">
        <w:rPr>
          <w:rFonts w:ascii="Times New Roman" w:eastAsia="Times New Roman" w:hAnsi="Times New Roman" w:cs="Times New Roman"/>
          <w:b/>
          <w:color w:val="auto"/>
          <w:spacing w:val="-1"/>
          <w:sz w:val="22"/>
          <w:szCs w:val="22"/>
          <w:lang w:val="en-GB"/>
          <w14:ligatures w14:val="none"/>
        </w:rPr>
        <w:t xml:space="preserve"> </w:t>
      </w:r>
      <w:r w:rsidRPr="00067FC0">
        <w:rPr>
          <w:rFonts w:ascii="Times New Roman" w:eastAsia="Times New Roman" w:hAnsi="Times New Roman" w:cs="Times New Roman"/>
          <w:b/>
          <w:color w:val="auto"/>
          <w:sz w:val="22"/>
          <w:szCs w:val="22"/>
          <w:lang w:val="en-GB"/>
          <w14:ligatures w14:val="none"/>
        </w:rPr>
        <w:t>is:</w:t>
      </w:r>
      <w:r w:rsidRPr="00067FC0">
        <w:rPr>
          <w:rFonts w:ascii="Times New Roman" w:eastAsia="Times New Roman" w:hAnsi="Times New Roman" w:cs="Times New Roman"/>
          <w:b/>
          <w:color w:val="auto"/>
          <w:spacing w:val="2"/>
          <w:sz w:val="22"/>
          <w:szCs w:val="22"/>
          <w:lang w:val="en-GB"/>
          <w14:ligatures w14:val="none"/>
        </w:rPr>
        <w:t xml:space="preserve"> </w:t>
      </w:r>
    </w:p>
    <w:p w14:paraId="026BC781" w14:textId="77777777" w:rsidR="0025787A" w:rsidRPr="00067FC0" w:rsidRDefault="0025787A" w:rsidP="0025787A">
      <w:pPr>
        <w:widowControl w:val="0"/>
        <w:autoSpaceDE w:val="0"/>
        <w:autoSpaceDN w:val="0"/>
        <w:spacing w:before="6" w:after="0" w:line="240" w:lineRule="auto"/>
        <w:rPr>
          <w:rFonts w:ascii="Times New Roman" w:eastAsia="Times New Roman" w:hAnsi="Times New Roman" w:cs="Times New Roman"/>
          <w:color w:val="auto"/>
          <w:sz w:val="24"/>
          <w:szCs w:val="24"/>
          <w:lang w:val="en-GB"/>
          <w14:ligatures w14:val="none"/>
        </w:rPr>
      </w:pPr>
    </w:p>
    <w:p w14:paraId="4B19EC6F" w14:textId="09C2E3F4" w:rsidR="009A06B0" w:rsidRPr="009A06B0" w:rsidRDefault="0025787A"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067FC0">
        <w:rPr>
          <w:rFonts w:ascii="Times New Roman" w:eastAsia="Times New Roman" w:hAnsi="Times New Roman" w:cs="Times New Roman"/>
          <w:b/>
          <w:bCs/>
          <w:color w:val="auto"/>
          <w:sz w:val="22"/>
          <w:szCs w:val="22"/>
          <w:lang w:val="en-GB"/>
          <w14:ligatures w14:val="none"/>
        </w:rPr>
        <w:t xml:space="preserve">Mission </w:t>
      </w:r>
      <w:r w:rsidRPr="00067FC0">
        <w:rPr>
          <w:rFonts w:ascii="Times New Roman" w:eastAsia="Times New Roman" w:hAnsi="Times New Roman" w:cs="Times New Roman"/>
          <w:b/>
          <w:bCs/>
          <w:color w:val="auto"/>
          <w:spacing w:val="-2"/>
          <w:sz w:val="22"/>
          <w:szCs w:val="22"/>
          <w:lang w:val="en-GB"/>
          <w14:ligatures w14:val="none"/>
        </w:rPr>
        <w:t xml:space="preserve">Description: </w:t>
      </w:r>
      <w:r w:rsidRPr="00067FC0">
        <w:rPr>
          <w:rFonts w:ascii="Times New Roman" w:eastAsia="Times New Roman" w:hAnsi="Times New Roman" w:cs="Times New Roman"/>
          <w:color w:val="auto"/>
          <w:sz w:val="22"/>
          <w:szCs w:val="22"/>
          <w:lang w:val="en-GB"/>
          <w14:ligatures w14:val="none"/>
        </w:rPr>
        <w:t>In</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the</w:t>
      </w:r>
      <w:r w:rsidRPr="00067FC0">
        <w:rPr>
          <w:rFonts w:ascii="Times New Roman" w:eastAsia="Times New Roman" w:hAnsi="Times New Roman" w:cs="Times New Roman"/>
          <w:color w:val="auto"/>
          <w:spacing w:val="-1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framework</w:t>
      </w:r>
      <w:r w:rsidRPr="00067FC0">
        <w:rPr>
          <w:rFonts w:ascii="Times New Roman" w:eastAsia="Times New Roman" w:hAnsi="Times New Roman" w:cs="Times New Roman"/>
          <w:color w:val="auto"/>
          <w:spacing w:val="-14"/>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of</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the</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project Implementing Effective Green Budgeting practices,</w:t>
      </w:r>
      <w:r w:rsidRPr="00067FC0">
        <w:rPr>
          <w:rFonts w:ascii="Times New Roman" w:eastAsia="Times New Roman" w:hAnsi="Times New Roman" w:cs="Times New Roman"/>
          <w:color w:val="auto"/>
          <w:spacing w:val="-13"/>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Expertise</w:t>
      </w:r>
      <w:r w:rsidRPr="00067FC0">
        <w:rPr>
          <w:rFonts w:ascii="Times New Roman" w:eastAsia="Times New Roman" w:hAnsi="Times New Roman" w:cs="Times New Roman"/>
          <w:color w:val="auto"/>
          <w:spacing w:val="-11"/>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France</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is</w:t>
      </w:r>
      <w:r w:rsidRPr="00067FC0">
        <w:rPr>
          <w:rFonts w:ascii="Times New Roman" w:eastAsia="Times New Roman" w:hAnsi="Times New Roman" w:cs="Times New Roman"/>
          <w:color w:val="auto"/>
          <w:spacing w:val="-12"/>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recruiting an expert in</w:t>
      </w:r>
      <w:r w:rsidR="00652395" w:rsidRPr="00652395">
        <w:rPr>
          <w:rFonts w:ascii="Times New Roman" w:eastAsia="Times New Roman" w:hAnsi="Times New Roman" w:cs="Times New Roman"/>
          <w:color w:val="auto"/>
          <w:sz w:val="22"/>
          <w:szCs w:val="22"/>
          <w:lang w:val="en-GB"/>
          <w14:ligatures w14:val="none"/>
        </w:rPr>
        <w:t xml:space="preserve"> Green Budgeting and Environmental Fiscal Policy</w:t>
      </w:r>
      <w:r w:rsidR="00652395">
        <w:rPr>
          <w:rFonts w:ascii="Times New Roman" w:eastAsia="Times New Roman" w:hAnsi="Times New Roman" w:cs="Times New Roman"/>
          <w:color w:val="auto"/>
          <w:sz w:val="22"/>
          <w:szCs w:val="22"/>
          <w:lang w:val="en-GB"/>
          <w14:ligatures w14:val="none"/>
        </w:rPr>
        <w:t xml:space="preserve">, with strong knowledge </w:t>
      </w:r>
      <w:r w:rsidR="004C398B">
        <w:rPr>
          <w:rFonts w:ascii="Times New Roman" w:eastAsia="Times New Roman" w:hAnsi="Times New Roman" w:cs="Times New Roman"/>
          <w:color w:val="auto"/>
          <w:sz w:val="22"/>
          <w:szCs w:val="22"/>
          <w:lang w:val="en-GB"/>
          <w14:ligatures w14:val="none"/>
        </w:rPr>
        <w:t>of public</w:t>
      </w:r>
      <w:r w:rsidR="00652395">
        <w:rPr>
          <w:rFonts w:ascii="Times New Roman" w:eastAsia="Times New Roman" w:hAnsi="Times New Roman" w:cs="Times New Roman"/>
          <w:color w:val="auto"/>
          <w:sz w:val="22"/>
          <w:szCs w:val="22"/>
          <w:lang w:val="en-GB"/>
          <w14:ligatures w14:val="none"/>
        </w:rPr>
        <w:t xml:space="preserve"> finances </w:t>
      </w:r>
      <w:r w:rsidR="004C398B">
        <w:rPr>
          <w:rFonts w:ascii="Times New Roman" w:eastAsia="Times New Roman" w:hAnsi="Times New Roman" w:cs="Times New Roman"/>
          <w:color w:val="auto"/>
          <w:sz w:val="22"/>
          <w:szCs w:val="22"/>
          <w:lang w:val="en-GB"/>
          <w14:ligatures w14:val="none"/>
        </w:rPr>
        <w:t>and the</w:t>
      </w:r>
      <w:r w:rsidR="00652395">
        <w:rPr>
          <w:rFonts w:ascii="Times New Roman" w:eastAsia="Times New Roman" w:hAnsi="Times New Roman" w:cs="Times New Roman"/>
          <w:color w:val="auto"/>
          <w:sz w:val="22"/>
          <w:szCs w:val="22"/>
          <w:lang w:val="en-GB"/>
          <w14:ligatures w14:val="none"/>
        </w:rPr>
        <w:t xml:space="preserve"> </w:t>
      </w:r>
      <w:r w:rsidRPr="00067FC0">
        <w:rPr>
          <w:rFonts w:ascii="Times New Roman" w:eastAsia="Times New Roman" w:hAnsi="Times New Roman" w:cs="Times New Roman"/>
          <w:color w:val="auto"/>
          <w:sz w:val="22"/>
          <w:szCs w:val="22"/>
          <w:lang w:val="en-GB"/>
          <w14:ligatures w14:val="none"/>
        </w:rPr>
        <w:t xml:space="preserve">latest </w:t>
      </w:r>
      <w:r>
        <w:rPr>
          <w:rFonts w:ascii="Times New Roman" w:eastAsia="Times New Roman" w:hAnsi="Times New Roman" w:cs="Times New Roman"/>
          <w:color w:val="auto"/>
          <w:sz w:val="22"/>
          <w:szCs w:val="22"/>
          <w:lang w:val="en-GB"/>
          <w14:ligatures w14:val="none"/>
        </w:rPr>
        <w:t xml:space="preserve">Climate and Environmental </w:t>
      </w:r>
      <w:r w:rsidRPr="00067FC0">
        <w:rPr>
          <w:rFonts w:ascii="Times New Roman" w:eastAsia="Times New Roman" w:hAnsi="Times New Roman" w:cs="Times New Roman"/>
          <w:color w:val="auto"/>
          <w:sz w:val="22"/>
          <w:szCs w:val="22"/>
          <w:lang w:val="en-GB"/>
          <w14:ligatures w14:val="none"/>
        </w:rPr>
        <w:t>policy developments at EU</w:t>
      </w:r>
      <w:r w:rsidR="00652395">
        <w:rPr>
          <w:rFonts w:ascii="Times New Roman" w:eastAsia="Times New Roman" w:hAnsi="Times New Roman" w:cs="Times New Roman"/>
          <w:color w:val="auto"/>
          <w:sz w:val="22"/>
          <w:szCs w:val="22"/>
          <w:lang w:val="en-GB"/>
          <w14:ligatures w14:val="none"/>
        </w:rPr>
        <w:t xml:space="preserve"> and international</w:t>
      </w:r>
      <w:r w:rsidRPr="00067FC0">
        <w:rPr>
          <w:rFonts w:ascii="Times New Roman" w:eastAsia="Times New Roman" w:hAnsi="Times New Roman" w:cs="Times New Roman"/>
          <w:color w:val="auto"/>
          <w:sz w:val="22"/>
          <w:szCs w:val="22"/>
          <w:lang w:val="en-GB"/>
          <w14:ligatures w14:val="none"/>
        </w:rPr>
        <w:t xml:space="preserve"> </w:t>
      </w:r>
      <w:r w:rsidR="004C398B" w:rsidRPr="00067FC0">
        <w:rPr>
          <w:rFonts w:ascii="Times New Roman" w:eastAsia="Times New Roman" w:hAnsi="Times New Roman" w:cs="Times New Roman"/>
          <w:color w:val="auto"/>
          <w:sz w:val="22"/>
          <w:szCs w:val="22"/>
          <w:lang w:val="en-GB"/>
          <w14:ligatures w14:val="none"/>
        </w:rPr>
        <w:t>leve</w:t>
      </w:r>
      <w:r w:rsidR="004C398B">
        <w:rPr>
          <w:rFonts w:ascii="Times New Roman" w:eastAsia="Times New Roman" w:hAnsi="Times New Roman" w:cs="Times New Roman"/>
          <w:color w:val="auto"/>
          <w:sz w:val="22"/>
          <w:szCs w:val="22"/>
          <w:lang w:val="en-GB"/>
          <w14:ligatures w14:val="none"/>
        </w:rPr>
        <w:t>l.</w:t>
      </w:r>
      <w:r w:rsidR="004C398B" w:rsidRPr="009A06B0">
        <w:rPr>
          <w:rFonts w:ascii="Times New Roman" w:eastAsia="Times New Roman" w:hAnsi="Times New Roman" w:cs="Times New Roman"/>
          <w:color w:val="auto"/>
          <w:sz w:val="22"/>
          <w:szCs w:val="22"/>
          <w:lang w:val="en-GB"/>
          <w14:ligatures w14:val="none"/>
        </w:rPr>
        <w:t xml:space="preserve"> </w:t>
      </w:r>
      <w:r w:rsidR="00B73969">
        <w:rPr>
          <w:rFonts w:ascii="Times New Roman" w:eastAsia="Times New Roman" w:hAnsi="Times New Roman" w:cs="Times New Roman"/>
          <w:color w:val="auto"/>
          <w:sz w:val="22"/>
          <w:szCs w:val="22"/>
          <w:lang w:val="en-GB"/>
          <w14:ligatures w14:val="none"/>
        </w:rPr>
        <w:t xml:space="preserve">The </w:t>
      </w:r>
      <w:r w:rsidR="00B73969" w:rsidRPr="00B73969">
        <w:rPr>
          <w:rFonts w:ascii="Times New Roman" w:eastAsia="Times New Roman" w:hAnsi="Times New Roman" w:cs="Times New Roman"/>
          <w:color w:val="auto"/>
          <w:sz w:val="22"/>
          <w:szCs w:val="22"/>
          <w:lang w:val="en-GB"/>
          <w14:ligatures w14:val="none"/>
        </w:rPr>
        <w:t xml:space="preserve">Technical Green Budgeting Expert will develop the peer-exchange program in terms of content, learning methods, and strategic objectives, as well as facilitate the peer-exchanges, provide recommendations on how to integrate EU Member States best practices, and consolidate the findings from the peer-exchanges discussions and horizontal outputs from a technical and policy perspective. </w:t>
      </w:r>
      <w:r w:rsidR="000E7EFD">
        <w:rPr>
          <w:rFonts w:ascii="Times New Roman" w:eastAsia="Times New Roman" w:hAnsi="Times New Roman" w:cs="Times New Roman"/>
          <w:color w:val="auto"/>
          <w:sz w:val="22"/>
          <w:szCs w:val="22"/>
          <w:lang w:val="en-GB"/>
          <w14:ligatures w14:val="none"/>
        </w:rPr>
        <w:t xml:space="preserve">In addition, </w:t>
      </w:r>
      <w:r w:rsidR="000B194B">
        <w:rPr>
          <w:rFonts w:ascii="Times New Roman" w:eastAsia="Times New Roman" w:hAnsi="Times New Roman" w:cs="Times New Roman"/>
          <w:color w:val="auto"/>
          <w:sz w:val="22"/>
          <w:szCs w:val="22"/>
          <w:lang w:val="en-GB"/>
          <w14:ligatures w14:val="none"/>
        </w:rPr>
        <w:t xml:space="preserve">during the inception phase, </w:t>
      </w:r>
      <w:r w:rsidR="000E7EFD">
        <w:rPr>
          <w:rFonts w:ascii="Times New Roman" w:eastAsia="Times New Roman" w:hAnsi="Times New Roman" w:cs="Times New Roman"/>
          <w:color w:val="auto"/>
          <w:sz w:val="22"/>
          <w:szCs w:val="22"/>
          <w:lang w:val="en-GB"/>
          <w14:ligatures w14:val="none"/>
        </w:rPr>
        <w:t xml:space="preserve">the Expert is required to provide </w:t>
      </w:r>
      <w:r w:rsidR="000E3A98">
        <w:rPr>
          <w:rFonts w:ascii="Times New Roman" w:eastAsia="Times New Roman" w:hAnsi="Times New Roman" w:cs="Times New Roman"/>
          <w:color w:val="auto"/>
          <w:sz w:val="22"/>
          <w:szCs w:val="22"/>
          <w:lang w:val="en-GB"/>
          <w14:ligatures w14:val="none"/>
        </w:rPr>
        <w:t xml:space="preserve">feedback </w:t>
      </w:r>
      <w:r w:rsidR="000B194B">
        <w:rPr>
          <w:rFonts w:ascii="Times New Roman" w:eastAsia="Times New Roman" w:hAnsi="Times New Roman" w:cs="Times New Roman"/>
          <w:color w:val="auto"/>
          <w:sz w:val="22"/>
          <w:szCs w:val="22"/>
          <w:lang w:val="en-GB"/>
          <w14:ligatures w14:val="none"/>
        </w:rPr>
        <w:t>on the</w:t>
      </w:r>
      <w:r w:rsidR="006528D5">
        <w:rPr>
          <w:rFonts w:ascii="Times New Roman" w:eastAsia="Times New Roman" w:hAnsi="Times New Roman" w:cs="Times New Roman"/>
          <w:color w:val="auto"/>
          <w:sz w:val="22"/>
          <w:szCs w:val="22"/>
          <w:lang w:val="en-GB"/>
          <w14:ligatures w14:val="none"/>
        </w:rPr>
        <w:t xml:space="preserve"> green budgeting</w:t>
      </w:r>
      <w:r w:rsidR="000B194B">
        <w:rPr>
          <w:rFonts w:ascii="Times New Roman" w:eastAsia="Times New Roman" w:hAnsi="Times New Roman" w:cs="Times New Roman"/>
          <w:color w:val="auto"/>
          <w:sz w:val="22"/>
          <w:szCs w:val="22"/>
          <w:lang w:val="en-GB"/>
          <w14:ligatures w14:val="none"/>
        </w:rPr>
        <w:t xml:space="preserve"> methodologies of Ireland´s</w:t>
      </w:r>
      <w:r w:rsidR="000E3A98">
        <w:rPr>
          <w:rFonts w:ascii="Times New Roman" w:eastAsia="Times New Roman" w:hAnsi="Times New Roman" w:cs="Times New Roman"/>
          <w:color w:val="auto"/>
          <w:sz w:val="22"/>
          <w:szCs w:val="22"/>
          <w:lang w:val="en-GB"/>
          <w14:ligatures w14:val="none"/>
        </w:rPr>
        <w:t xml:space="preserve"> </w:t>
      </w:r>
      <w:r w:rsidR="000B194B" w:rsidRPr="000B194B">
        <w:rPr>
          <w:rFonts w:ascii="Times New Roman" w:eastAsia="Times New Roman" w:hAnsi="Times New Roman" w:cs="Times New Roman"/>
          <w:color w:val="auto"/>
          <w:sz w:val="22"/>
          <w:szCs w:val="22"/>
          <w:lang w:val="en-GB"/>
          <w14:ligatures w14:val="none"/>
        </w:rPr>
        <w:t>Department of Public Expenditure and Reform, Department of Finance of Ireland</w:t>
      </w:r>
      <w:r w:rsidR="000B194B">
        <w:rPr>
          <w:rFonts w:ascii="Times New Roman" w:eastAsia="Times New Roman" w:hAnsi="Times New Roman" w:cs="Times New Roman"/>
          <w:color w:val="auto"/>
          <w:sz w:val="22"/>
          <w:szCs w:val="22"/>
          <w:lang w:val="en-GB"/>
          <w14:ligatures w14:val="none"/>
        </w:rPr>
        <w:t xml:space="preserve">. </w:t>
      </w:r>
    </w:p>
    <w:p w14:paraId="3C904C78" w14:textId="77777777" w:rsidR="009A06B0" w:rsidRPr="009A06B0" w:rsidRDefault="009A06B0"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60084809" w14:textId="5A2D56C8" w:rsidR="009A06B0" w:rsidRDefault="009A06B0"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9A06B0">
        <w:rPr>
          <w:rFonts w:ascii="Times New Roman" w:eastAsia="Times New Roman" w:hAnsi="Times New Roman" w:cs="Times New Roman"/>
          <w:color w:val="auto"/>
          <w:sz w:val="22"/>
          <w:szCs w:val="22"/>
          <w:lang w:val="en-GB"/>
          <w14:ligatures w14:val="none"/>
        </w:rPr>
        <w:t xml:space="preserve">The expert will collaborate with Expertise France´s Project Management team, </w:t>
      </w:r>
      <w:r w:rsidRPr="009A06B0">
        <w:rPr>
          <w:rFonts w:ascii="Times New Roman" w:eastAsia="Times New Roman" w:hAnsi="Times New Roman" w:cs="Times New Roman"/>
          <w:color w:val="auto"/>
          <w:sz w:val="22"/>
          <w:szCs w:val="22"/>
          <w:lang w:val="en-GB"/>
          <w14:ligatures w14:val="none"/>
        </w:rPr>
        <w:lastRenderedPageBreak/>
        <w:t>policy officers from the Task Force for Reform and Investment (SG REFORM), and technical experts from the European Commission Joint Research Centre (JRC).</w:t>
      </w:r>
    </w:p>
    <w:p w14:paraId="651EDAE0" w14:textId="77777777" w:rsidR="00E76011" w:rsidRDefault="00E76011"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655"/>
      </w:tblGrid>
      <w:tr w:rsidR="00E76011" w:rsidRPr="00E76011" w14:paraId="1B637C70" w14:textId="77777777" w:rsidTr="000260F0">
        <w:trPr>
          <w:trHeight w:val="940"/>
        </w:trPr>
        <w:tc>
          <w:tcPr>
            <w:tcW w:w="1701" w:type="dxa"/>
            <w:shd w:val="clear" w:color="auto" w:fill="002060"/>
          </w:tcPr>
          <w:p w14:paraId="2ACFF0F9" w14:textId="5B8424CC" w:rsidR="00E76011" w:rsidRPr="00E76011" w:rsidRDefault="00555ED2" w:rsidP="00E76011">
            <w:pPr>
              <w:widowControl w:val="0"/>
              <w:autoSpaceDE w:val="0"/>
              <w:autoSpaceDN w:val="0"/>
              <w:spacing w:after="0" w:line="240" w:lineRule="auto"/>
              <w:jc w:val="both"/>
              <w:outlineLvl w:val="0"/>
              <w:rPr>
                <w:rFonts w:ascii="Times New Roman" w:eastAsia="Times New Roman" w:hAnsi="Times New Roman" w:cs="Times New Roman"/>
                <w:b/>
                <w:color w:val="auto"/>
                <w:sz w:val="22"/>
                <w:szCs w:val="22"/>
                <w:lang w:val="en-GB"/>
                <w14:ligatures w14:val="none"/>
              </w:rPr>
            </w:pPr>
            <w:r>
              <w:rPr>
                <w:rFonts w:ascii="Times New Roman" w:eastAsia="Times New Roman" w:hAnsi="Times New Roman" w:cs="Times New Roman"/>
                <w:b/>
                <w:color w:val="auto"/>
                <w:sz w:val="22"/>
                <w:szCs w:val="22"/>
                <w:lang w:val="en-GB"/>
                <w14:ligatures w14:val="none"/>
              </w:rPr>
              <w:t>Deliverable</w:t>
            </w:r>
            <w:r w:rsidR="00E76011" w:rsidRPr="00E76011">
              <w:rPr>
                <w:rFonts w:ascii="Times New Roman" w:eastAsia="Times New Roman" w:hAnsi="Times New Roman" w:cs="Times New Roman"/>
                <w:b/>
                <w:color w:val="auto"/>
                <w:sz w:val="22"/>
                <w:szCs w:val="22"/>
                <w:lang w:val="en-GB"/>
                <w14:ligatures w14:val="none"/>
              </w:rPr>
              <w:t xml:space="preserve"> and estimated </w:t>
            </w:r>
            <w:r>
              <w:rPr>
                <w:rFonts w:ascii="Times New Roman" w:eastAsia="Times New Roman" w:hAnsi="Times New Roman" w:cs="Times New Roman"/>
                <w:b/>
                <w:color w:val="auto"/>
                <w:sz w:val="22"/>
                <w:szCs w:val="22"/>
                <w:lang w:val="en-GB"/>
                <w14:ligatures w14:val="none"/>
              </w:rPr>
              <w:t>timeframe</w:t>
            </w:r>
            <w:r w:rsidR="00E76011" w:rsidRPr="00E76011">
              <w:rPr>
                <w:rFonts w:ascii="Times New Roman" w:eastAsia="Times New Roman" w:hAnsi="Times New Roman" w:cs="Times New Roman"/>
                <w:b/>
                <w:color w:val="auto"/>
                <w:sz w:val="22"/>
                <w:szCs w:val="22"/>
                <w:lang w:val="en-GB"/>
                <w14:ligatures w14:val="none"/>
              </w:rPr>
              <w:t xml:space="preserve"> </w:t>
            </w:r>
          </w:p>
        </w:tc>
        <w:tc>
          <w:tcPr>
            <w:tcW w:w="7655" w:type="dxa"/>
            <w:shd w:val="clear" w:color="auto" w:fill="002060"/>
          </w:tcPr>
          <w:p w14:paraId="065C3B81"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b/>
                <w:color w:val="auto"/>
                <w:sz w:val="22"/>
                <w:szCs w:val="22"/>
                <w:lang w:val="en-GB"/>
                <w14:ligatures w14:val="none"/>
              </w:rPr>
            </w:pPr>
            <w:r w:rsidRPr="00E76011">
              <w:rPr>
                <w:rFonts w:ascii="Times New Roman" w:eastAsia="Times New Roman" w:hAnsi="Times New Roman" w:cs="Times New Roman"/>
                <w:b/>
                <w:color w:val="auto"/>
                <w:sz w:val="22"/>
                <w:szCs w:val="22"/>
                <w:lang w:val="en-GB"/>
                <w14:ligatures w14:val="none"/>
              </w:rPr>
              <w:t>Activities</w:t>
            </w:r>
          </w:p>
        </w:tc>
      </w:tr>
      <w:tr w:rsidR="00120B1E" w:rsidRPr="00E76011" w14:paraId="5312D0E8" w14:textId="77777777" w:rsidTr="000260F0">
        <w:trPr>
          <w:trHeight w:val="1209"/>
        </w:trPr>
        <w:tc>
          <w:tcPr>
            <w:tcW w:w="1701" w:type="dxa"/>
          </w:tcPr>
          <w:p w14:paraId="7221FE92" w14:textId="77777777" w:rsidR="00120B1E" w:rsidRDefault="00120B1E"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Pr>
                <w:rFonts w:ascii="Times New Roman" w:eastAsia="Times New Roman" w:hAnsi="Times New Roman" w:cs="Times New Roman"/>
                <w:color w:val="auto"/>
                <w:sz w:val="22"/>
                <w:szCs w:val="22"/>
                <w:lang w:val="en-GB"/>
                <w14:ligatures w14:val="none"/>
              </w:rPr>
              <w:t xml:space="preserve">Brief </w:t>
            </w:r>
            <w:r w:rsidR="00AF17A4">
              <w:rPr>
                <w:rFonts w:ascii="Times New Roman" w:eastAsia="Times New Roman" w:hAnsi="Times New Roman" w:cs="Times New Roman"/>
                <w:color w:val="auto"/>
                <w:sz w:val="22"/>
                <w:szCs w:val="22"/>
                <w:lang w:val="en-GB"/>
                <w14:ligatures w14:val="none"/>
              </w:rPr>
              <w:t>inception report (Ireland)</w:t>
            </w:r>
          </w:p>
          <w:p w14:paraId="57703488" w14:textId="77777777" w:rsidR="00D014CE" w:rsidRDefault="00D014CE"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10D37449" w14:textId="359E9494" w:rsidR="00D014CE" w:rsidRDefault="00D014CE"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D014CE">
              <w:rPr>
                <w:rFonts w:ascii="Times New Roman" w:eastAsia="Times New Roman" w:hAnsi="Times New Roman" w:cs="Times New Roman"/>
                <w:color w:val="auto"/>
                <w:sz w:val="22"/>
                <w:szCs w:val="22"/>
                <w:lang w:val="en-GB"/>
                <w14:ligatures w14:val="none"/>
              </w:rPr>
              <w:t>September</w:t>
            </w:r>
            <w:r>
              <w:rPr>
                <w:rFonts w:ascii="Times New Roman" w:eastAsia="Times New Roman" w:hAnsi="Times New Roman" w:cs="Times New Roman"/>
                <w:color w:val="auto"/>
                <w:sz w:val="22"/>
                <w:szCs w:val="22"/>
                <w:lang w:val="en-GB"/>
                <w14:ligatures w14:val="none"/>
              </w:rPr>
              <w:t xml:space="preserve"> 2025</w:t>
            </w:r>
            <w:r w:rsidRPr="00D014CE">
              <w:rPr>
                <w:rFonts w:ascii="Times New Roman" w:eastAsia="Times New Roman" w:hAnsi="Times New Roman" w:cs="Times New Roman"/>
                <w:color w:val="auto"/>
                <w:sz w:val="22"/>
                <w:szCs w:val="22"/>
                <w:lang w:val="en-GB"/>
                <w14:ligatures w14:val="none"/>
              </w:rPr>
              <w:t xml:space="preserve">- </w:t>
            </w:r>
            <w:r>
              <w:rPr>
                <w:rFonts w:ascii="Times New Roman" w:eastAsia="Times New Roman" w:hAnsi="Times New Roman" w:cs="Times New Roman"/>
                <w:color w:val="auto"/>
                <w:sz w:val="22"/>
                <w:szCs w:val="22"/>
                <w:lang w:val="en-GB"/>
                <w14:ligatures w14:val="none"/>
              </w:rPr>
              <w:t xml:space="preserve">January </w:t>
            </w:r>
            <w:r w:rsidRPr="00D014CE">
              <w:rPr>
                <w:rFonts w:ascii="Times New Roman" w:eastAsia="Times New Roman" w:hAnsi="Times New Roman" w:cs="Times New Roman"/>
                <w:color w:val="auto"/>
                <w:sz w:val="22"/>
                <w:szCs w:val="22"/>
                <w:lang w:val="en-GB"/>
                <w14:ligatures w14:val="none"/>
              </w:rPr>
              <w:t>202</w:t>
            </w:r>
            <w:r w:rsidR="006528D5">
              <w:rPr>
                <w:rFonts w:ascii="Times New Roman" w:eastAsia="Times New Roman" w:hAnsi="Times New Roman" w:cs="Times New Roman"/>
                <w:color w:val="auto"/>
                <w:sz w:val="22"/>
                <w:szCs w:val="22"/>
                <w:lang w:val="en-GB"/>
                <w14:ligatures w14:val="none"/>
              </w:rPr>
              <w:t>6</w:t>
            </w:r>
          </w:p>
        </w:tc>
        <w:tc>
          <w:tcPr>
            <w:tcW w:w="7655" w:type="dxa"/>
          </w:tcPr>
          <w:p w14:paraId="63950161" w14:textId="77777777" w:rsidR="00AF17A4" w:rsidRDefault="00F94FBD" w:rsidP="00AF17A4">
            <w:pPr>
              <w:pStyle w:val="Paragraphedeliste"/>
              <w:widowControl w:val="0"/>
              <w:numPr>
                <w:ilvl w:val="0"/>
                <w:numId w:val="6"/>
              </w:numPr>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sidRPr="00AF17A4">
              <w:rPr>
                <w:rFonts w:ascii="Times New Roman" w:eastAsia="Times New Roman" w:hAnsi="Times New Roman" w:cs="Times New Roman"/>
                <w:color w:val="auto"/>
                <w:sz w:val="22"/>
                <w:szCs w:val="22"/>
                <w:lang w:val="en-IE"/>
                <w14:ligatures w14:val="none"/>
              </w:rPr>
              <w:t>Conduct</w:t>
            </w:r>
            <w:r w:rsidR="00AF17A4" w:rsidRPr="00AF17A4">
              <w:rPr>
                <w:rFonts w:ascii="Times New Roman" w:eastAsia="Times New Roman" w:hAnsi="Times New Roman" w:cs="Times New Roman"/>
                <w:color w:val="auto"/>
                <w:sz w:val="22"/>
                <w:szCs w:val="22"/>
                <w:lang w:val="en-IE"/>
                <w14:ligatures w14:val="none"/>
              </w:rPr>
              <w:t xml:space="preserve"> online consultations</w:t>
            </w:r>
            <w:r w:rsidRPr="00AF17A4">
              <w:rPr>
                <w:rFonts w:ascii="Times New Roman" w:eastAsia="Times New Roman" w:hAnsi="Times New Roman" w:cs="Times New Roman"/>
                <w:color w:val="auto"/>
                <w:sz w:val="22"/>
                <w:szCs w:val="22"/>
                <w:lang w:val="en-IE"/>
                <w14:ligatures w14:val="none"/>
              </w:rPr>
              <w:t xml:space="preserve"> to understand Ireland´s existing green budgeting practices</w:t>
            </w:r>
          </w:p>
          <w:p w14:paraId="0F3D31AC" w14:textId="46847BFA" w:rsidR="00AF17A4" w:rsidRPr="00AF17A4" w:rsidRDefault="00F94FBD" w:rsidP="00AF17A4">
            <w:pPr>
              <w:pStyle w:val="Paragraphedeliste"/>
              <w:widowControl w:val="0"/>
              <w:autoSpaceDE w:val="0"/>
              <w:autoSpaceDN w:val="0"/>
              <w:spacing w:after="0" w:line="240" w:lineRule="auto"/>
              <w:ind w:left="360"/>
              <w:jc w:val="both"/>
              <w:outlineLvl w:val="0"/>
              <w:rPr>
                <w:rFonts w:ascii="Times New Roman" w:eastAsia="Times New Roman" w:hAnsi="Times New Roman" w:cs="Times New Roman"/>
                <w:color w:val="auto"/>
                <w:sz w:val="22"/>
                <w:szCs w:val="22"/>
                <w:lang w:val="en-IE"/>
                <w14:ligatures w14:val="none"/>
              </w:rPr>
            </w:pPr>
            <w:r w:rsidRPr="00AF17A4">
              <w:rPr>
                <w:rFonts w:ascii="Times New Roman" w:eastAsia="Times New Roman" w:hAnsi="Times New Roman" w:cs="Times New Roman"/>
                <w:color w:val="auto"/>
                <w:sz w:val="22"/>
                <w:szCs w:val="22"/>
                <w:lang w:val="en-IE"/>
                <w14:ligatures w14:val="none"/>
              </w:rPr>
              <w:t xml:space="preserve"> </w:t>
            </w:r>
          </w:p>
          <w:p w14:paraId="7AFB910C" w14:textId="3B607FAA" w:rsidR="00120B1E" w:rsidRDefault="00AF17A4" w:rsidP="00AF17A4">
            <w:pPr>
              <w:pStyle w:val="Paragraphedeliste"/>
              <w:widowControl w:val="0"/>
              <w:numPr>
                <w:ilvl w:val="0"/>
                <w:numId w:val="6"/>
              </w:numPr>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sidRPr="00AF17A4">
              <w:rPr>
                <w:rFonts w:ascii="Times New Roman" w:eastAsia="Times New Roman" w:hAnsi="Times New Roman" w:cs="Times New Roman"/>
                <w:color w:val="auto"/>
                <w:sz w:val="22"/>
                <w:szCs w:val="22"/>
                <w:lang w:val="en-IE"/>
                <w14:ligatures w14:val="none"/>
              </w:rPr>
              <w:t>R</w:t>
            </w:r>
            <w:r w:rsidR="00F94FBD" w:rsidRPr="00AF17A4">
              <w:rPr>
                <w:rFonts w:ascii="Times New Roman" w:eastAsia="Times New Roman" w:hAnsi="Times New Roman" w:cs="Times New Roman"/>
                <w:color w:val="auto"/>
                <w:sz w:val="22"/>
                <w:szCs w:val="22"/>
                <w:lang w:val="en-IE"/>
                <w14:ligatures w14:val="none"/>
              </w:rPr>
              <w:t xml:space="preserve">eview Ireland´s </w:t>
            </w:r>
            <w:r w:rsidR="006528D5">
              <w:rPr>
                <w:rFonts w:ascii="Times New Roman" w:eastAsia="Times New Roman" w:hAnsi="Times New Roman" w:cs="Times New Roman"/>
                <w:color w:val="auto"/>
                <w:sz w:val="22"/>
                <w:szCs w:val="22"/>
                <w:lang w:val="en-IE"/>
                <w14:ligatures w14:val="none"/>
              </w:rPr>
              <w:t xml:space="preserve">green budgeting </w:t>
            </w:r>
            <w:r w:rsidR="00F94FBD" w:rsidRPr="00AF17A4">
              <w:rPr>
                <w:rFonts w:ascii="Times New Roman" w:eastAsia="Times New Roman" w:hAnsi="Times New Roman" w:cs="Times New Roman"/>
                <w:color w:val="auto"/>
                <w:sz w:val="22"/>
                <w:szCs w:val="22"/>
                <w:lang w:val="en-IE"/>
                <w14:ligatures w14:val="none"/>
              </w:rPr>
              <w:t>methodologies and provide recommendations for further improvement</w:t>
            </w:r>
          </w:p>
          <w:p w14:paraId="1FF87691" w14:textId="77777777" w:rsidR="00AF17A4" w:rsidRPr="00AF17A4" w:rsidRDefault="00AF17A4" w:rsidP="00AF17A4">
            <w:pPr>
              <w:pStyle w:val="Paragraphedeliste"/>
              <w:rPr>
                <w:rFonts w:ascii="Times New Roman" w:eastAsia="Times New Roman" w:hAnsi="Times New Roman" w:cs="Times New Roman"/>
                <w:color w:val="auto"/>
                <w:sz w:val="22"/>
                <w:szCs w:val="22"/>
                <w:lang w:val="en-IE"/>
                <w14:ligatures w14:val="none"/>
              </w:rPr>
            </w:pPr>
          </w:p>
          <w:p w14:paraId="1B20C42E" w14:textId="3C42D04F" w:rsidR="00AF17A4" w:rsidRPr="00AF17A4" w:rsidRDefault="00AF17A4" w:rsidP="00AF17A4">
            <w:pPr>
              <w:pStyle w:val="Paragraphedeliste"/>
              <w:widowControl w:val="0"/>
              <w:numPr>
                <w:ilvl w:val="0"/>
                <w:numId w:val="6"/>
              </w:numPr>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Drafting the report</w:t>
            </w:r>
          </w:p>
        </w:tc>
      </w:tr>
      <w:tr w:rsidR="00E76011" w:rsidRPr="00E76011" w14:paraId="2CE91A0D" w14:textId="77777777" w:rsidTr="000260F0">
        <w:trPr>
          <w:trHeight w:val="517"/>
        </w:trPr>
        <w:tc>
          <w:tcPr>
            <w:tcW w:w="1701" w:type="dxa"/>
          </w:tcPr>
          <w:p w14:paraId="52A98D7B" w14:textId="4DADB5BF" w:rsidR="00E76011" w:rsidRPr="00E76011" w:rsidRDefault="007666DB"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Pr>
                <w:rFonts w:ascii="Times New Roman" w:eastAsia="Times New Roman" w:hAnsi="Times New Roman" w:cs="Times New Roman"/>
                <w:color w:val="auto"/>
                <w:sz w:val="22"/>
                <w:szCs w:val="22"/>
                <w:lang w:val="en-GB"/>
                <w14:ligatures w14:val="none"/>
              </w:rPr>
              <w:t>C</w:t>
            </w:r>
            <w:r w:rsidR="00555ED2">
              <w:rPr>
                <w:rFonts w:ascii="Times New Roman" w:eastAsia="Times New Roman" w:hAnsi="Times New Roman" w:cs="Times New Roman"/>
                <w:color w:val="auto"/>
                <w:sz w:val="22"/>
                <w:szCs w:val="22"/>
                <w:lang w:val="en-GB"/>
                <w14:ligatures w14:val="none"/>
              </w:rPr>
              <w:t>ontribution to c</w:t>
            </w:r>
            <w:r w:rsidR="00D938B1">
              <w:rPr>
                <w:rFonts w:ascii="Times New Roman" w:eastAsia="Times New Roman" w:hAnsi="Times New Roman" w:cs="Times New Roman"/>
                <w:color w:val="auto"/>
                <w:sz w:val="22"/>
                <w:szCs w:val="22"/>
                <w:lang w:val="en-GB"/>
                <w14:ligatures w14:val="none"/>
              </w:rPr>
              <w:t>oncept note</w:t>
            </w:r>
          </w:p>
          <w:p w14:paraId="4DA59BBF"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6554D616" w14:textId="174397AA" w:rsidR="00E76011" w:rsidRPr="00E76011" w:rsidRDefault="00727A05"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Pr>
                <w:rFonts w:ascii="Times New Roman" w:eastAsia="Times New Roman" w:hAnsi="Times New Roman" w:cs="Times New Roman"/>
                <w:color w:val="auto"/>
                <w:sz w:val="22"/>
                <w:szCs w:val="22"/>
                <w:lang w:val="en-GB"/>
                <w14:ligatures w14:val="none"/>
              </w:rPr>
              <w:t>September</w:t>
            </w:r>
            <w:r w:rsidR="00E76011" w:rsidRPr="00E76011">
              <w:rPr>
                <w:rFonts w:ascii="Times New Roman" w:eastAsia="Times New Roman" w:hAnsi="Times New Roman" w:cs="Times New Roman"/>
                <w:color w:val="auto"/>
                <w:sz w:val="22"/>
                <w:szCs w:val="22"/>
                <w:lang w:val="en-GB"/>
                <w14:ligatures w14:val="none"/>
              </w:rPr>
              <w:t xml:space="preserve">- </w:t>
            </w:r>
            <w:r w:rsidR="00D014CE">
              <w:rPr>
                <w:rFonts w:ascii="Times New Roman" w:eastAsia="Times New Roman" w:hAnsi="Times New Roman" w:cs="Times New Roman"/>
                <w:color w:val="auto"/>
                <w:sz w:val="22"/>
                <w:szCs w:val="22"/>
                <w:lang w:val="en-GB"/>
                <w14:ligatures w14:val="none"/>
              </w:rPr>
              <w:t>November</w:t>
            </w:r>
            <w:r w:rsidR="00E76011" w:rsidRPr="00E76011">
              <w:rPr>
                <w:rFonts w:ascii="Times New Roman" w:eastAsia="Times New Roman" w:hAnsi="Times New Roman" w:cs="Times New Roman"/>
                <w:color w:val="auto"/>
                <w:sz w:val="22"/>
                <w:szCs w:val="22"/>
                <w:lang w:val="en-GB"/>
                <w14:ligatures w14:val="none"/>
              </w:rPr>
              <w:t xml:space="preserve"> 2025</w:t>
            </w:r>
          </w:p>
        </w:tc>
        <w:tc>
          <w:tcPr>
            <w:tcW w:w="7655" w:type="dxa"/>
          </w:tcPr>
          <w:p w14:paraId="446A0891" w14:textId="77777777" w:rsidR="00AF17A4" w:rsidRDefault="00AF17A4"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p>
          <w:p w14:paraId="33611A30" w14:textId="7C3CD2A5" w:rsidR="00E76011" w:rsidRPr="00E76011" w:rsidRDefault="008A5E38"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The Expert will collaborate with Expertise France project team, SG REFORM, and DG ECFIN in the development of the concept note.</w:t>
            </w:r>
            <w:r w:rsidR="006A6C26">
              <w:rPr>
                <w:rFonts w:ascii="Times New Roman" w:eastAsia="Times New Roman" w:hAnsi="Times New Roman" w:cs="Times New Roman"/>
                <w:color w:val="auto"/>
                <w:sz w:val="22"/>
                <w:szCs w:val="22"/>
                <w:lang w:val="en-IE"/>
                <w14:ligatures w14:val="none"/>
              </w:rPr>
              <w:t xml:space="preserve"> </w:t>
            </w:r>
            <w:r w:rsidR="002172EE">
              <w:rPr>
                <w:rFonts w:ascii="Times New Roman" w:eastAsia="Times New Roman" w:hAnsi="Times New Roman" w:cs="Times New Roman"/>
                <w:color w:val="auto"/>
                <w:sz w:val="22"/>
                <w:szCs w:val="22"/>
                <w:lang w:val="en-IE"/>
                <w14:ligatures w14:val="none"/>
              </w:rPr>
              <w:t xml:space="preserve">The expert will receive a draft version of the concept note at the beginning of the project and </w:t>
            </w:r>
            <w:r w:rsidR="007666DB">
              <w:rPr>
                <w:rFonts w:ascii="Times New Roman" w:eastAsia="Times New Roman" w:hAnsi="Times New Roman" w:cs="Times New Roman"/>
                <w:color w:val="auto"/>
                <w:sz w:val="22"/>
                <w:szCs w:val="22"/>
                <w:lang w:val="en-IE"/>
                <w14:ligatures w14:val="none"/>
              </w:rPr>
              <w:t xml:space="preserve">will be </w:t>
            </w:r>
            <w:r w:rsidR="002172EE">
              <w:rPr>
                <w:rFonts w:ascii="Times New Roman" w:eastAsia="Times New Roman" w:hAnsi="Times New Roman" w:cs="Times New Roman"/>
                <w:color w:val="auto"/>
                <w:sz w:val="22"/>
                <w:szCs w:val="22"/>
                <w:lang w:val="en-IE"/>
                <w14:ligatures w14:val="none"/>
              </w:rPr>
              <w:t>requested to:</w:t>
            </w:r>
          </w:p>
          <w:p w14:paraId="3FB0E765" w14:textId="37922DB7" w:rsidR="00D938B1" w:rsidRDefault="00902FDE" w:rsidP="004520B8">
            <w:pPr>
              <w:numPr>
                <w:ilvl w:val="0"/>
                <w:numId w:val="3"/>
              </w:numPr>
              <w:spacing w:before="120" w:after="120" w:line="240" w:lineRule="atLeast"/>
              <w:ind w:left="360"/>
              <w:jc w:val="both"/>
              <w:rPr>
                <w:rFonts w:ascii="Times New Roman" w:eastAsia="Times New Roman" w:hAnsi="Times New Roman" w:cs="Times New Roman"/>
                <w:color w:val="auto"/>
                <w:sz w:val="22"/>
                <w:szCs w:val="22"/>
                <w:lang w:val="en-IE" w:eastAsia="zh-CN"/>
                <w14:ligatures w14:val="none"/>
              </w:rPr>
            </w:pPr>
            <w:r>
              <w:rPr>
                <w:rFonts w:ascii="Times New Roman" w:eastAsia="Times New Roman" w:hAnsi="Times New Roman" w:cs="Times New Roman"/>
                <w:color w:val="auto"/>
                <w:sz w:val="22"/>
                <w:szCs w:val="22"/>
                <w:lang w:val="en-IE" w:eastAsia="zh-CN"/>
                <w14:ligatures w14:val="none"/>
              </w:rPr>
              <w:t xml:space="preserve">Provide input </w:t>
            </w:r>
            <w:r w:rsidR="002E0EC2">
              <w:rPr>
                <w:rFonts w:ascii="Times New Roman" w:eastAsia="Times New Roman" w:hAnsi="Times New Roman" w:cs="Times New Roman"/>
                <w:color w:val="auto"/>
                <w:sz w:val="22"/>
                <w:szCs w:val="22"/>
                <w:lang w:val="en-IE" w:eastAsia="zh-CN"/>
                <w14:ligatures w14:val="none"/>
              </w:rPr>
              <w:t>on key topics</w:t>
            </w:r>
            <w:r>
              <w:rPr>
                <w:rFonts w:ascii="Times New Roman" w:eastAsia="Times New Roman" w:hAnsi="Times New Roman" w:cs="Times New Roman"/>
                <w:color w:val="auto"/>
                <w:sz w:val="22"/>
                <w:szCs w:val="22"/>
                <w:lang w:val="en-IE" w:eastAsia="zh-CN"/>
                <w14:ligatures w14:val="none"/>
              </w:rPr>
              <w:t xml:space="preserve"> </w:t>
            </w:r>
            <w:r w:rsidR="00D938B1" w:rsidRPr="00D938B1">
              <w:rPr>
                <w:rFonts w:ascii="Times New Roman" w:eastAsia="Times New Roman" w:hAnsi="Times New Roman" w:cs="Times New Roman"/>
                <w:color w:val="auto"/>
                <w:sz w:val="22"/>
                <w:szCs w:val="22"/>
                <w:lang w:val="en-IE" w:eastAsia="zh-CN"/>
                <w14:ligatures w14:val="none"/>
              </w:rPr>
              <w:t xml:space="preserve">and </w:t>
            </w:r>
            <w:r w:rsidR="00C8189C">
              <w:rPr>
                <w:rFonts w:ascii="Times New Roman" w:eastAsia="Times New Roman" w:hAnsi="Times New Roman" w:cs="Times New Roman"/>
                <w:color w:val="auto"/>
                <w:sz w:val="22"/>
                <w:szCs w:val="22"/>
                <w:lang w:val="en-IE" w:eastAsia="zh-CN"/>
                <w14:ligatures w14:val="none"/>
              </w:rPr>
              <w:t>activities</w:t>
            </w:r>
            <w:r w:rsidR="00C8189C" w:rsidRPr="00F5703D">
              <w:rPr>
                <w:rFonts w:ascii="Times New Roman" w:eastAsia="Times New Roman" w:hAnsi="Times New Roman" w:cs="Times New Roman"/>
                <w:color w:val="auto"/>
                <w:sz w:val="22"/>
                <w:szCs w:val="22"/>
                <w:lang w:val="en-IE" w:eastAsia="zh-CN"/>
                <w14:ligatures w14:val="none"/>
              </w:rPr>
              <w:t xml:space="preserve"> to</w:t>
            </w:r>
            <w:r w:rsidR="00F5703D" w:rsidRPr="00F5703D">
              <w:rPr>
                <w:rFonts w:ascii="Times New Roman" w:eastAsia="Times New Roman" w:hAnsi="Times New Roman" w:cs="Times New Roman"/>
                <w:color w:val="auto"/>
                <w:sz w:val="22"/>
                <w:szCs w:val="22"/>
                <w:lang w:val="en-IE" w:eastAsia="zh-CN"/>
                <w14:ligatures w14:val="none"/>
              </w:rPr>
              <w:t xml:space="preserve"> maximize participant involvement</w:t>
            </w:r>
            <w:r w:rsidR="00D938B1" w:rsidRPr="00D938B1">
              <w:rPr>
                <w:rFonts w:ascii="Times New Roman" w:eastAsia="Times New Roman" w:hAnsi="Times New Roman" w:cs="Times New Roman"/>
                <w:color w:val="auto"/>
                <w:sz w:val="22"/>
                <w:szCs w:val="22"/>
                <w:lang w:val="en-IE" w:eastAsia="zh-CN"/>
                <w14:ligatures w14:val="none"/>
              </w:rPr>
              <w:t xml:space="preserve"> </w:t>
            </w:r>
          </w:p>
          <w:p w14:paraId="339989E1" w14:textId="4295DD5F" w:rsidR="006115E3" w:rsidRPr="00D938B1" w:rsidRDefault="006115E3" w:rsidP="004520B8">
            <w:pPr>
              <w:numPr>
                <w:ilvl w:val="0"/>
                <w:numId w:val="3"/>
              </w:numPr>
              <w:spacing w:before="120" w:after="120" w:line="240" w:lineRule="atLeast"/>
              <w:ind w:left="360"/>
              <w:jc w:val="both"/>
              <w:rPr>
                <w:rFonts w:ascii="Times New Roman" w:eastAsia="Times New Roman" w:hAnsi="Times New Roman" w:cs="Times New Roman"/>
                <w:color w:val="auto"/>
                <w:sz w:val="22"/>
                <w:szCs w:val="22"/>
                <w:lang w:val="en-IE" w:eastAsia="zh-CN"/>
                <w14:ligatures w14:val="none"/>
              </w:rPr>
            </w:pPr>
            <w:r>
              <w:rPr>
                <w:rFonts w:ascii="Times New Roman" w:eastAsia="Times New Roman" w:hAnsi="Times New Roman" w:cs="Times New Roman"/>
                <w:color w:val="auto"/>
                <w:sz w:val="22"/>
                <w:szCs w:val="22"/>
                <w:lang w:val="en-IE" w:eastAsia="zh-CN"/>
                <w14:ligatures w14:val="none"/>
              </w:rPr>
              <w:t xml:space="preserve">Participate in </w:t>
            </w:r>
            <w:r w:rsidR="0028036F">
              <w:rPr>
                <w:rFonts w:ascii="Times New Roman" w:eastAsia="Times New Roman" w:hAnsi="Times New Roman" w:cs="Times New Roman"/>
                <w:color w:val="auto"/>
                <w:sz w:val="22"/>
                <w:szCs w:val="22"/>
                <w:lang w:val="en-IE" w:eastAsia="zh-CN"/>
                <w14:ligatures w14:val="none"/>
              </w:rPr>
              <w:t xml:space="preserve">one or two online </w:t>
            </w:r>
            <w:r w:rsidR="0040150B">
              <w:rPr>
                <w:rFonts w:ascii="Times New Roman" w:eastAsia="Times New Roman" w:hAnsi="Times New Roman" w:cs="Times New Roman"/>
                <w:color w:val="auto"/>
                <w:sz w:val="22"/>
                <w:szCs w:val="22"/>
                <w:lang w:val="en-IE" w:eastAsia="zh-CN"/>
                <w14:ligatures w14:val="none"/>
              </w:rPr>
              <w:t>meeting</w:t>
            </w:r>
            <w:r w:rsidR="0028036F">
              <w:rPr>
                <w:rFonts w:ascii="Times New Roman" w:eastAsia="Times New Roman" w:hAnsi="Times New Roman" w:cs="Times New Roman"/>
                <w:color w:val="auto"/>
                <w:sz w:val="22"/>
                <w:szCs w:val="22"/>
                <w:lang w:val="en-IE" w:eastAsia="zh-CN"/>
                <w14:ligatures w14:val="none"/>
              </w:rPr>
              <w:t xml:space="preserve">s with </w:t>
            </w:r>
            <w:r w:rsidR="003D40E9">
              <w:rPr>
                <w:rFonts w:ascii="Times New Roman" w:eastAsia="Times New Roman" w:hAnsi="Times New Roman" w:cs="Times New Roman"/>
                <w:color w:val="auto"/>
                <w:sz w:val="22"/>
                <w:szCs w:val="22"/>
                <w:lang w:val="en-IE" w:eastAsia="zh-CN"/>
                <w14:ligatures w14:val="none"/>
              </w:rPr>
              <w:t xml:space="preserve">all </w:t>
            </w:r>
            <w:r w:rsidR="0028036F">
              <w:rPr>
                <w:rFonts w:ascii="Times New Roman" w:eastAsia="Times New Roman" w:hAnsi="Times New Roman" w:cs="Times New Roman"/>
                <w:color w:val="auto"/>
                <w:sz w:val="22"/>
                <w:szCs w:val="22"/>
                <w:lang w:val="en-IE" w:eastAsia="zh-CN"/>
                <w14:ligatures w14:val="none"/>
              </w:rPr>
              <w:t xml:space="preserve">the participating Member States to </w:t>
            </w:r>
            <w:r w:rsidR="003D40E9">
              <w:rPr>
                <w:rFonts w:ascii="Times New Roman" w:eastAsia="Times New Roman" w:hAnsi="Times New Roman" w:cs="Times New Roman"/>
                <w:color w:val="auto"/>
                <w:sz w:val="22"/>
                <w:szCs w:val="22"/>
                <w:lang w:val="en-IE" w:eastAsia="zh-CN"/>
                <w14:ligatures w14:val="none"/>
              </w:rPr>
              <w:t xml:space="preserve">better understand their expectations </w:t>
            </w:r>
            <w:r w:rsidR="0040150B">
              <w:rPr>
                <w:rFonts w:ascii="Times New Roman" w:eastAsia="Times New Roman" w:hAnsi="Times New Roman" w:cs="Times New Roman"/>
                <w:color w:val="auto"/>
                <w:sz w:val="22"/>
                <w:szCs w:val="22"/>
                <w:lang w:val="en-IE" w:eastAsia="zh-CN"/>
                <w14:ligatures w14:val="none"/>
              </w:rPr>
              <w:t>from the peer-exchange programme</w:t>
            </w:r>
          </w:p>
          <w:p w14:paraId="00A9D733" w14:textId="15B168CB" w:rsidR="00D938B1" w:rsidRPr="00D938B1" w:rsidRDefault="002172EE" w:rsidP="004520B8">
            <w:pPr>
              <w:numPr>
                <w:ilvl w:val="0"/>
                <w:numId w:val="3"/>
              </w:numPr>
              <w:spacing w:before="120" w:after="120" w:line="240" w:lineRule="atLeast"/>
              <w:ind w:left="360"/>
              <w:jc w:val="both"/>
              <w:rPr>
                <w:rFonts w:ascii="Times New Roman" w:eastAsia="Times New Roman" w:hAnsi="Times New Roman" w:cs="Times New Roman"/>
                <w:color w:val="auto"/>
                <w:sz w:val="22"/>
                <w:szCs w:val="22"/>
                <w:lang w:val="en-IE" w:eastAsia="zh-CN"/>
                <w14:ligatures w14:val="none"/>
              </w:rPr>
            </w:pPr>
            <w:r w:rsidRPr="00DB3002">
              <w:rPr>
                <w:rFonts w:ascii="Times New Roman" w:eastAsia="Times New Roman" w:hAnsi="Times New Roman" w:cs="Times New Roman"/>
                <w:color w:val="auto"/>
                <w:sz w:val="22"/>
                <w:szCs w:val="22"/>
                <w:lang w:val="en-IE" w:eastAsia="zh-CN"/>
                <w14:ligatures w14:val="none"/>
              </w:rPr>
              <w:t xml:space="preserve">Advise on </w:t>
            </w:r>
            <w:r w:rsidR="00D938B1" w:rsidRPr="00D938B1">
              <w:rPr>
                <w:rFonts w:ascii="Times New Roman" w:eastAsia="Times New Roman" w:hAnsi="Times New Roman" w:cs="Times New Roman"/>
                <w:color w:val="auto"/>
                <w:sz w:val="22"/>
                <w:szCs w:val="22"/>
                <w:lang w:val="en-IE" w:eastAsia="zh-CN"/>
                <w14:ligatures w14:val="none"/>
              </w:rPr>
              <w:t>participating Member States</w:t>
            </w:r>
            <w:r w:rsidR="00DB3002" w:rsidRPr="00DB3002">
              <w:rPr>
                <w:rFonts w:ascii="Times New Roman" w:eastAsia="Times New Roman" w:hAnsi="Times New Roman" w:cs="Times New Roman"/>
                <w:color w:val="auto"/>
                <w:sz w:val="22"/>
                <w:szCs w:val="22"/>
                <w:lang w:val="en-IE" w:eastAsia="zh-CN"/>
                <w14:ligatures w14:val="none"/>
              </w:rPr>
              <w:t xml:space="preserve"> based on their</w:t>
            </w:r>
            <w:r w:rsidR="00D938B1" w:rsidRPr="00D938B1">
              <w:rPr>
                <w:rFonts w:ascii="Times New Roman" w:eastAsia="Times New Roman" w:hAnsi="Times New Roman" w:cs="Times New Roman"/>
                <w:color w:val="auto"/>
                <w:sz w:val="22"/>
                <w:szCs w:val="22"/>
                <w:lang w:val="en-IE" w:eastAsia="zh-CN"/>
                <w14:ligatures w14:val="none"/>
              </w:rPr>
              <w:t xml:space="preserve"> Green Budgeting maturity levels, specific needs and recommended peers to exchange with </w:t>
            </w:r>
          </w:p>
          <w:p w14:paraId="49AC927E" w14:textId="77777777" w:rsidR="00D938B1" w:rsidRPr="00D938B1" w:rsidRDefault="00D938B1" w:rsidP="004520B8">
            <w:pPr>
              <w:numPr>
                <w:ilvl w:val="0"/>
                <w:numId w:val="3"/>
              </w:numPr>
              <w:spacing w:before="120" w:after="120" w:line="240" w:lineRule="atLeast"/>
              <w:ind w:left="360"/>
              <w:jc w:val="both"/>
              <w:rPr>
                <w:rFonts w:ascii="Times New Roman" w:eastAsia="Times New Roman" w:hAnsi="Times New Roman" w:cs="Times New Roman"/>
                <w:color w:val="auto"/>
                <w:sz w:val="22"/>
                <w:szCs w:val="22"/>
                <w:lang w:val="en-IE" w:eastAsia="zh-CN"/>
                <w14:ligatures w14:val="none"/>
              </w:rPr>
            </w:pPr>
            <w:r w:rsidRPr="00D938B1">
              <w:rPr>
                <w:rFonts w:ascii="Times New Roman" w:eastAsia="Times New Roman" w:hAnsi="Times New Roman" w:cs="Times New Roman"/>
                <w:color w:val="auto"/>
                <w:sz w:val="22"/>
                <w:szCs w:val="22"/>
                <w:lang w:val="en-IE" w:eastAsia="zh-CN"/>
                <w14:ligatures w14:val="none"/>
              </w:rPr>
              <w:t>Propose mechanisms to sustain ongoing collaboration, such as:</w:t>
            </w:r>
          </w:p>
          <w:p w14:paraId="58F3E266" w14:textId="77777777" w:rsidR="00D938B1" w:rsidRPr="00D938B1" w:rsidRDefault="00D938B1" w:rsidP="004520B8">
            <w:pPr>
              <w:numPr>
                <w:ilvl w:val="1"/>
                <w:numId w:val="4"/>
              </w:numPr>
              <w:spacing w:after="0" w:line="240" w:lineRule="atLeast"/>
              <w:ind w:left="1080"/>
              <w:jc w:val="both"/>
              <w:rPr>
                <w:rFonts w:ascii="Times New Roman" w:eastAsia="Times New Roman" w:hAnsi="Times New Roman" w:cs="Times New Roman"/>
                <w:color w:val="auto"/>
                <w:sz w:val="22"/>
                <w:szCs w:val="22"/>
                <w:lang w:val="en-IE" w:eastAsia="zh-CN"/>
                <w14:ligatures w14:val="none"/>
              </w:rPr>
            </w:pPr>
            <w:r w:rsidRPr="00D938B1">
              <w:rPr>
                <w:rFonts w:ascii="Times New Roman" w:eastAsia="Times New Roman" w:hAnsi="Times New Roman" w:cs="Times New Roman"/>
                <w:color w:val="auto"/>
                <w:sz w:val="22"/>
                <w:szCs w:val="22"/>
                <w:lang w:val="en-IE" w:eastAsia="zh-CN"/>
                <w14:ligatures w14:val="none"/>
              </w:rPr>
              <w:t>Periodic virtual follow-up meetings or peer-learning webinars to maintain momentum.</w:t>
            </w:r>
          </w:p>
          <w:p w14:paraId="1F414297" w14:textId="34403D5F" w:rsidR="00D938B1" w:rsidRDefault="00DB3002" w:rsidP="004520B8">
            <w:pPr>
              <w:numPr>
                <w:ilvl w:val="1"/>
                <w:numId w:val="4"/>
              </w:numPr>
              <w:spacing w:after="0" w:line="240" w:lineRule="atLeast"/>
              <w:ind w:left="1080"/>
              <w:jc w:val="both"/>
              <w:rPr>
                <w:rFonts w:ascii="Times New Roman" w:eastAsia="Times New Roman" w:hAnsi="Times New Roman" w:cs="Times New Roman"/>
                <w:color w:val="auto"/>
                <w:sz w:val="22"/>
                <w:szCs w:val="22"/>
                <w:lang w:val="en-IE" w:eastAsia="zh-CN"/>
                <w14:ligatures w14:val="none"/>
              </w:rPr>
            </w:pPr>
            <w:r>
              <w:rPr>
                <w:rFonts w:ascii="Times New Roman" w:eastAsia="Times New Roman" w:hAnsi="Times New Roman" w:cs="Times New Roman"/>
                <w:color w:val="auto"/>
                <w:sz w:val="22"/>
                <w:szCs w:val="22"/>
                <w:lang w:val="en-IE" w:eastAsia="zh-CN"/>
                <w14:ligatures w14:val="none"/>
              </w:rPr>
              <w:t>Sh</w:t>
            </w:r>
            <w:r w:rsidR="00D938B1" w:rsidRPr="00D938B1">
              <w:rPr>
                <w:rFonts w:ascii="Times New Roman" w:eastAsia="Times New Roman" w:hAnsi="Times New Roman" w:cs="Times New Roman"/>
                <w:color w:val="auto"/>
                <w:sz w:val="22"/>
                <w:szCs w:val="22"/>
                <w:lang w:val="en-IE" w:eastAsia="zh-CN"/>
                <w14:ligatures w14:val="none"/>
              </w:rPr>
              <w:t>ared resources to document and disseminate evolving best practices</w:t>
            </w:r>
          </w:p>
          <w:p w14:paraId="15605755" w14:textId="6EE21A8C" w:rsidR="00DB3002" w:rsidRPr="00D938B1" w:rsidRDefault="00DB3002" w:rsidP="004520B8">
            <w:pPr>
              <w:numPr>
                <w:ilvl w:val="1"/>
                <w:numId w:val="4"/>
              </w:numPr>
              <w:spacing w:after="0" w:line="240" w:lineRule="atLeast"/>
              <w:ind w:left="1080"/>
              <w:jc w:val="both"/>
              <w:rPr>
                <w:rFonts w:ascii="Times New Roman" w:eastAsia="Times New Roman" w:hAnsi="Times New Roman" w:cs="Times New Roman"/>
                <w:color w:val="auto"/>
                <w:sz w:val="22"/>
                <w:szCs w:val="22"/>
                <w:lang w:val="en-IE" w:eastAsia="zh-CN"/>
                <w14:ligatures w14:val="none"/>
              </w:rPr>
            </w:pPr>
            <w:r>
              <w:rPr>
                <w:rFonts w:ascii="Times New Roman" w:eastAsia="Times New Roman" w:hAnsi="Times New Roman" w:cs="Times New Roman"/>
                <w:color w:val="auto"/>
                <w:sz w:val="22"/>
                <w:szCs w:val="22"/>
                <w:lang w:val="en-IE" w:eastAsia="zh-CN"/>
                <w14:ligatures w14:val="none"/>
              </w:rPr>
              <w:t xml:space="preserve">Network of practitioners </w:t>
            </w:r>
          </w:p>
          <w:p w14:paraId="617BF7C7"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p>
          <w:p w14:paraId="6BDD894C"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p>
        </w:tc>
      </w:tr>
      <w:tr w:rsidR="00EE0849" w:rsidRPr="00E76011" w14:paraId="09518665" w14:textId="77777777" w:rsidTr="000260F0">
        <w:trPr>
          <w:trHeight w:val="517"/>
        </w:trPr>
        <w:tc>
          <w:tcPr>
            <w:tcW w:w="1701" w:type="dxa"/>
          </w:tcPr>
          <w:p w14:paraId="45C5865E" w14:textId="7DE2250D" w:rsidR="00EE0849" w:rsidRDefault="00202044"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Pr>
                <w:rFonts w:ascii="Times New Roman" w:eastAsia="Times New Roman" w:hAnsi="Times New Roman" w:cs="Times New Roman"/>
                <w:color w:val="auto"/>
                <w:sz w:val="22"/>
                <w:szCs w:val="22"/>
                <w:lang w:val="en-GB"/>
                <w14:ligatures w14:val="none"/>
              </w:rPr>
              <w:t xml:space="preserve">Report on the civil </w:t>
            </w:r>
            <w:r w:rsidR="002E6977">
              <w:rPr>
                <w:rFonts w:ascii="Times New Roman" w:eastAsia="Times New Roman" w:hAnsi="Times New Roman" w:cs="Times New Roman"/>
                <w:color w:val="auto"/>
                <w:sz w:val="22"/>
                <w:szCs w:val="22"/>
                <w:lang w:val="en-GB"/>
                <w14:ligatures w14:val="none"/>
              </w:rPr>
              <w:t>servants’</w:t>
            </w:r>
            <w:r>
              <w:rPr>
                <w:rFonts w:ascii="Times New Roman" w:eastAsia="Times New Roman" w:hAnsi="Times New Roman" w:cs="Times New Roman"/>
                <w:color w:val="auto"/>
                <w:sz w:val="22"/>
                <w:szCs w:val="22"/>
                <w:lang w:val="en-GB"/>
                <w14:ligatures w14:val="none"/>
              </w:rPr>
              <w:t xml:space="preserve"> exchange programme</w:t>
            </w:r>
            <w:r w:rsidR="00555ED2">
              <w:rPr>
                <w:rFonts w:ascii="Times New Roman" w:eastAsia="Times New Roman" w:hAnsi="Times New Roman" w:cs="Times New Roman"/>
                <w:color w:val="auto"/>
                <w:sz w:val="22"/>
                <w:szCs w:val="22"/>
                <w:lang w:val="en-GB"/>
                <w14:ligatures w14:val="none"/>
              </w:rPr>
              <w:t xml:space="preserve"> </w:t>
            </w:r>
            <w:r w:rsidR="00C6273D">
              <w:rPr>
                <w:rFonts w:ascii="Times New Roman" w:eastAsia="Times New Roman" w:hAnsi="Times New Roman" w:cs="Times New Roman"/>
                <w:color w:val="auto"/>
                <w:sz w:val="22"/>
                <w:szCs w:val="22"/>
                <w:lang w:val="en-GB"/>
                <w14:ligatures w14:val="none"/>
              </w:rPr>
              <w:t>(between</w:t>
            </w:r>
            <w:r w:rsidR="00E86C52">
              <w:rPr>
                <w:rFonts w:ascii="Times New Roman" w:eastAsia="Times New Roman" w:hAnsi="Times New Roman" w:cs="Times New Roman"/>
                <w:color w:val="auto"/>
                <w:sz w:val="22"/>
                <w:szCs w:val="22"/>
                <w:lang w:val="en-GB"/>
                <w14:ligatures w14:val="none"/>
              </w:rPr>
              <w:t xml:space="preserve"> February 2026 and </w:t>
            </w:r>
            <w:r w:rsidR="00250E2C">
              <w:rPr>
                <w:rFonts w:ascii="Times New Roman" w:eastAsia="Times New Roman" w:hAnsi="Times New Roman" w:cs="Times New Roman"/>
                <w:color w:val="auto"/>
                <w:sz w:val="22"/>
                <w:szCs w:val="22"/>
                <w:lang w:val="en-GB"/>
                <w14:ligatures w14:val="none"/>
              </w:rPr>
              <w:t xml:space="preserve">September </w:t>
            </w:r>
            <w:r w:rsidR="0080638C">
              <w:rPr>
                <w:rFonts w:ascii="Times New Roman" w:eastAsia="Times New Roman" w:hAnsi="Times New Roman" w:cs="Times New Roman"/>
                <w:color w:val="auto"/>
                <w:sz w:val="22"/>
                <w:szCs w:val="22"/>
                <w:lang w:val="en-GB"/>
                <w14:ligatures w14:val="none"/>
              </w:rPr>
              <w:t>2027)</w:t>
            </w:r>
            <w:r w:rsidR="00E86C52">
              <w:rPr>
                <w:rFonts w:ascii="Times New Roman" w:eastAsia="Times New Roman" w:hAnsi="Times New Roman" w:cs="Times New Roman"/>
                <w:color w:val="auto"/>
                <w:sz w:val="22"/>
                <w:szCs w:val="22"/>
                <w:lang w:val="en-GB"/>
                <w14:ligatures w14:val="none"/>
              </w:rPr>
              <w:t xml:space="preserve"> </w:t>
            </w:r>
          </w:p>
        </w:tc>
        <w:tc>
          <w:tcPr>
            <w:tcW w:w="7655" w:type="dxa"/>
          </w:tcPr>
          <w:p w14:paraId="775DF177" w14:textId="4D2D631B" w:rsidR="004520B8" w:rsidRDefault="003A2457" w:rsidP="004520B8">
            <w:pPr>
              <w:pStyle w:val="Paragraphedeliste"/>
              <w:widowControl w:val="0"/>
              <w:numPr>
                <w:ilvl w:val="0"/>
                <w:numId w:val="5"/>
              </w:numPr>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Lead the development of the agenda for each peer-exchange</w:t>
            </w:r>
          </w:p>
          <w:p w14:paraId="71BC5CD1" w14:textId="77777777" w:rsidR="00C23E5C" w:rsidRDefault="00C23E5C" w:rsidP="00C23E5C">
            <w:pPr>
              <w:pStyle w:val="Paragraphedeliste"/>
              <w:widowControl w:val="0"/>
              <w:autoSpaceDE w:val="0"/>
              <w:autoSpaceDN w:val="0"/>
              <w:spacing w:after="0" w:line="240" w:lineRule="auto"/>
              <w:ind w:left="360"/>
              <w:jc w:val="both"/>
              <w:outlineLvl w:val="0"/>
              <w:rPr>
                <w:rFonts w:ascii="Times New Roman" w:eastAsia="Times New Roman" w:hAnsi="Times New Roman" w:cs="Times New Roman"/>
                <w:color w:val="auto"/>
                <w:sz w:val="22"/>
                <w:szCs w:val="22"/>
                <w:lang w:val="en-IE"/>
                <w14:ligatures w14:val="none"/>
              </w:rPr>
            </w:pPr>
          </w:p>
          <w:p w14:paraId="6CA6FF74" w14:textId="0D89DC5D" w:rsidR="003A2457" w:rsidRDefault="003A2457" w:rsidP="004520B8">
            <w:pPr>
              <w:pStyle w:val="Paragraphedeliste"/>
              <w:widowControl w:val="0"/>
              <w:numPr>
                <w:ilvl w:val="0"/>
                <w:numId w:val="5"/>
              </w:numPr>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 xml:space="preserve">Facilitate online and onsite peer-exchanges </w:t>
            </w:r>
            <w:r w:rsidR="00C23E5C">
              <w:rPr>
                <w:rFonts w:ascii="Times New Roman" w:eastAsia="Times New Roman" w:hAnsi="Times New Roman" w:cs="Times New Roman"/>
                <w:color w:val="auto"/>
                <w:sz w:val="22"/>
                <w:szCs w:val="22"/>
                <w:lang w:val="en-IE"/>
                <w14:ligatures w14:val="none"/>
              </w:rPr>
              <w:t>(the target is max. 10 exchanges throughout the implementation of the project)</w:t>
            </w:r>
          </w:p>
          <w:p w14:paraId="791CD858" w14:textId="77777777" w:rsidR="0017044B" w:rsidRPr="0017044B" w:rsidRDefault="0017044B" w:rsidP="0017044B">
            <w:pPr>
              <w:pStyle w:val="Paragraphedeliste"/>
              <w:rPr>
                <w:rFonts w:ascii="Times New Roman" w:eastAsia="Times New Roman" w:hAnsi="Times New Roman" w:cs="Times New Roman"/>
                <w:color w:val="auto"/>
                <w:sz w:val="22"/>
                <w:szCs w:val="22"/>
                <w:lang w:val="en-IE"/>
                <w14:ligatures w14:val="none"/>
              </w:rPr>
            </w:pPr>
          </w:p>
          <w:p w14:paraId="4F11CE1C" w14:textId="272EA4B3" w:rsidR="0017044B" w:rsidRDefault="0017044B" w:rsidP="004520B8">
            <w:pPr>
              <w:pStyle w:val="Paragraphedeliste"/>
              <w:widowControl w:val="0"/>
              <w:numPr>
                <w:ilvl w:val="0"/>
                <w:numId w:val="5"/>
              </w:numPr>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Draft a</w:t>
            </w:r>
            <w:r w:rsidR="00ED204C">
              <w:rPr>
                <w:rFonts w:ascii="Times New Roman" w:eastAsia="Times New Roman" w:hAnsi="Times New Roman" w:cs="Times New Roman"/>
                <w:color w:val="auto"/>
                <w:sz w:val="22"/>
                <w:szCs w:val="22"/>
                <w:lang w:val="en-IE"/>
                <w14:ligatures w14:val="none"/>
              </w:rPr>
              <w:t xml:space="preserve"> </w:t>
            </w:r>
            <w:r w:rsidR="00E86C52">
              <w:rPr>
                <w:rFonts w:ascii="Times New Roman" w:eastAsia="Times New Roman" w:hAnsi="Times New Roman" w:cs="Times New Roman"/>
                <w:color w:val="auto"/>
                <w:sz w:val="22"/>
                <w:szCs w:val="22"/>
                <w:lang w:val="en-IE"/>
                <w14:ligatures w14:val="none"/>
              </w:rPr>
              <w:t xml:space="preserve">final </w:t>
            </w:r>
            <w:r w:rsidR="00ED204C">
              <w:rPr>
                <w:rFonts w:ascii="Times New Roman" w:eastAsia="Times New Roman" w:hAnsi="Times New Roman" w:cs="Times New Roman"/>
                <w:color w:val="auto"/>
                <w:sz w:val="22"/>
                <w:szCs w:val="22"/>
                <w:lang w:val="en-IE"/>
                <w14:ligatures w14:val="none"/>
              </w:rPr>
              <w:t xml:space="preserve">recommendations report </w:t>
            </w:r>
            <w:r w:rsidR="009C585D">
              <w:rPr>
                <w:rFonts w:ascii="Times New Roman" w:eastAsia="Times New Roman" w:hAnsi="Times New Roman" w:cs="Times New Roman"/>
                <w:color w:val="auto"/>
                <w:sz w:val="22"/>
                <w:szCs w:val="22"/>
                <w:lang w:val="en-IE"/>
                <w14:ligatures w14:val="none"/>
              </w:rPr>
              <w:t>focus</w:t>
            </w:r>
            <w:r w:rsidR="002E6977">
              <w:rPr>
                <w:rFonts w:ascii="Times New Roman" w:eastAsia="Times New Roman" w:hAnsi="Times New Roman" w:cs="Times New Roman"/>
                <w:color w:val="auto"/>
                <w:sz w:val="22"/>
                <w:szCs w:val="22"/>
                <w:lang w:val="en-IE"/>
                <w14:ligatures w14:val="none"/>
              </w:rPr>
              <w:t>ed</w:t>
            </w:r>
            <w:r w:rsidR="009C585D">
              <w:rPr>
                <w:rFonts w:ascii="Times New Roman" w:eastAsia="Times New Roman" w:hAnsi="Times New Roman" w:cs="Times New Roman"/>
                <w:color w:val="auto"/>
                <w:sz w:val="22"/>
                <w:szCs w:val="22"/>
                <w:lang w:val="en-IE"/>
                <w14:ligatures w14:val="none"/>
              </w:rPr>
              <w:t xml:space="preserve"> </w:t>
            </w:r>
            <w:r w:rsidR="007666DB">
              <w:rPr>
                <w:rFonts w:ascii="Times New Roman" w:eastAsia="Times New Roman" w:hAnsi="Times New Roman" w:cs="Times New Roman"/>
                <w:color w:val="auto"/>
                <w:sz w:val="22"/>
                <w:szCs w:val="22"/>
                <w:lang w:val="en-IE"/>
                <w14:ligatures w14:val="none"/>
              </w:rPr>
              <w:t>on</w:t>
            </w:r>
            <w:r w:rsidR="007666DB" w:rsidRPr="00ED204C">
              <w:rPr>
                <w:rFonts w:ascii="Times New Roman" w:eastAsia="Times New Roman" w:hAnsi="Times New Roman" w:cs="Times New Roman"/>
                <w:color w:val="auto"/>
                <w:sz w:val="22"/>
                <w:szCs w:val="22"/>
                <w:lang w:val="en-IE"/>
                <w14:ligatures w14:val="none"/>
              </w:rPr>
              <w:t xml:space="preserve"> </w:t>
            </w:r>
            <w:r w:rsidR="007666DB" w:rsidRPr="00561A4F">
              <w:rPr>
                <w:rFonts w:ascii="Times New Roman" w:eastAsia="Times New Roman" w:hAnsi="Times New Roman" w:cs="Times New Roman"/>
                <w:color w:val="auto"/>
                <w:sz w:val="22"/>
                <w:szCs w:val="22"/>
                <w:lang w:val="en-IE"/>
                <w14:ligatures w14:val="none"/>
              </w:rPr>
              <w:t>good</w:t>
            </w:r>
            <w:r w:rsidR="00561A4F" w:rsidRPr="00561A4F">
              <w:rPr>
                <w:rFonts w:ascii="Times New Roman" w:eastAsia="Times New Roman" w:hAnsi="Times New Roman" w:cs="Times New Roman"/>
                <w:color w:val="auto"/>
                <w:sz w:val="22"/>
                <w:szCs w:val="22"/>
                <w:lang w:val="en-IE"/>
                <w14:ligatures w14:val="none"/>
              </w:rPr>
              <w:t xml:space="preserve"> </w:t>
            </w:r>
            <w:r w:rsidR="007666DB">
              <w:rPr>
                <w:rFonts w:ascii="Times New Roman" w:eastAsia="Times New Roman" w:hAnsi="Times New Roman" w:cs="Times New Roman"/>
                <w:color w:val="auto"/>
                <w:sz w:val="22"/>
                <w:szCs w:val="22"/>
                <w:lang w:val="en-IE"/>
                <w14:ligatures w14:val="none"/>
              </w:rPr>
              <w:t xml:space="preserve">green budgeting </w:t>
            </w:r>
            <w:r w:rsidR="00561A4F" w:rsidRPr="00561A4F">
              <w:rPr>
                <w:rFonts w:ascii="Times New Roman" w:eastAsia="Times New Roman" w:hAnsi="Times New Roman" w:cs="Times New Roman"/>
                <w:color w:val="auto"/>
                <w:sz w:val="22"/>
                <w:szCs w:val="22"/>
                <w:lang w:val="en-IE"/>
                <w14:ligatures w14:val="none"/>
              </w:rPr>
              <w:t xml:space="preserve">practices that could be replicable or adaptable </w:t>
            </w:r>
            <w:r w:rsidR="00561A4F">
              <w:rPr>
                <w:rFonts w:ascii="Times New Roman" w:eastAsia="Times New Roman" w:hAnsi="Times New Roman" w:cs="Times New Roman"/>
                <w:color w:val="auto"/>
                <w:sz w:val="22"/>
                <w:szCs w:val="22"/>
                <w:lang w:val="en-IE"/>
                <w14:ligatures w14:val="none"/>
              </w:rPr>
              <w:t>among EU Member States</w:t>
            </w:r>
            <w:r w:rsidR="00555ED2">
              <w:rPr>
                <w:rFonts w:ascii="Times New Roman" w:eastAsia="Times New Roman" w:hAnsi="Times New Roman" w:cs="Times New Roman"/>
                <w:color w:val="auto"/>
                <w:sz w:val="22"/>
                <w:szCs w:val="22"/>
                <w:lang w:val="en-IE"/>
                <w14:ligatures w14:val="none"/>
              </w:rPr>
              <w:t xml:space="preserve"> </w:t>
            </w:r>
          </w:p>
          <w:p w14:paraId="45C09CF0" w14:textId="2834AA09" w:rsidR="00EE0849" w:rsidRPr="000E7EFD" w:rsidRDefault="00EE0849" w:rsidP="000E7EFD">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p>
        </w:tc>
      </w:tr>
      <w:tr w:rsidR="00E76011" w:rsidRPr="00E76011" w14:paraId="55FE0258" w14:textId="77777777" w:rsidTr="000260F0">
        <w:trPr>
          <w:trHeight w:val="1268"/>
        </w:trPr>
        <w:tc>
          <w:tcPr>
            <w:tcW w:w="1701" w:type="dxa"/>
          </w:tcPr>
          <w:p w14:paraId="26152940"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E76011">
              <w:rPr>
                <w:rFonts w:ascii="Times New Roman" w:eastAsia="Times New Roman" w:hAnsi="Times New Roman" w:cs="Times New Roman"/>
                <w:color w:val="auto"/>
                <w:sz w:val="22"/>
                <w:szCs w:val="22"/>
                <w:lang w:val="en-GB"/>
                <w14:ligatures w14:val="none"/>
              </w:rPr>
              <w:t>Final report and final conference</w:t>
            </w:r>
          </w:p>
          <w:p w14:paraId="14DC32BA"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p>
          <w:p w14:paraId="5E92BF11" w14:textId="77777777"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E76011">
              <w:rPr>
                <w:rFonts w:ascii="Times New Roman" w:eastAsia="Times New Roman" w:hAnsi="Times New Roman" w:cs="Times New Roman"/>
                <w:color w:val="auto"/>
                <w:sz w:val="22"/>
                <w:szCs w:val="22"/>
                <w:lang w:val="en-GB"/>
                <w14:ligatures w14:val="none"/>
              </w:rPr>
              <w:t>September 2027-December 2027</w:t>
            </w:r>
          </w:p>
        </w:tc>
        <w:tc>
          <w:tcPr>
            <w:tcW w:w="7655" w:type="dxa"/>
          </w:tcPr>
          <w:p w14:paraId="3EB8E38A" w14:textId="70AA6BD8" w:rsidR="00E76011" w:rsidRPr="00E76011" w:rsidRDefault="00E76011" w:rsidP="00E76011">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GB"/>
                <w14:ligatures w14:val="none"/>
              </w:rPr>
            </w:pPr>
            <w:r w:rsidRPr="00E76011">
              <w:rPr>
                <w:rFonts w:ascii="Times New Roman" w:eastAsia="Times New Roman" w:hAnsi="Times New Roman" w:cs="Times New Roman"/>
                <w:color w:val="auto"/>
                <w:sz w:val="22"/>
                <w:szCs w:val="22"/>
                <w:lang w:val="en-GB"/>
                <w14:ligatures w14:val="none"/>
              </w:rPr>
              <w:t xml:space="preserve">Participate in the final conference by presenting </w:t>
            </w:r>
            <w:r w:rsidR="004F65BE" w:rsidRPr="004F65BE">
              <w:rPr>
                <w:rFonts w:ascii="Times New Roman" w:eastAsia="Times New Roman" w:hAnsi="Times New Roman" w:cs="Times New Roman"/>
                <w:color w:val="auto"/>
                <w:sz w:val="22"/>
                <w:szCs w:val="22"/>
                <w:lang w:val="en-GB"/>
                <w14:ligatures w14:val="none"/>
              </w:rPr>
              <w:t xml:space="preserve">the key findings of the </w:t>
            </w:r>
            <w:r w:rsidR="004F65BE">
              <w:rPr>
                <w:rFonts w:ascii="Times New Roman" w:eastAsia="Times New Roman" w:hAnsi="Times New Roman" w:cs="Times New Roman"/>
                <w:color w:val="auto"/>
                <w:sz w:val="22"/>
                <w:szCs w:val="22"/>
                <w:lang w:val="en-GB"/>
                <w14:ligatures w14:val="none"/>
              </w:rPr>
              <w:t xml:space="preserve">recommendations </w:t>
            </w:r>
            <w:r w:rsidR="004F65BE" w:rsidRPr="004F65BE">
              <w:rPr>
                <w:rFonts w:ascii="Times New Roman" w:eastAsia="Times New Roman" w:hAnsi="Times New Roman" w:cs="Times New Roman"/>
                <w:color w:val="auto"/>
                <w:sz w:val="22"/>
                <w:szCs w:val="22"/>
                <w:lang w:val="en-GB"/>
                <w14:ligatures w14:val="none"/>
              </w:rPr>
              <w:t xml:space="preserve">report at the closing conference </w:t>
            </w:r>
            <w:r w:rsidR="004F65BE">
              <w:rPr>
                <w:rFonts w:ascii="Times New Roman" w:eastAsia="Times New Roman" w:hAnsi="Times New Roman" w:cs="Times New Roman"/>
                <w:color w:val="auto"/>
                <w:sz w:val="22"/>
                <w:szCs w:val="22"/>
                <w:lang w:val="en-GB"/>
                <w14:ligatures w14:val="none"/>
              </w:rPr>
              <w:t>and provide input, if needed, to the final report.</w:t>
            </w:r>
          </w:p>
        </w:tc>
      </w:tr>
    </w:tbl>
    <w:p w14:paraId="35ECFFE1" w14:textId="77777777" w:rsidR="00E76011" w:rsidRDefault="00E76011"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14:ligatures w14:val="none"/>
        </w:rPr>
      </w:pPr>
    </w:p>
    <w:p w14:paraId="3BFF8FAA" w14:textId="77777777" w:rsidR="00A62E38" w:rsidRDefault="00A62E38"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14:ligatures w14:val="none"/>
        </w:rPr>
      </w:pPr>
    </w:p>
    <w:p w14:paraId="2A5F8431" w14:textId="77777777" w:rsidR="00A62E38" w:rsidRPr="00A62E38" w:rsidRDefault="00A62E38" w:rsidP="00A62E38">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u w:val="single"/>
          <w:lang w:val="en-GB"/>
          <w14:ligatures w14:val="none"/>
        </w:rPr>
      </w:pPr>
      <w:r w:rsidRPr="00A62E38">
        <w:rPr>
          <w:rFonts w:ascii="Times New Roman" w:eastAsia="Times New Roman" w:hAnsi="Times New Roman" w:cs="Times New Roman"/>
          <w:b/>
          <w:bCs/>
          <w:color w:val="auto"/>
          <w:sz w:val="22"/>
          <w:szCs w:val="22"/>
          <w:u w:val="single"/>
          <w:lang w:val="en-GB"/>
          <w14:ligatures w14:val="none"/>
        </w:rPr>
        <w:lastRenderedPageBreak/>
        <w:t>Project context:</w:t>
      </w:r>
    </w:p>
    <w:p w14:paraId="2D5F0366" w14:textId="77777777" w:rsidR="00A62E38" w:rsidRPr="00067FC0" w:rsidRDefault="00A62E38" w:rsidP="00A62E38">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p>
    <w:p w14:paraId="3112315A" w14:textId="77777777" w:rsidR="00A62E38" w:rsidRPr="00067FC0" w:rsidRDefault="00A62E38" w:rsidP="00A62E38">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21FC269C" w14:textId="77777777" w:rsidR="00A62E38" w:rsidRPr="00067FC0" w:rsidRDefault="00A62E38" w:rsidP="00A62E38">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The reformed </w:t>
      </w:r>
      <w:r w:rsidRPr="00067FC0">
        <w:rPr>
          <w:rFonts w:ascii="Times New Roman" w:eastAsia="Times New Roman" w:hAnsi="Times New Roman" w:cs="Times New Roman"/>
          <w:b/>
          <w:bCs/>
          <w:color w:val="auto"/>
          <w:sz w:val="22"/>
          <w:szCs w:val="22"/>
          <w:lang w:val="en-IE"/>
          <w14:ligatures w14:val="none"/>
        </w:rPr>
        <w:t>EU Economic Governance Framework</w:t>
      </w:r>
      <w:r w:rsidRPr="00067FC0">
        <w:rPr>
          <w:rFonts w:ascii="Times New Roman" w:eastAsia="Times New Roman" w:hAnsi="Times New Roman" w:cs="Times New Roman"/>
          <w:color w:val="auto"/>
          <w:sz w:val="22"/>
          <w:szCs w:val="22"/>
          <w:lang w:val="en-IE"/>
          <w14:ligatures w14:val="non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6161EB23" w14:textId="77777777" w:rsidR="00A62E38" w:rsidRPr="00067FC0" w:rsidRDefault="00A62E38" w:rsidP="00A62E38">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The recently adopted </w:t>
      </w:r>
      <w:r w:rsidRPr="00067FC0">
        <w:rPr>
          <w:rFonts w:ascii="Times New Roman" w:eastAsia="Times New Roman" w:hAnsi="Times New Roman" w:cs="Times New Roman"/>
          <w:b/>
          <w:bCs/>
          <w:color w:val="auto"/>
          <w:sz w:val="22"/>
          <w:szCs w:val="22"/>
          <w:lang w:val="en-IE"/>
          <w14:ligatures w14:val="none"/>
        </w:rPr>
        <w:t>EU Directive 2024/1265</w:t>
      </w:r>
      <w:r w:rsidRPr="00067FC0">
        <w:rPr>
          <w:rFonts w:ascii="Times New Roman" w:eastAsia="Times New Roman" w:hAnsi="Times New Roman" w:cs="Times New Roman"/>
          <w:b/>
          <w:bCs/>
          <w:color w:val="auto"/>
          <w:sz w:val="22"/>
          <w:szCs w:val="22"/>
          <w:vertAlign w:val="superscript"/>
          <w:lang w:val="en-IE"/>
          <w14:ligatures w14:val="none"/>
        </w:rPr>
        <w:footnoteReference w:id="1"/>
      </w:r>
      <w:r w:rsidRPr="00067FC0">
        <w:rPr>
          <w:rFonts w:ascii="Times New Roman" w:eastAsia="Times New Roman" w:hAnsi="Times New Roman" w:cs="Times New Roman"/>
          <w:color w:val="auto"/>
          <w:sz w:val="22"/>
          <w:szCs w:val="22"/>
          <w:lang w:val="en-IE"/>
          <w14:ligatures w14:val="none"/>
        </w:rPr>
        <w:t xml:space="preserve"> and the new </w:t>
      </w:r>
      <w:r w:rsidRPr="00067FC0">
        <w:rPr>
          <w:rFonts w:ascii="Times New Roman" w:eastAsia="Times New Roman" w:hAnsi="Times New Roman" w:cs="Times New Roman"/>
          <w:b/>
          <w:bCs/>
          <w:color w:val="auto"/>
          <w:sz w:val="22"/>
          <w:szCs w:val="22"/>
          <w:lang w:val="en-IE"/>
          <w14:ligatures w14:val="none"/>
        </w:rPr>
        <w:t>EU Economic Governance Framework</w:t>
      </w:r>
      <w:r w:rsidRPr="00067FC0">
        <w:rPr>
          <w:rFonts w:ascii="Times New Roman" w:eastAsia="Times New Roman" w:hAnsi="Times New Roman" w:cs="Times New Roman"/>
          <w:color w:val="auto"/>
          <w:sz w:val="22"/>
          <w:szCs w:val="22"/>
          <w:lang w:val="en-IE"/>
          <w14:ligatures w14:val="non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04868DF6" w14:textId="77777777" w:rsidR="00A62E38" w:rsidRPr="00067FC0" w:rsidRDefault="00A62E38" w:rsidP="00A62E38">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The </w:t>
      </w:r>
      <w:r w:rsidRPr="00067FC0">
        <w:rPr>
          <w:rFonts w:ascii="Times New Roman" w:eastAsia="Times New Roman" w:hAnsi="Times New Roman" w:cs="Times New Roman"/>
          <w:b/>
          <w:bCs/>
          <w:color w:val="auto"/>
          <w:sz w:val="22"/>
          <w:szCs w:val="22"/>
          <w:lang w:val="en-IE"/>
          <w14:ligatures w14:val="none"/>
        </w:rPr>
        <w:t>Green Deal Communication</w:t>
      </w:r>
      <w:r w:rsidRPr="00067FC0">
        <w:rPr>
          <w:rFonts w:ascii="Times New Roman" w:eastAsia="Times New Roman" w:hAnsi="Times New Roman" w:cs="Times New Roman"/>
          <w:color w:val="auto"/>
          <w:sz w:val="22"/>
          <w:szCs w:val="22"/>
          <w:lang w:val="en-IE"/>
          <w14:ligatures w14:val="none"/>
        </w:rPr>
        <w:t xml:space="preserve">, the </w:t>
      </w:r>
      <w:r w:rsidRPr="00067FC0">
        <w:rPr>
          <w:rFonts w:ascii="Times New Roman" w:eastAsia="Times New Roman" w:hAnsi="Times New Roman" w:cs="Times New Roman"/>
          <w:b/>
          <w:bCs/>
          <w:color w:val="auto"/>
          <w:sz w:val="22"/>
          <w:szCs w:val="22"/>
          <w:lang w:val="en-IE"/>
          <w14:ligatures w14:val="none"/>
        </w:rPr>
        <w:t>Fit for 55 package</w:t>
      </w:r>
      <w:r w:rsidRPr="00067FC0">
        <w:rPr>
          <w:rFonts w:ascii="Times New Roman" w:eastAsia="Times New Roman" w:hAnsi="Times New Roman" w:cs="Times New Roman"/>
          <w:b/>
          <w:bCs/>
          <w:color w:val="auto"/>
          <w:sz w:val="22"/>
          <w:szCs w:val="22"/>
          <w:vertAlign w:val="superscript"/>
          <w:lang w:val="en-IE"/>
          <w14:ligatures w14:val="none"/>
        </w:rPr>
        <w:footnoteReference w:id="2"/>
      </w:r>
      <w:r w:rsidRPr="00067FC0">
        <w:rPr>
          <w:rFonts w:ascii="Times New Roman" w:eastAsia="Times New Roman" w:hAnsi="Times New Roman" w:cs="Times New Roman"/>
          <w:color w:val="auto"/>
          <w:sz w:val="22"/>
          <w:szCs w:val="22"/>
          <w:lang w:val="en-IE"/>
          <w14:ligatures w14:val="none"/>
        </w:rPr>
        <w:t xml:space="preserve">, and the </w:t>
      </w:r>
      <w:r w:rsidRPr="00067FC0">
        <w:rPr>
          <w:rFonts w:ascii="Times New Roman" w:eastAsia="Times New Roman" w:hAnsi="Times New Roman" w:cs="Times New Roman"/>
          <w:b/>
          <w:bCs/>
          <w:color w:val="auto"/>
          <w:sz w:val="22"/>
          <w:szCs w:val="22"/>
          <w:lang w:val="en-IE"/>
          <w14:ligatures w14:val="none"/>
        </w:rPr>
        <w:t>reformed EU Economic Governance Framework</w:t>
      </w:r>
      <w:r w:rsidRPr="00067FC0">
        <w:rPr>
          <w:rFonts w:ascii="Times New Roman" w:eastAsia="Times New Roman" w:hAnsi="Times New Roman" w:cs="Times New Roman"/>
          <w:color w:val="auto"/>
          <w:sz w:val="22"/>
          <w:szCs w:val="22"/>
          <w:lang w:val="en-IE"/>
          <w14:ligatures w14:val="none"/>
        </w:rPr>
        <w:t xml:space="preserve"> set an ambitious policy context for addressing climate change, emphasizing the need to align public finances with climate and environmental objectives. Green Budgeting is critical to achieving these goals.</w:t>
      </w:r>
    </w:p>
    <w:p w14:paraId="3900CD97" w14:textId="77777777" w:rsidR="00A62E38" w:rsidRPr="00067FC0" w:rsidRDefault="00A62E38" w:rsidP="00A62E38">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 xml:space="preserve">Between 2021 and 2024, the Commission implemented the </w:t>
      </w:r>
      <w:r w:rsidRPr="00067FC0">
        <w:rPr>
          <w:rFonts w:ascii="Times New Roman" w:eastAsia="Times New Roman" w:hAnsi="Times New Roman" w:cs="Times New Roman"/>
          <w:b/>
          <w:bCs/>
          <w:color w:val="auto"/>
          <w:sz w:val="22"/>
          <w:szCs w:val="22"/>
          <w:lang w:val="en-IE"/>
          <w14:ligatures w14:val="none"/>
        </w:rPr>
        <w:t xml:space="preserve">Green Budgeting </w:t>
      </w:r>
      <w:r w:rsidRPr="00067FC0">
        <w:rPr>
          <w:rFonts w:ascii="Times New Roman" w:eastAsia="Times New Roman" w:hAnsi="Times New Roman" w:cs="Times New Roman"/>
          <w:b/>
          <w:bCs/>
          <w:color w:val="auto"/>
          <w:sz w:val="22"/>
          <w:szCs w:val="22"/>
          <w:lang w:val="en-IE"/>
          <w14:ligatures w14:val="none"/>
        </w:rPr>
        <w:lastRenderedPageBreak/>
        <w:t>Training Programme</w:t>
      </w:r>
      <w:r w:rsidRPr="00067FC0">
        <w:rPr>
          <w:rFonts w:ascii="Times New Roman" w:eastAsia="Times New Roman" w:hAnsi="Times New Roman" w:cs="Times New Roman"/>
          <w:b/>
          <w:bCs/>
          <w:color w:val="auto"/>
          <w:sz w:val="22"/>
          <w:szCs w:val="22"/>
          <w:vertAlign w:val="superscript"/>
          <w:lang w:val="en-IE"/>
          <w14:ligatures w14:val="none"/>
        </w:rPr>
        <w:footnoteReference w:id="3"/>
      </w:r>
      <w:r w:rsidRPr="00067FC0">
        <w:rPr>
          <w:rFonts w:ascii="Times New Roman" w:eastAsia="Times New Roman" w:hAnsi="Times New Roman" w:cs="Times New Roman"/>
          <w:color w:val="auto"/>
          <w:sz w:val="22"/>
          <w:szCs w:val="22"/>
          <w:lang w:val="en-IE"/>
          <w14:ligatures w14:val="none"/>
        </w:rPr>
        <w:t>, a multi-country technical support project under the Technical Support Instrument (TSI). This program, based on the European Union Green Budgeting Reference Framework, provided capacity-building in Green Budgeting to 23 Member States. It consisted of four modules covering foundational principles, tagging methodologies, environmental impact assessments, and peer-to-peer exchanges. The program:</w:t>
      </w:r>
    </w:p>
    <w:p w14:paraId="6EDBEEAC" w14:textId="77777777" w:rsidR="00A62E38" w:rsidRPr="00067FC0" w:rsidRDefault="00A62E38" w:rsidP="00A62E38">
      <w:pPr>
        <w:widowControl w:val="0"/>
        <w:numPr>
          <w:ilvl w:val="0"/>
          <w:numId w:val="8"/>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Trained approximately 1,200 participants.</w:t>
      </w:r>
    </w:p>
    <w:p w14:paraId="06602E01" w14:textId="77777777" w:rsidR="00A62E38" w:rsidRPr="00067FC0" w:rsidRDefault="00A62E38" w:rsidP="00A62E38">
      <w:pPr>
        <w:widowControl w:val="0"/>
        <w:numPr>
          <w:ilvl w:val="0"/>
          <w:numId w:val="8"/>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Enabled Member States to develop and implement Green Budgeting frameworks at the national level.</w:t>
      </w:r>
    </w:p>
    <w:p w14:paraId="32D19709" w14:textId="77777777" w:rsidR="00A62E38" w:rsidRDefault="00A62E38" w:rsidP="00A62E38">
      <w:pPr>
        <w:widowControl w:val="0"/>
        <w:numPr>
          <w:ilvl w:val="0"/>
          <w:numId w:val="8"/>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067FC0">
        <w:rPr>
          <w:rFonts w:ascii="Times New Roman" w:eastAsia="Times New Roman" w:hAnsi="Times New Roman" w:cs="Times New Roman"/>
          <w:color w:val="auto"/>
          <w:sz w:val="22"/>
          <w:szCs w:val="22"/>
          <w:lang w:val="en-IE"/>
          <w14:ligatures w14:val="none"/>
        </w:rPr>
        <w:t>Fostered cross-border collaboration and established a community of Green Budgeting Practitioners among public officials across the EU.</w:t>
      </w:r>
    </w:p>
    <w:p w14:paraId="2D9BF05D" w14:textId="77777777" w:rsidR="00A62E38"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0975B3">
        <w:rPr>
          <w:rFonts w:ascii="Times New Roman" w:eastAsia="Times New Roman" w:hAnsi="Times New Roman" w:cs="Times New Roman"/>
          <w:color w:val="auto"/>
          <w:sz w:val="22"/>
          <w:szCs w:val="22"/>
          <w:lang w:val="en-IE"/>
          <w14:ligatures w14:val="none"/>
        </w:rPr>
        <w:t>At the Closing Conference on June 7, 2024, beneficiary authorities identified ongoing technical support needs at both national and sub-national levels. These include further development and implementation of green budgeting methodologies, alignment with other green workstreams such as those relating to the Do No Significant Harm (DNSH) principle and its application in EU funding.</w:t>
      </w:r>
    </w:p>
    <w:p w14:paraId="5260ED2F" w14:textId="77777777" w:rsidR="00A62E38" w:rsidRPr="00C73925" w:rsidRDefault="00A62E38" w:rsidP="00A62E38">
      <w:pPr>
        <w:widowControl w:val="0"/>
        <w:autoSpaceDE w:val="0"/>
        <w:autoSpaceDN w:val="0"/>
        <w:spacing w:before="120" w:after="120" w:line="240" w:lineRule="atLeast"/>
        <w:jc w:val="both"/>
        <w:rPr>
          <w:rFonts w:ascii="Times New Roman" w:eastAsia="Times New Roman" w:hAnsi="Times New Roman" w:cs="Times New Roman"/>
          <w:b/>
          <w:bCs/>
          <w:color w:val="auto"/>
          <w:sz w:val="22"/>
          <w:szCs w:val="22"/>
          <w:lang w:val="en-IE"/>
          <w14:ligatures w14:val="none"/>
        </w:rPr>
      </w:pPr>
      <w:r w:rsidRPr="00C73925">
        <w:rPr>
          <w:rFonts w:ascii="Times New Roman" w:eastAsia="Times New Roman" w:hAnsi="Times New Roman" w:cs="Times New Roman"/>
          <w:b/>
          <w:bCs/>
          <w:color w:val="auto"/>
          <w:sz w:val="22"/>
          <w:szCs w:val="22"/>
          <w:lang w:val="en-IE"/>
          <w14:ligatures w14:val="none"/>
        </w:rPr>
        <w:t>Implementing Effective Green Budgeting practices</w:t>
      </w:r>
    </w:p>
    <w:p w14:paraId="6B781643" w14:textId="77777777" w:rsidR="00A62E38"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Pr>
          <w:rFonts w:ascii="Times New Roman" w:eastAsia="Times New Roman" w:hAnsi="Times New Roman" w:cs="Times New Roman"/>
          <w:color w:val="auto"/>
          <w:sz w:val="22"/>
          <w:szCs w:val="22"/>
          <w:lang w:val="en-IE"/>
          <w14:ligatures w14:val="none"/>
        </w:rPr>
        <w:t>These technical support needs shall be addressed in the framework of this new project for Implementing Effective Green Budgeting practices. T</w:t>
      </w:r>
      <w:r w:rsidRPr="00233857">
        <w:rPr>
          <w:rFonts w:ascii="Times New Roman" w:eastAsia="Times New Roman" w:hAnsi="Times New Roman" w:cs="Times New Roman"/>
          <w:color w:val="auto"/>
          <w:sz w:val="22"/>
          <w:szCs w:val="22"/>
          <w:lang w:val="en-IE"/>
          <w14:ligatures w14:val="none"/>
        </w:rPr>
        <w:t xml:space="preserve">he </w:t>
      </w:r>
      <w:r>
        <w:rPr>
          <w:rFonts w:ascii="Times New Roman" w:eastAsia="Times New Roman" w:hAnsi="Times New Roman" w:cs="Times New Roman"/>
          <w:color w:val="auto"/>
          <w:sz w:val="22"/>
          <w:szCs w:val="22"/>
          <w:lang w:val="en-IE"/>
          <w14:ligatures w14:val="none"/>
        </w:rPr>
        <w:t>Beneficiary Authorities</w:t>
      </w:r>
      <w:r w:rsidRPr="00233857">
        <w:rPr>
          <w:rFonts w:ascii="Times New Roman" w:eastAsia="Times New Roman" w:hAnsi="Times New Roman" w:cs="Times New Roman"/>
          <w:color w:val="auto"/>
          <w:sz w:val="22"/>
          <w:szCs w:val="22"/>
          <w:lang w:val="en-IE"/>
          <w14:ligatures w14:val="none"/>
        </w:rPr>
        <w:t xml:space="preserve">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w:t>
      </w:r>
      <w:r>
        <w:rPr>
          <w:rFonts w:ascii="Times New Roman" w:eastAsia="Times New Roman" w:hAnsi="Times New Roman" w:cs="Times New Roman"/>
          <w:color w:val="auto"/>
          <w:sz w:val="22"/>
          <w:szCs w:val="22"/>
          <w:lang w:val="en-IE"/>
          <w14:ligatures w14:val="none"/>
        </w:rPr>
        <w:t>each country</w:t>
      </w:r>
      <w:r w:rsidRPr="00233857">
        <w:rPr>
          <w:rFonts w:ascii="Times New Roman" w:eastAsia="Times New Roman" w:hAnsi="Times New Roman" w:cs="Times New Roman"/>
          <w:color w:val="auto"/>
          <w:sz w:val="22"/>
          <w:szCs w:val="22"/>
          <w:lang w:val="en-IE"/>
          <w14:ligatures w14:val="none"/>
        </w:rPr>
        <w:t xml:space="preserve"> require technical support to address gaps in capacity, governance, and data management, and to refine methodologies for identifying and </w:t>
      </w:r>
      <w:r w:rsidRPr="00233857">
        <w:rPr>
          <w:rFonts w:ascii="Times New Roman" w:eastAsia="Times New Roman" w:hAnsi="Times New Roman" w:cs="Times New Roman"/>
          <w:color w:val="auto"/>
          <w:sz w:val="22"/>
          <w:szCs w:val="22"/>
          <w:lang w:val="en-IE"/>
          <w14:ligatures w14:val="none"/>
        </w:rPr>
        <w:lastRenderedPageBreak/>
        <w:t>categorizing green expenditures. The countries will benefit from the action through tailored support as well as common activities to share experiences, develop and strengthen methodologies, and foster cross-border collaboration.</w:t>
      </w:r>
    </w:p>
    <w:p w14:paraId="78FB01A5"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 xml:space="preserve">Croatia, Czech Republic, Cyprus, Denmark, France, Ireland, Portugal, Slovakia, Slovenia and Spain 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the TSI Regulation and was selected for funding. </w:t>
      </w:r>
    </w:p>
    <w:p w14:paraId="507B1A24"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The national authorities that requested technical support and will benefit from this Project are:</w:t>
      </w:r>
    </w:p>
    <w:p w14:paraId="1DA6B304"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Ministry of Finance of the Republic of Croatia (Ministarstvo financija)</w:t>
      </w:r>
    </w:p>
    <w:p w14:paraId="1F2E756D"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Ministry of Finance of Cyprus</w:t>
      </w:r>
    </w:p>
    <w:p w14:paraId="545B8953"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Ministry of Finance of the Czech Republic (Ministerstvo financí České republiky)</w:t>
      </w:r>
    </w:p>
    <w:p w14:paraId="56B00DDE"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Ministry of Finance of Denmark (Finansministeriet)</w:t>
      </w:r>
    </w:p>
    <w:p w14:paraId="3B10D9E3"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fr-FR"/>
          <w14:ligatures w14:val="none"/>
        </w:rPr>
      </w:pPr>
      <w:r w:rsidRPr="00EA5E69">
        <w:rPr>
          <w:rFonts w:ascii="Times New Roman" w:eastAsia="Times New Roman" w:hAnsi="Times New Roman" w:cs="Times New Roman"/>
          <w:color w:val="auto"/>
          <w:sz w:val="22"/>
          <w:szCs w:val="22"/>
          <w:lang w:val="fr-FR"/>
          <w14:ligatures w14:val="none"/>
        </w:rPr>
        <w:t>•</w:t>
      </w:r>
      <w:r w:rsidRPr="00EA5E69">
        <w:rPr>
          <w:rFonts w:ascii="Times New Roman" w:eastAsia="Times New Roman" w:hAnsi="Times New Roman" w:cs="Times New Roman"/>
          <w:color w:val="auto"/>
          <w:sz w:val="22"/>
          <w:szCs w:val="22"/>
          <w:lang w:val="fr-FR"/>
          <w14:ligatures w14:val="none"/>
        </w:rPr>
        <w:tab/>
        <w:t>General Direction for Public Finances and Budget Directorate, Ministry of Economics, Finance and Industrial and Digital Sovereignty (Direction Générale des Finances Publiques (DGFiP) and Direction du Budget (Ministère de l’Économie, des Finances et de l’Industrie)</w:t>
      </w:r>
    </w:p>
    <w:p w14:paraId="1083A3F2"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Department of Public Expenditure and Reform, Department of Finance of Ireland (An Roinn Caiteachais Phoiblí, Bonneagair, Seirbhísí Poiblí, Athchóirithe agus Digiteachaithe)</w:t>
      </w:r>
    </w:p>
    <w:p w14:paraId="25354386"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Office for Economic Policy and International Affairs, Ministry of Finance (Gabinete de Planeamento, Estratégia, Avaliação e Relações Internacionais (GPEARI) – Ministério das Finanças)</w:t>
      </w:r>
    </w:p>
    <w:p w14:paraId="076C1F89"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 xml:space="preserve">Ministry of Environment of Slovakia (Ministerstvo životného prostredia </w:t>
      </w:r>
      <w:r w:rsidRPr="00EA5E69">
        <w:rPr>
          <w:rFonts w:ascii="Times New Roman" w:eastAsia="Times New Roman" w:hAnsi="Times New Roman" w:cs="Times New Roman"/>
          <w:color w:val="auto"/>
          <w:sz w:val="22"/>
          <w:szCs w:val="22"/>
          <w:lang w:val="en-IE"/>
          <w14:ligatures w14:val="none"/>
        </w:rPr>
        <w:lastRenderedPageBreak/>
        <w:t>Slovenskej republiky)</w:t>
      </w:r>
    </w:p>
    <w:p w14:paraId="5A02728E"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w:t>
      </w:r>
      <w:r w:rsidRPr="00EA5E69">
        <w:rPr>
          <w:rFonts w:ascii="Times New Roman" w:eastAsia="Times New Roman" w:hAnsi="Times New Roman" w:cs="Times New Roman"/>
          <w:color w:val="auto"/>
          <w:sz w:val="22"/>
          <w:szCs w:val="22"/>
          <w:lang w:val="en-IE"/>
          <w14:ligatures w14:val="none"/>
        </w:rPr>
        <w:tab/>
        <w:t>Ministry of Finance of Slovenia (Ministrstvo za finance)</w:t>
      </w:r>
    </w:p>
    <w:p w14:paraId="2AF19CBC"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s-ES"/>
          <w14:ligatures w14:val="none"/>
        </w:rPr>
      </w:pPr>
      <w:r w:rsidRPr="00EA5E69">
        <w:rPr>
          <w:rFonts w:ascii="Times New Roman" w:eastAsia="Times New Roman" w:hAnsi="Times New Roman" w:cs="Times New Roman"/>
          <w:color w:val="auto"/>
          <w:sz w:val="22"/>
          <w:szCs w:val="22"/>
          <w:lang w:val="es-ES"/>
          <w14:ligatures w14:val="none"/>
        </w:rPr>
        <w:t>•</w:t>
      </w:r>
      <w:r w:rsidRPr="00EA5E69">
        <w:rPr>
          <w:rFonts w:ascii="Times New Roman" w:eastAsia="Times New Roman" w:hAnsi="Times New Roman" w:cs="Times New Roman"/>
          <w:color w:val="auto"/>
          <w:sz w:val="22"/>
          <w:szCs w:val="22"/>
          <w:lang w:val="es-ES"/>
          <w14:ligatures w14:val="none"/>
        </w:rPr>
        <w:tab/>
        <w:t>Ministry of Ecological Transition and the Demographic Challenge of Spain (Ministerio para la Transición Ecológica y el Reto Demográfico)</w:t>
      </w:r>
    </w:p>
    <w:p w14:paraId="1216A866"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s-ES"/>
          <w14:ligatures w14:val="none"/>
        </w:rPr>
      </w:pPr>
    </w:p>
    <w:p w14:paraId="0A470B34"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 xml:space="preserve">This </w:t>
      </w:r>
      <w:r>
        <w:rPr>
          <w:rFonts w:ascii="Times New Roman" w:eastAsia="Times New Roman" w:hAnsi="Times New Roman" w:cs="Times New Roman"/>
          <w:color w:val="auto"/>
          <w:sz w:val="22"/>
          <w:szCs w:val="22"/>
          <w:lang w:val="en-IE"/>
          <w14:ligatures w14:val="none"/>
        </w:rPr>
        <w:t>project</w:t>
      </w:r>
      <w:r w:rsidRPr="00EA5E69">
        <w:rPr>
          <w:rFonts w:ascii="Times New Roman" w:eastAsia="Times New Roman" w:hAnsi="Times New Roman" w:cs="Times New Roman"/>
          <w:color w:val="auto"/>
          <w:sz w:val="22"/>
          <w:szCs w:val="22"/>
          <w:lang w:val="en-IE"/>
          <w14:ligatures w14:val="none"/>
        </w:rPr>
        <w:t xml:space="preserve"> has two strands of technical support: </w:t>
      </w:r>
    </w:p>
    <w:p w14:paraId="62857B91" w14:textId="77777777" w:rsidR="00A62E38" w:rsidRPr="00EA5E69"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1.</w:t>
      </w:r>
      <w:r w:rsidRPr="00EA5E69">
        <w:rPr>
          <w:rFonts w:ascii="Times New Roman" w:eastAsia="Times New Roman" w:hAnsi="Times New Roman" w:cs="Times New Roman"/>
          <w:color w:val="auto"/>
          <w:sz w:val="22"/>
          <w:szCs w:val="22"/>
          <w:lang w:val="en-IE"/>
          <w14:ligatures w14:val="none"/>
        </w:rPr>
        <w:tab/>
        <w:t>Five Standalone Requests: These focus on tailored technical support for implementing Green Budgeting practices at the national level in Cyprus, Czechia, Denmark, France</w:t>
      </w:r>
      <w:r>
        <w:rPr>
          <w:rFonts w:ascii="Times New Roman" w:eastAsia="Times New Roman" w:hAnsi="Times New Roman" w:cs="Times New Roman"/>
          <w:color w:val="auto"/>
          <w:sz w:val="22"/>
          <w:szCs w:val="22"/>
          <w:lang w:val="en-IE"/>
          <w14:ligatures w14:val="none"/>
        </w:rPr>
        <w:t xml:space="preserve"> (sub-national)</w:t>
      </w:r>
      <w:r w:rsidRPr="00EA5E69">
        <w:rPr>
          <w:rFonts w:ascii="Times New Roman" w:eastAsia="Times New Roman" w:hAnsi="Times New Roman" w:cs="Times New Roman"/>
          <w:color w:val="auto"/>
          <w:sz w:val="22"/>
          <w:szCs w:val="22"/>
          <w:lang w:val="en-IE"/>
          <w14:ligatures w14:val="none"/>
        </w:rPr>
        <w:t>, and Portugal. The support includes developing methodologies for tagging climate-relevant expenditures, enhancing governance frameworks, and building capacity within national ministries.</w:t>
      </w:r>
    </w:p>
    <w:p w14:paraId="35E253ED" w14:textId="77777777" w:rsidR="00A62E38" w:rsidRDefault="00A62E38" w:rsidP="00A62E38">
      <w:pPr>
        <w:widowControl w:val="0"/>
        <w:autoSpaceDE w:val="0"/>
        <w:autoSpaceDN w:val="0"/>
        <w:spacing w:before="120" w:after="120" w:line="240" w:lineRule="atLeast"/>
        <w:jc w:val="both"/>
        <w:rPr>
          <w:rFonts w:ascii="Times New Roman" w:eastAsia="Times New Roman" w:hAnsi="Times New Roman" w:cs="Times New Roman"/>
          <w:color w:val="auto"/>
          <w:sz w:val="22"/>
          <w:szCs w:val="22"/>
          <w:lang w:val="en-IE"/>
          <w14:ligatures w14:val="none"/>
        </w:rPr>
      </w:pPr>
      <w:r w:rsidRPr="00EA5E69">
        <w:rPr>
          <w:rFonts w:ascii="Times New Roman" w:eastAsia="Times New Roman" w:hAnsi="Times New Roman" w:cs="Times New Roman"/>
          <w:color w:val="auto"/>
          <w:sz w:val="22"/>
          <w:szCs w:val="22"/>
          <w:lang w:val="en-IE"/>
          <w14:ligatures w14:val="none"/>
        </w:rPr>
        <w:t>2.</w:t>
      </w:r>
      <w:r w:rsidRPr="00EA5E69">
        <w:rPr>
          <w:rFonts w:ascii="Times New Roman" w:eastAsia="Times New Roman" w:hAnsi="Times New Roman" w:cs="Times New Roman"/>
          <w:color w:val="auto"/>
          <w:sz w:val="22"/>
          <w:szCs w:val="22"/>
          <w:lang w:val="en-IE"/>
          <w14:ligatures w14:val="none"/>
        </w:rPr>
        <w:tab/>
        <w:t xml:space="preserve">Civil Servants Exchange: This component facilitates knowledge-sharing and capacity-building among Member States. It includes participation from the five standalone project beneficiaries (Cyprus, Czechia, Denmark, France, and Portugal) as well as Croatia, Ireland, Slovakia, Slovenia, and Spain. </w:t>
      </w:r>
    </w:p>
    <w:p w14:paraId="2D349898" w14:textId="77777777" w:rsidR="000260F0" w:rsidRPr="00A62E38" w:rsidRDefault="000260F0"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lang w:val="en-IE"/>
          <w14:ligatures w14:val="none"/>
        </w:rPr>
      </w:pPr>
    </w:p>
    <w:p w14:paraId="768D3E1E" w14:textId="77777777" w:rsidR="000260F0" w:rsidRDefault="000260F0"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14:ligatures w14:val="none"/>
        </w:rPr>
      </w:pPr>
    </w:p>
    <w:p w14:paraId="24148919" w14:textId="77777777" w:rsidR="000260F0" w:rsidRPr="00E76011" w:rsidRDefault="000260F0" w:rsidP="009A06B0">
      <w:pPr>
        <w:widowControl w:val="0"/>
        <w:autoSpaceDE w:val="0"/>
        <w:autoSpaceDN w:val="0"/>
        <w:spacing w:after="0" w:line="240" w:lineRule="auto"/>
        <w:jc w:val="both"/>
        <w:outlineLvl w:val="0"/>
        <w:rPr>
          <w:rFonts w:ascii="Times New Roman" w:eastAsia="Times New Roman" w:hAnsi="Times New Roman" w:cs="Times New Roman"/>
          <w:color w:val="auto"/>
          <w:sz w:val="22"/>
          <w:szCs w:val="22"/>
          <w14:ligatures w14:val="none"/>
        </w:rPr>
      </w:pPr>
    </w:p>
    <w:p w14:paraId="484DC912" w14:textId="77777777" w:rsidR="003E525D" w:rsidRPr="003E525D" w:rsidRDefault="003E525D" w:rsidP="003E525D">
      <w:pPr>
        <w:rPr>
          <w:b/>
          <w:bCs/>
          <w:sz w:val="22"/>
          <w:szCs w:val="22"/>
          <w:lang w:val="en-GB"/>
        </w:rPr>
      </w:pPr>
      <w:r w:rsidRPr="003E525D">
        <w:rPr>
          <w:b/>
          <w:bCs/>
          <w:sz w:val="22"/>
          <w:szCs w:val="22"/>
          <w:lang w:val="en-GB"/>
        </w:rPr>
        <w:t>Desired profile</w:t>
      </w:r>
    </w:p>
    <w:p w14:paraId="6B27A18F" w14:textId="77777777" w:rsidR="003E525D" w:rsidRPr="003E525D" w:rsidRDefault="003E525D" w:rsidP="003E525D">
      <w:pPr>
        <w:rPr>
          <w:rFonts w:ascii="Times New Roman" w:hAnsi="Times New Roman" w:cs="Times New Roman"/>
          <w:sz w:val="22"/>
          <w:szCs w:val="22"/>
          <w:lang w:val="en-GB"/>
        </w:rPr>
      </w:pPr>
      <w:r w:rsidRPr="003E525D">
        <w:rPr>
          <w:rFonts w:ascii="Times New Roman" w:hAnsi="Times New Roman" w:cs="Times New Roman"/>
          <w:sz w:val="22"/>
          <w:szCs w:val="22"/>
          <w:lang w:val="en-GB"/>
        </w:rPr>
        <w:t>- Master’s or PhD in Environmental and/or Climate economics, Environmental fiscal policy, Green Public Financial Management, other relevant fields with at least 7 years of professional experience in the outlined areas;</w:t>
      </w:r>
    </w:p>
    <w:p w14:paraId="6A6DEBF9" w14:textId="23B799C1" w:rsidR="003E525D" w:rsidRPr="003E525D" w:rsidRDefault="003E525D" w:rsidP="003E525D">
      <w:pPr>
        <w:numPr>
          <w:ilvl w:val="0"/>
          <w:numId w:val="7"/>
        </w:numPr>
        <w:rPr>
          <w:rFonts w:ascii="Times New Roman" w:hAnsi="Times New Roman" w:cs="Times New Roman"/>
          <w:sz w:val="22"/>
          <w:szCs w:val="22"/>
          <w:lang w:val="en-GB"/>
        </w:rPr>
      </w:pPr>
      <w:r w:rsidRPr="003E525D">
        <w:rPr>
          <w:rFonts w:ascii="Times New Roman" w:hAnsi="Times New Roman" w:cs="Times New Roman"/>
          <w:sz w:val="22"/>
          <w:szCs w:val="22"/>
          <w:lang w:val="en-GB"/>
        </w:rPr>
        <w:t xml:space="preserve">Knowledge of </w:t>
      </w:r>
      <w:r w:rsidRPr="000260F0">
        <w:rPr>
          <w:rFonts w:ascii="Times New Roman" w:hAnsi="Times New Roman" w:cs="Times New Roman"/>
          <w:sz w:val="22"/>
          <w:szCs w:val="22"/>
          <w:lang w:val="en-GB"/>
        </w:rPr>
        <w:t xml:space="preserve">EU </w:t>
      </w:r>
      <w:r w:rsidRPr="003E525D">
        <w:rPr>
          <w:rFonts w:ascii="Times New Roman" w:hAnsi="Times New Roman" w:cs="Times New Roman"/>
          <w:sz w:val="22"/>
          <w:szCs w:val="22"/>
          <w:lang w:val="en-GB"/>
        </w:rPr>
        <w:t xml:space="preserve"> </w:t>
      </w:r>
      <w:r w:rsidR="006528D5" w:rsidRPr="000260F0">
        <w:rPr>
          <w:rFonts w:ascii="Times New Roman" w:hAnsi="Times New Roman" w:cs="Times New Roman"/>
          <w:sz w:val="22"/>
          <w:szCs w:val="22"/>
          <w:lang w:val="en-GB"/>
        </w:rPr>
        <w:t>climate</w:t>
      </w:r>
      <w:r w:rsidRPr="003E525D">
        <w:rPr>
          <w:rFonts w:ascii="Times New Roman" w:hAnsi="Times New Roman" w:cs="Times New Roman"/>
          <w:sz w:val="22"/>
          <w:szCs w:val="22"/>
          <w:lang w:val="en-GB"/>
        </w:rPr>
        <w:t xml:space="preserve"> and environmental objectives, and fiscal policy;</w:t>
      </w:r>
    </w:p>
    <w:p w14:paraId="1602A792" w14:textId="77777777" w:rsidR="003E525D" w:rsidRPr="003E525D" w:rsidRDefault="003E525D" w:rsidP="003E525D">
      <w:pPr>
        <w:numPr>
          <w:ilvl w:val="0"/>
          <w:numId w:val="7"/>
        </w:numPr>
        <w:rPr>
          <w:rFonts w:ascii="Times New Roman" w:hAnsi="Times New Roman" w:cs="Times New Roman"/>
          <w:sz w:val="22"/>
          <w:szCs w:val="22"/>
          <w:lang w:val="en-GB"/>
        </w:rPr>
      </w:pPr>
      <w:r w:rsidRPr="003E525D">
        <w:rPr>
          <w:rFonts w:ascii="Times New Roman" w:hAnsi="Times New Roman" w:cs="Times New Roman"/>
          <w:sz w:val="22"/>
          <w:szCs w:val="22"/>
          <w:lang w:val="en-GB"/>
        </w:rPr>
        <w:lastRenderedPageBreak/>
        <w:t>Track record of providing technical support to the development and implementation of Green PFM tools or climate finance, as well as experience in executing capacity building activities;</w:t>
      </w:r>
    </w:p>
    <w:p w14:paraId="7EE34608" w14:textId="77777777" w:rsidR="003E525D" w:rsidRPr="003E525D" w:rsidRDefault="003E525D" w:rsidP="003E525D">
      <w:pPr>
        <w:numPr>
          <w:ilvl w:val="0"/>
          <w:numId w:val="7"/>
        </w:numPr>
        <w:rPr>
          <w:rFonts w:ascii="Times New Roman" w:hAnsi="Times New Roman" w:cs="Times New Roman"/>
          <w:sz w:val="22"/>
          <w:szCs w:val="22"/>
          <w:lang w:val="en-GB"/>
        </w:rPr>
      </w:pPr>
      <w:r w:rsidRPr="003E525D">
        <w:rPr>
          <w:rFonts w:ascii="Times New Roman" w:hAnsi="Times New Roman" w:cs="Times New Roman"/>
          <w:sz w:val="22"/>
          <w:szCs w:val="22"/>
          <w:lang w:val="en-GB"/>
        </w:rPr>
        <w:t>Track record in strategic engagement with multidisciplinary teams, and with senior-level government, private sector, and/or international cooperation partners;</w:t>
      </w:r>
    </w:p>
    <w:p w14:paraId="7002915F" w14:textId="76288244" w:rsidR="003E525D" w:rsidRPr="003E525D" w:rsidRDefault="003E525D" w:rsidP="003E525D">
      <w:pPr>
        <w:rPr>
          <w:rFonts w:ascii="Times New Roman" w:hAnsi="Times New Roman" w:cs="Times New Roman"/>
          <w:sz w:val="22"/>
          <w:szCs w:val="22"/>
          <w:lang w:val="en-GB"/>
        </w:rPr>
      </w:pPr>
      <w:r w:rsidRPr="003E525D">
        <w:rPr>
          <w:rFonts w:ascii="Times New Roman" w:hAnsi="Times New Roman" w:cs="Times New Roman"/>
          <w:sz w:val="22"/>
          <w:szCs w:val="22"/>
          <w:lang w:val="en-GB"/>
        </w:rPr>
        <w:t>-Fluency in English .</w:t>
      </w:r>
    </w:p>
    <w:p w14:paraId="2D8FDC14" w14:textId="77777777" w:rsidR="003E525D" w:rsidRPr="003E525D" w:rsidRDefault="003E525D" w:rsidP="003E525D">
      <w:pPr>
        <w:rPr>
          <w:rFonts w:ascii="Times New Roman" w:hAnsi="Times New Roman" w:cs="Times New Roman"/>
          <w:sz w:val="22"/>
          <w:szCs w:val="22"/>
          <w:lang w:val="en-GB"/>
        </w:rPr>
        <w:sectPr w:rsidR="003E525D" w:rsidRPr="003E525D" w:rsidSect="003E525D">
          <w:pgSz w:w="11910" w:h="16840"/>
          <w:pgMar w:top="1340" w:right="1320" w:bottom="280" w:left="1340" w:header="720" w:footer="720" w:gutter="0"/>
          <w:cols w:space="720"/>
        </w:sectPr>
      </w:pPr>
      <w:r w:rsidRPr="003E525D">
        <w:rPr>
          <w:rFonts w:ascii="Times New Roman" w:hAnsi="Times New Roman" w:cs="Times New Roman"/>
          <w:sz w:val="22"/>
          <w:szCs w:val="22"/>
          <w:lang w:val="en-GB"/>
        </w:rPr>
        <w:t>-Experience with providing technical support in projects financed by the European Commission is an asset</w:t>
      </w:r>
    </w:p>
    <w:p w14:paraId="61458017" w14:textId="77777777" w:rsidR="00284BF1" w:rsidRPr="0025787A" w:rsidRDefault="00284BF1">
      <w:pPr>
        <w:rPr>
          <w:lang w:val="en-GB"/>
        </w:rPr>
      </w:pPr>
    </w:p>
    <w:sectPr w:rsidR="00284BF1" w:rsidRPr="0025787A" w:rsidSect="0043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CD54" w14:textId="77777777" w:rsidR="007364D3" w:rsidRDefault="007364D3" w:rsidP="00A62E38">
      <w:pPr>
        <w:spacing w:after="0" w:line="240" w:lineRule="auto"/>
      </w:pPr>
      <w:r>
        <w:separator/>
      </w:r>
    </w:p>
  </w:endnote>
  <w:endnote w:type="continuationSeparator" w:id="0">
    <w:p w14:paraId="0B2CD871" w14:textId="77777777" w:rsidR="007364D3" w:rsidRDefault="007364D3" w:rsidP="00A6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8F13D" w14:textId="77777777" w:rsidR="007364D3" w:rsidRDefault="007364D3" w:rsidP="00A62E38">
      <w:pPr>
        <w:spacing w:after="0" w:line="240" w:lineRule="auto"/>
      </w:pPr>
      <w:r>
        <w:separator/>
      </w:r>
    </w:p>
  </w:footnote>
  <w:footnote w:type="continuationSeparator" w:id="0">
    <w:p w14:paraId="1405940A" w14:textId="77777777" w:rsidR="007364D3" w:rsidRDefault="007364D3" w:rsidP="00A62E38">
      <w:pPr>
        <w:spacing w:after="0" w:line="240" w:lineRule="auto"/>
      </w:pPr>
      <w:r>
        <w:continuationSeparator/>
      </w:r>
    </w:p>
  </w:footnote>
  <w:footnote w:id="1">
    <w:p w14:paraId="46BA744D" w14:textId="77777777" w:rsidR="00A62E38" w:rsidRPr="0041750F" w:rsidRDefault="00A62E38" w:rsidP="00A62E38">
      <w:pPr>
        <w:pStyle w:val="Notedebasdepage"/>
        <w:rPr>
          <w:rFonts w:ascii="Times New Roman" w:hAnsi="Times New Roman" w:cs="Times New Roman"/>
        </w:rPr>
      </w:pPr>
      <w:r w:rsidRPr="0041750F">
        <w:rPr>
          <w:rStyle w:val="Appelnotedebasdep"/>
          <w:rFonts w:ascii="Times New Roman" w:hAnsi="Times New Roman" w:cs="Times New Roman"/>
        </w:rPr>
        <w:footnoteRef/>
      </w:r>
      <w:r w:rsidRPr="0041750F">
        <w:rPr>
          <w:rFonts w:ascii="Times New Roman" w:hAnsi="Times New Roman" w:cs="Times New Roman"/>
        </w:rPr>
        <w:t xml:space="preserve"> https://eur-lex.europa.eu/legal-content/EN/TXT/PDF/?uri=OJ:L_202401265</w:t>
      </w:r>
    </w:p>
  </w:footnote>
  <w:footnote w:id="2">
    <w:p w14:paraId="7A0C9991" w14:textId="77777777" w:rsidR="00A62E38" w:rsidRPr="0041750F" w:rsidRDefault="00A62E38" w:rsidP="00A62E38">
      <w:pPr>
        <w:pStyle w:val="Notedebasdepage"/>
        <w:rPr>
          <w:rFonts w:ascii="Times New Roman" w:hAnsi="Times New Roman" w:cs="Times New Roman"/>
        </w:rPr>
      </w:pPr>
      <w:r w:rsidRPr="0041750F">
        <w:rPr>
          <w:rStyle w:val="Appelnotedebasdep"/>
          <w:rFonts w:ascii="Times New Roman" w:hAnsi="Times New Roman" w:cs="Times New Roman"/>
        </w:rPr>
        <w:footnoteRef/>
      </w:r>
      <w:r w:rsidRPr="0041750F">
        <w:rPr>
          <w:rFonts w:ascii="Times New Roman" w:hAnsi="Times New Roman" w:cs="Times New Roman"/>
        </w:rPr>
        <w:t xml:space="preserve">https://www.consilium.europa.eu/en/policies/fit-for-55/ </w:t>
      </w:r>
    </w:p>
  </w:footnote>
  <w:footnote w:id="3">
    <w:p w14:paraId="506C4995" w14:textId="77777777" w:rsidR="00A62E38" w:rsidRPr="00D80FEA" w:rsidRDefault="00A62E38" w:rsidP="00A62E38">
      <w:pPr>
        <w:pStyle w:val="Notedebasdepage"/>
      </w:pPr>
      <w:r w:rsidRPr="0041750F">
        <w:rPr>
          <w:rStyle w:val="Appelnotedebasdep"/>
          <w:rFonts w:ascii="Times New Roman" w:hAnsi="Times New Roman" w:cs="Times New Roman"/>
        </w:rPr>
        <w:footnoteRef/>
      </w:r>
      <w:hyperlink r:id="rId1" w:history="1">
        <w:r w:rsidRPr="0041750F">
          <w:rPr>
            <w:rStyle w:val="Hipervnculo1"/>
            <w:rFonts w:ascii="Times New Roman" w:hAnsi="Times New Roman" w:cs="Times New Roman"/>
            <w:color w:val="auto"/>
          </w:rPr>
          <w:t>https://reform-support.ec.europa.eu/what-we-do/revenue-administration-and-public-financial-management/supporting-implementation-green-budgeting-practices-eu_en</w:t>
        </w:r>
      </w:hyperlink>
      <w:r w:rsidRPr="0041750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B95"/>
    <w:multiLevelType w:val="hybridMultilevel"/>
    <w:tmpl w:val="5DFA9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C3286"/>
    <w:multiLevelType w:val="hybridMultilevel"/>
    <w:tmpl w:val="E236BF2A"/>
    <w:lvl w:ilvl="0" w:tplc="FFFFFFFF">
      <w:start w:val="1"/>
      <w:numFmt w:val="decimal"/>
      <w:lvlText w:val="%1."/>
      <w:lvlJc w:val="left"/>
      <w:pPr>
        <w:ind w:left="720" w:hanging="360"/>
      </w:pPr>
      <w:rPr>
        <w:rFonts w:hint="default"/>
        <w:b/>
        <w:bCs/>
      </w:rPr>
    </w:lvl>
    <w:lvl w:ilvl="1" w:tplc="1809000B">
      <w:start w:val="1"/>
      <w:numFmt w:val="bullet"/>
      <w:lvlText w:val=""/>
      <w:lvlJc w:val="left"/>
      <w:pPr>
        <w:ind w:left="1440" w:hanging="360"/>
      </w:pPr>
      <w:rPr>
        <w:rFonts w:ascii="Wingdings" w:hAnsi="Wingdings" w:hint="default"/>
      </w:rPr>
    </w:lvl>
    <w:lvl w:ilvl="2" w:tplc="2CB6A20C">
      <w:numFmt w:val="bullet"/>
      <w:lvlText w:val="•"/>
      <w:lvlJc w:val="left"/>
      <w:pPr>
        <w:ind w:left="2700" w:hanging="72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4F2333"/>
    <w:multiLevelType w:val="hybridMultilevel"/>
    <w:tmpl w:val="32AA2BD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A0596"/>
    <w:multiLevelType w:val="hybridMultilevel"/>
    <w:tmpl w:val="FCFE6A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621E68BF"/>
    <w:multiLevelType w:val="hybridMultilevel"/>
    <w:tmpl w:val="4FE20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abstractNum w:abstractNumId="7" w15:restartNumberingAfterBreak="0">
    <w:nsid w:val="7D7F3215"/>
    <w:multiLevelType w:val="hybridMultilevel"/>
    <w:tmpl w:val="1E948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BD"/>
    <w:rsid w:val="000135DB"/>
    <w:rsid w:val="000260F0"/>
    <w:rsid w:val="000B194B"/>
    <w:rsid w:val="000B3AB6"/>
    <w:rsid w:val="000E3A98"/>
    <w:rsid w:val="000E7EFD"/>
    <w:rsid w:val="00120B1E"/>
    <w:rsid w:val="0017044B"/>
    <w:rsid w:val="00180950"/>
    <w:rsid w:val="001F54D9"/>
    <w:rsid w:val="00202044"/>
    <w:rsid w:val="00205DE6"/>
    <w:rsid w:val="002172EE"/>
    <w:rsid w:val="00250E2C"/>
    <w:rsid w:val="0025787A"/>
    <w:rsid w:val="0028036F"/>
    <w:rsid w:val="00284BF1"/>
    <w:rsid w:val="002B4BBD"/>
    <w:rsid w:val="002E0EC2"/>
    <w:rsid w:val="002E6977"/>
    <w:rsid w:val="003A2457"/>
    <w:rsid w:val="003D40E9"/>
    <w:rsid w:val="003E525D"/>
    <w:rsid w:val="0040150B"/>
    <w:rsid w:val="00414916"/>
    <w:rsid w:val="00431DA3"/>
    <w:rsid w:val="004520B8"/>
    <w:rsid w:val="004C398B"/>
    <w:rsid w:val="004C3A1E"/>
    <w:rsid w:val="004F0416"/>
    <w:rsid w:val="004F65BE"/>
    <w:rsid w:val="00555ED2"/>
    <w:rsid w:val="00561A4F"/>
    <w:rsid w:val="006115E3"/>
    <w:rsid w:val="00615B82"/>
    <w:rsid w:val="00645CAD"/>
    <w:rsid w:val="00652395"/>
    <w:rsid w:val="006528D5"/>
    <w:rsid w:val="006A6C26"/>
    <w:rsid w:val="00727A05"/>
    <w:rsid w:val="007364D3"/>
    <w:rsid w:val="007666DB"/>
    <w:rsid w:val="007B7497"/>
    <w:rsid w:val="0080638C"/>
    <w:rsid w:val="008A5E38"/>
    <w:rsid w:val="00902FDE"/>
    <w:rsid w:val="00993833"/>
    <w:rsid w:val="009A06B0"/>
    <w:rsid w:val="009C585D"/>
    <w:rsid w:val="00A62E38"/>
    <w:rsid w:val="00AF17A4"/>
    <w:rsid w:val="00B73969"/>
    <w:rsid w:val="00BD0054"/>
    <w:rsid w:val="00C23E5C"/>
    <w:rsid w:val="00C50638"/>
    <w:rsid w:val="00C6273D"/>
    <w:rsid w:val="00C8189C"/>
    <w:rsid w:val="00D014CE"/>
    <w:rsid w:val="00D50EA5"/>
    <w:rsid w:val="00D938B1"/>
    <w:rsid w:val="00DB3002"/>
    <w:rsid w:val="00E76011"/>
    <w:rsid w:val="00E86C52"/>
    <w:rsid w:val="00ED1DD7"/>
    <w:rsid w:val="00ED204C"/>
    <w:rsid w:val="00EE0849"/>
    <w:rsid w:val="00F5703D"/>
    <w:rsid w:val="00F621F8"/>
    <w:rsid w:val="00F94FBD"/>
    <w:rsid w:val="00FC562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ED20"/>
  <w15:chartTrackingRefBased/>
  <w15:docId w15:val="{949493B7-C36E-48FE-830F-155E8984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87A"/>
  </w:style>
  <w:style w:type="paragraph" w:styleId="Titre1">
    <w:name w:val="heading 1"/>
    <w:basedOn w:val="Normal"/>
    <w:next w:val="Normal"/>
    <w:link w:val="Titre1Car"/>
    <w:uiPriority w:val="9"/>
    <w:qFormat/>
    <w:rsid w:val="002B4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B4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B4B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B4B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2B4BBD"/>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2B4B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B4BB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B4BB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B4BB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BB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B4BB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B4BBD"/>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2B4BBD"/>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2B4BBD"/>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2B4BB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B4BB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B4BB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B4BB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B4BB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2B4BBD"/>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2B4B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4BB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B4BBD"/>
    <w:pPr>
      <w:spacing w:before="160"/>
      <w:jc w:val="center"/>
    </w:pPr>
    <w:rPr>
      <w:i/>
      <w:iCs/>
      <w:color w:val="404040" w:themeColor="text1" w:themeTint="BF"/>
    </w:rPr>
  </w:style>
  <w:style w:type="character" w:customStyle="1" w:styleId="CitationCar">
    <w:name w:val="Citation Car"/>
    <w:basedOn w:val="Policepardfaut"/>
    <w:link w:val="Citation"/>
    <w:uiPriority w:val="29"/>
    <w:rsid w:val="002B4BBD"/>
    <w:rPr>
      <w:i/>
      <w:iCs/>
      <w:color w:val="404040" w:themeColor="text1" w:themeTint="BF"/>
    </w:rPr>
  </w:style>
  <w:style w:type="paragraph" w:styleId="Paragraphedeliste">
    <w:name w:val="List Paragraph"/>
    <w:basedOn w:val="Normal"/>
    <w:uiPriority w:val="34"/>
    <w:qFormat/>
    <w:rsid w:val="002B4BBD"/>
    <w:pPr>
      <w:ind w:left="720"/>
      <w:contextualSpacing/>
    </w:pPr>
  </w:style>
  <w:style w:type="character" w:styleId="Emphaseintense">
    <w:name w:val="Intense Emphasis"/>
    <w:basedOn w:val="Policepardfaut"/>
    <w:uiPriority w:val="21"/>
    <w:qFormat/>
    <w:rsid w:val="002B4BBD"/>
    <w:rPr>
      <w:i/>
      <w:iCs/>
      <w:color w:val="2F5496" w:themeColor="accent1" w:themeShade="BF"/>
    </w:rPr>
  </w:style>
  <w:style w:type="paragraph" w:styleId="Citationintense">
    <w:name w:val="Intense Quote"/>
    <w:basedOn w:val="Normal"/>
    <w:next w:val="Normal"/>
    <w:link w:val="CitationintenseCar"/>
    <w:uiPriority w:val="30"/>
    <w:qFormat/>
    <w:rsid w:val="002B4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B4BBD"/>
    <w:rPr>
      <w:i/>
      <w:iCs/>
      <w:color w:val="2F5496" w:themeColor="accent1" w:themeShade="BF"/>
    </w:rPr>
  </w:style>
  <w:style w:type="character" w:styleId="Rfrenceintense">
    <w:name w:val="Intense Reference"/>
    <w:basedOn w:val="Policepardfaut"/>
    <w:uiPriority w:val="32"/>
    <w:qFormat/>
    <w:rsid w:val="002B4BBD"/>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A62E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2E38"/>
    <w:rPr>
      <w:sz w:val="20"/>
      <w:szCs w:val="20"/>
    </w:rPr>
  </w:style>
  <w:style w:type="character" w:customStyle="1" w:styleId="Hipervnculo1">
    <w:name w:val="Hipervínculo1"/>
    <w:basedOn w:val="Policepardfaut"/>
    <w:uiPriority w:val="99"/>
    <w:unhideWhenUsed/>
    <w:rsid w:val="00A62E38"/>
    <w:rPr>
      <w:color w:val="0000FF"/>
      <w:u w:val="single"/>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A62E38"/>
    <w:rPr>
      <w:vertAlign w:val="superscript"/>
    </w:rPr>
  </w:style>
  <w:style w:type="paragraph" w:customStyle="1" w:styleId="Nota">
    <w:name w:val="Nota"/>
    <w:aliases w:val=" Char1,Char1,(NECG) Footnote Reference,fr,Appel note de bas de p,o,Style 6,Signature Ch"/>
    <w:basedOn w:val="Normal"/>
    <w:link w:val="Appelnotedebasdep"/>
    <w:uiPriority w:val="99"/>
    <w:rsid w:val="00A62E3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1590</Words>
  <Characters>8751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Lucille VALENTIN</cp:lastModifiedBy>
  <cp:revision>2</cp:revision>
  <dcterms:created xsi:type="dcterms:W3CDTF">2025-08-26T07:49:00Z</dcterms:created>
  <dcterms:modified xsi:type="dcterms:W3CDTF">2025-08-26T07:49:00Z</dcterms:modified>
</cp:coreProperties>
</file>