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2A1" w:rsidRDefault="006F3B33">
      <w:pPr>
        <w:jc w:val="center"/>
        <w:rPr>
          <w:b/>
          <w:bCs/>
          <w:lang w:val="fr-FR"/>
        </w:rPr>
      </w:pPr>
      <w:bookmarkStart w:id="0" w:name="_GoBack"/>
      <w:bookmarkEnd w:id="0"/>
      <w:r>
        <w:rPr>
          <w:b/>
          <w:bCs/>
          <w:lang w:val="fr-FR"/>
        </w:rPr>
        <w:t>Fiche de poste / termes de référence</w:t>
      </w:r>
    </w:p>
    <w:p w:rsidR="001622A1" w:rsidRDefault="006F3B33">
      <w:pPr>
        <w:rPr>
          <w:b/>
          <w:bCs/>
          <w:lang w:val="fr-FR"/>
        </w:rPr>
      </w:pPr>
      <w:r>
        <w:rPr>
          <w:b/>
          <w:bCs/>
          <w:lang w:val="fr-FR"/>
        </w:rPr>
        <w:t xml:space="preserve">Titre : Expert(e) pour les procédures de signalement interne et la protection des lanceurs d'alerte  </w:t>
      </w:r>
    </w:p>
    <w:p w:rsidR="001622A1" w:rsidRDefault="006F3B33">
      <w:pPr>
        <w:rPr>
          <w:lang w:val="fr-FR"/>
        </w:rPr>
      </w:pPr>
      <w:r>
        <w:rPr>
          <w:b/>
          <w:bCs/>
          <w:lang w:val="fr-FR"/>
        </w:rPr>
        <w:t>Pays : Monténégro - Agence de prévention de la corruption (APC)</w:t>
      </w:r>
    </w:p>
    <w:p w:rsidR="001622A1" w:rsidRDefault="006F3B33">
      <w:pPr>
        <w:rPr>
          <w:b/>
          <w:bCs/>
          <w:lang w:val="fr-FR"/>
        </w:rPr>
      </w:pPr>
      <w:r>
        <w:rPr>
          <w:b/>
          <w:bCs/>
          <w:lang w:val="fr-FR"/>
        </w:rPr>
        <w:t xml:space="preserve">Description du projet </w:t>
      </w:r>
    </w:p>
    <w:p w:rsidR="001622A1" w:rsidRDefault="006F3B33">
      <w:pPr>
        <w:jc w:val="both"/>
        <w:rPr>
          <w:bCs/>
          <w:lang w:val="fr-FR"/>
        </w:rPr>
      </w:pPr>
      <w:r>
        <w:rPr>
          <w:bCs/>
          <w:lang w:val="fr-FR"/>
        </w:rPr>
        <w:t>Le Fonds pour la lutte contre la corruption (FLCC) vise à renforcer les institutions publiques des pays partenaires dans le domaine de la lutte contre la corruption et à financer des projets portés par des acteurs de la société civile et des médias indépendants. Il s’organise autour de deux composantes principales :</w:t>
      </w:r>
    </w:p>
    <w:p w:rsidR="001622A1" w:rsidRDefault="006F3B33">
      <w:pPr>
        <w:numPr>
          <w:ilvl w:val="0"/>
          <w:numId w:val="15"/>
        </w:numPr>
        <w:jc w:val="both"/>
        <w:rPr>
          <w:bCs/>
          <w:lang w:val="fr-FR"/>
        </w:rPr>
      </w:pPr>
      <w:r>
        <w:rPr>
          <w:bCs/>
          <w:lang w:val="fr-FR"/>
        </w:rPr>
        <w:t>Création d’une plateforme d’expertise permettant de répondre rapidement aux requêtes d’entités publiques de pays bénéficiaires engagées dans la lutte contre la corruption. Cette expertise se concentrera principalement sur :</w:t>
      </w:r>
    </w:p>
    <w:p w:rsidR="001622A1" w:rsidRDefault="006F3B33">
      <w:pPr>
        <w:numPr>
          <w:ilvl w:val="1"/>
          <w:numId w:val="15"/>
        </w:numPr>
        <w:jc w:val="both"/>
        <w:rPr>
          <w:bCs/>
          <w:lang w:val="fr-FR"/>
        </w:rPr>
      </w:pPr>
      <w:r>
        <w:rPr>
          <w:bCs/>
          <w:lang w:val="fr-FR"/>
        </w:rPr>
        <w:t>La lutte contre le blanchiment d'argent et les infractions financières ;</w:t>
      </w:r>
    </w:p>
    <w:p w:rsidR="001622A1" w:rsidRDefault="006F3B33">
      <w:pPr>
        <w:numPr>
          <w:ilvl w:val="1"/>
          <w:numId w:val="15"/>
        </w:numPr>
        <w:jc w:val="both"/>
        <w:rPr>
          <w:bCs/>
          <w:lang w:val="fr-FR"/>
        </w:rPr>
      </w:pPr>
      <w:r>
        <w:rPr>
          <w:bCs/>
          <w:lang w:val="fr-FR"/>
        </w:rPr>
        <w:t>L’appui à la transparence des intérêts et des avoirs des responsables publics (élus et nommés) ;</w:t>
      </w:r>
    </w:p>
    <w:p w:rsidR="001622A1" w:rsidRDefault="006F3B33">
      <w:pPr>
        <w:numPr>
          <w:ilvl w:val="1"/>
          <w:numId w:val="15"/>
        </w:numPr>
        <w:jc w:val="both"/>
        <w:rPr>
          <w:bCs/>
          <w:lang w:val="fr-FR"/>
        </w:rPr>
      </w:pPr>
      <w:r>
        <w:rPr>
          <w:bCs/>
          <w:lang w:val="fr-FR"/>
        </w:rPr>
        <w:t>Le renforcement organisationnel et technique des institutions locales de LCC.</w:t>
      </w:r>
    </w:p>
    <w:p w:rsidR="001622A1" w:rsidRDefault="006F3B33">
      <w:pPr>
        <w:numPr>
          <w:ilvl w:val="0"/>
          <w:numId w:val="15"/>
        </w:numPr>
        <w:jc w:val="both"/>
        <w:rPr>
          <w:bCs/>
          <w:lang w:val="fr-FR"/>
        </w:rPr>
      </w:pPr>
      <w:r>
        <w:rPr>
          <w:bCs/>
          <w:lang w:val="fr-FR"/>
        </w:rPr>
        <w:t>Financement de projets de la société civile et des médias indépendants, visant à soutenir des initiatives pour la transparence, la surveillance des forces de l’ordre, l’accès à l’information, et la transparence des responsables publics.</w:t>
      </w:r>
    </w:p>
    <w:p w:rsidR="001622A1" w:rsidRDefault="006F3B33">
      <w:pPr>
        <w:jc w:val="both"/>
        <w:rPr>
          <w:bCs/>
          <w:color w:val="000000" w:themeColor="text1"/>
          <w:lang w:val="fr-FR"/>
        </w:rPr>
      </w:pPr>
      <w:r>
        <w:rPr>
          <w:bCs/>
          <w:color w:val="000000" w:themeColor="text1"/>
          <w:lang w:val="fr-FR"/>
        </w:rPr>
        <w:t>Une attention particulière sera portée à la prise en compte de la manière dont la corruption affecte différemment les femmes et les hommes avec pour objectif de réduire son incidence particulière sur les femmes.</w:t>
      </w:r>
    </w:p>
    <w:p w:rsidR="001622A1" w:rsidRDefault="006F3B33">
      <w:pPr>
        <w:jc w:val="both"/>
        <w:rPr>
          <w:bCs/>
          <w:lang w:val="fr-FR"/>
        </w:rPr>
      </w:pPr>
      <w:r>
        <w:rPr>
          <w:bCs/>
          <w:color w:val="000000" w:themeColor="text1"/>
          <w:lang w:val="fr-FR"/>
        </w:rPr>
        <w:t xml:space="preserve">Dans cette perspective, le FLCC contribuera à </w:t>
      </w:r>
      <w:r>
        <w:rPr>
          <w:bCs/>
          <w:lang w:val="fr-FR"/>
        </w:rPr>
        <w:t>:</w:t>
      </w:r>
    </w:p>
    <w:p w:rsidR="001622A1" w:rsidRDefault="006F3B33">
      <w:pPr>
        <w:numPr>
          <w:ilvl w:val="0"/>
          <w:numId w:val="7"/>
        </w:numPr>
        <w:jc w:val="both"/>
        <w:rPr>
          <w:bCs/>
          <w:lang w:val="fr-FR"/>
        </w:rPr>
      </w:pPr>
      <w:r>
        <w:rPr>
          <w:bCs/>
          <w:lang w:val="fr-FR"/>
        </w:rPr>
        <w:t>Soutenir les missions des acteurs étatiques et non-étatiques de la lutte contre la corruption, notamment leurs initiatives pour l’égalité femme-homme (objectif spécifique 1)</w:t>
      </w:r>
    </w:p>
    <w:p w:rsidR="001622A1" w:rsidRDefault="006F3B33">
      <w:pPr>
        <w:numPr>
          <w:ilvl w:val="0"/>
          <w:numId w:val="7"/>
        </w:numPr>
        <w:jc w:val="both"/>
        <w:rPr>
          <w:bCs/>
          <w:lang w:val="fr-FR"/>
        </w:rPr>
      </w:pPr>
      <w:r>
        <w:rPr>
          <w:bCs/>
          <w:lang w:val="fr-FR"/>
        </w:rPr>
        <w:t>Améliorer la connaissance, le plaidoyer et le dialogue interinstitutionnel d’une part, et d’autre part entre institutions publiques et société civile sur les phénomènes de corruption, et en particulier leur impact sur les femmes (objectif spécifique 2)</w:t>
      </w:r>
    </w:p>
    <w:p w:rsidR="001622A1" w:rsidRPr="00D904F0" w:rsidRDefault="006F3B33">
      <w:pPr>
        <w:pBdr>
          <w:top w:val="none" w:sz="4" w:space="0" w:color="000000"/>
          <w:left w:val="none" w:sz="4" w:space="0" w:color="000000"/>
          <w:bottom w:val="none" w:sz="4" w:space="0" w:color="000000"/>
          <w:right w:val="none" w:sz="4" w:space="0" w:color="000000"/>
        </w:pBdr>
        <w:spacing w:line="235" w:lineRule="atLeast"/>
        <w:jc w:val="both"/>
        <w:rPr>
          <w:lang w:val="fr-FR"/>
        </w:rPr>
      </w:pPr>
      <w:r w:rsidRPr="00D904F0">
        <w:rPr>
          <w:rFonts w:ascii="Calibri" w:eastAsia="Calibri" w:hAnsi="Calibri" w:cs="Calibri"/>
          <w:b/>
          <w:color w:val="000000"/>
          <w:lang w:val="fr-FR"/>
        </w:rPr>
        <w:t>Contexte</w:t>
      </w:r>
    </w:p>
    <w:p w:rsidR="001622A1" w:rsidRPr="00D904F0" w:rsidRDefault="006F3B33">
      <w:pPr>
        <w:pBdr>
          <w:top w:val="none" w:sz="4" w:space="0" w:color="000000"/>
          <w:left w:val="none" w:sz="4" w:space="0" w:color="000000"/>
          <w:bottom w:val="none" w:sz="4" w:space="0" w:color="000000"/>
          <w:right w:val="none" w:sz="4" w:space="0" w:color="000000"/>
        </w:pBdr>
        <w:jc w:val="both"/>
        <w:rPr>
          <w:lang w:val="fr-FR"/>
        </w:rPr>
      </w:pPr>
      <w:r w:rsidRPr="00D904F0">
        <w:rPr>
          <w:rFonts w:ascii="Calibri" w:eastAsia="Calibri" w:hAnsi="Calibri" w:cs="Calibri"/>
          <w:color w:val="000000"/>
          <w:lang w:val="fr-FR"/>
        </w:rPr>
        <w:t xml:space="preserve">Dans le cadre du renforcement de la lutte contre la corruption et de la promotion de la transparence au Monténégro, les autorités monténégrines prévoient l’élaboration d’un </w:t>
      </w:r>
      <w:r w:rsidRPr="00D904F0">
        <w:rPr>
          <w:rFonts w:ascii="Calibri" w:eastAsia="Calibri" w:hAnsi="Calibri" w:cs="Calibri"/>
          <w:b/>
          <w:color w:val="000000"/>
          <w:lang w:val="fr-FR"/>
        </w:rPr>
        <w:t>Guide des lanceurs d’alerte</w:t>
      </w:r>
      <w:r w:rsidRPr="00D904F0">
        <w:rPr>
          <w:rFonts w:ascii="Calibri" w:eastAsia="Calibri" w:hAnsi="Calibri" w:cs="Calibri"/>
          <w:color w:val="000000"/>
          <w:lang w:val="fr-FR"/>
        </w:rPr>
        <w:t xml:space="preserve"> destiné à informer et accompagner les personnes souhaitant signaler des actes de corruption ou d’autres actes répréhensibles.</w:t>
      </w:r>
    </w:p>
    <w:p w:rsidR="001622A1" w:rsidRPr="00D904F0" w:rsidRDefault="006F3B33">
      <w:pPr>
        <w:pBdr>
          <w:top w:val="none" w:sz="4" w:space="0" w:color="000000"/>
          <w:left w:val="none" w:sz="4" w:space="0" w:color="000000"/>
          <w:bottom w:val="none" w:sz="4" w:space="0" w:color="000000"/>
          <w:right w:val="none" w:sz="4" w:space="0" w:color="000000"/>
        </w:pBdr>
        <w:spacing w:line="235" w:lineRule="atLeast"/>
        <w:jc w:val="both"/>
        <w:rPr>
          <w:lang w:val="fr-FR"/>
        </w:rPr>
      </w:pPr>
      <w:r w:rsidRPr="00D904F0">
        <w:rPr>
          <w:rFonts w:ascii="Calibri" w:eastAsia="Calibri" w:hAnsi="Calibri" w:cs="Calibri"/>
          <w:color w:val="000000"/>
          <w:lang w:val="fr-FR"/>
        </w:rPr>
        <w:t xml:space="preserve">Ce guide sera </w:t>
      </w:r>
      <w:r w:rsidRPr="00D904F0">
        <w:rPr>
          <w:rFonts w:ascii="Calibri" w:eastAsia="Calibri" w:hAnsi="Calibri" w:cs="Calibri"/>
          <w:b/>
          <w:color w:val="000000"/>
          <w:lang w:val="fr-FR"/>
        </w:rPr>
        <w:t>élaboré parallèlement à l’élaboration et à l’adoption de la nouvelle législation monténégrine</w:t>
      </w:r>
      <w:r w:rsidRPr="00D904F0">
        <w:rPr>
          <w:rFonts w:ascii="Calibri" w:eastAsia="Calibri" w:hAnsi="Calibri" w:cs="Calibri"/>
          <w:color w:val="000000"/>
          <w:lang w:val="fr-FR"/>
        </w:rPr>
        <w:t xml:space="preserve"> relative à la protection des lanceurs d’alerte et s’appuiera à la fois sur: </w:t>
      </w:r>
    </w:p>
    <w:p w:rsidR="001622A1" w:rsidRPr="00D904F0" w:rsidRDefault="001622A1">
      <w:pPr>
        <w:pBdr>
          <w:top w:val="none" w:sz="4" w:space="0" w:color="000000"/>
          <w:left w:val="none" w:sz="4" w:space="0" w:color="000000"/>
          <w:bottom w:val="none" w:sz="4" w:space="0" w:color="000000"/>
          <w:right w:val="none" w:sz="4" w:space="0" w:color="000000"/>
        </w:pBdr>
        <w:jc w:val="both"/>
        <w:rPr>
          <w:lang w:val="fr-FR"/>
        </w:rPr>
      </w:pPr>
    </w:p>
    <w:p w:rsidR="001622A1" w:rsidRDefault="006F3B33">
      <w:pPr>
        <w:numPr>
          <w:ilvl w:val="0"/>
          <w:numId w:val="17"/>
        </w:numPr>
        <w:pBdr>
          <w:top w:val="none" w:sz="4" w:space="0" w:color="000000"/>
          <w:left w:val="none" w:sz="4" w:space="0" w:color="000000"/>
          <w:bottom w:val="none" w:sz="4" w:space="0" w:color="000000"/>
          <w:right w:val="none" w:sz="4" w:space="0" w:color="000000"/>
        </w:pBdr>
        <w:tabs>
          <w:tab w:val="left" w:pos="720"/>
        </w:tabs>
        <w:spacing w:line="235" w:lineRule="atLeast"/>
        <w:jc w:val="both"/>
      </w:pPr>
      <w:r>
        <w:rPr>
          <w:rFonts w:ascii="Calibri" w:eastAsia="Calibri" w:hAnsi="Calibri" w:cs="Calibri"/>
          <w:color w:val="000000"/>
        </w:rPr>
        <w:lastRenderedPageBreak/>
        <w:t>les meilleures pratiques internationales ;</w:t>
      </w:r>
    </w:p>
    <w:p w:rsidR="001622A1" w:rsidRPr="00D904F0" w:rsidRDefault="006F3B33">
      <w:pPr>
        <w:numPr>
          <w:ilvl w:val="0"/>
          <w:numId w:val="17"/>
        </w:numPr>
        <w:pBdr>
          <w:top w:val="none" w:sz="4" w:space="0" w:color="000000"/>
          <w:left w:val="none" w:sz="4" w:space="0" w:color="000000"/>
          <w:bottom w:val="none" w:sz="4" w:space="0" w:color="000000"/>
          <w:right w:val="none" w:sz="4" w:space="0" w:color="000000"/>
        </w:pBdr>
        <w:tabs>
          <w:tab w:val="left" w:pos="720"/>
        </w:tabs>
        <w:spacing w:line="235" w:lineRule="atLeast"/>
        <w:jc w:val="both"/>
        <w:rPr>
          <w:lang w:val="fr-FR"/>
        </w:rPr>
      </w:pPr>
      <w:r w:rsidRPr="00D904F0">
        <w:rPr>
          <w:rFonts w:ascii="Calibri" w:eastAsia="Calibri" w:hAnsi="Calibri" w:cs="Calibri"/>
          <w:color w:val="000000"/>
          <w:lang w:val="fr-FR"/>
        </w:rPr>
        <w:t>le Guide des lanceurs d’alerte du Défenseur des droits (France), reconnu comme une référence en matière d’information, de structuration des procédures de signalement et de protection des lanceurs d’alerte ;</w:t>
      </w:r>
    </w:p>
    <w:p w:rsidR="001622A1" w:rsidRPr="00D904F0" w:rsidRDefault="006F3B33">
      <w:pPr>
        <w:numPr>
          <w:ilvl w:val="0"/>
          <w:numId w:val="17"/>
        </w:numPr>
        <w:pBdr>
          <w:top w:val="none" w:sz="4" w:space="0" w:color="000000"/>
          <w:left w:val="none" w:sz="4" w:space="0" w:color="000000"/>
          <w:bottom w:val="none" w:sz="4" w:space="0" w:color="000000"/>
          <w:right w:val="none" w:sz="4" w:space="0" w:color="000000"/>
        </w:pBdr>
        <w:tabs>
          <w:tab w:val="left" w:pos="720"/>
        </w:tabs>
        <w:spacing w:line="235" w:lineRule="atLeast"/>
        <w:jc w:val="both"/>
        <w:rPr>
          <w:lang w:val="fr-FR"/>
        </w:rPr>
      </w:pPr>
      <w:r w:rsidRPr="00D904F0">
        <w:rPr>
          <w:rFonts w:ascii="Calibri" w:eastAsia="Calibri" w:hAnsi="Calibri" w:cs="Calibri"/>
          <w:color w:val="000000"/>
          <w:lang w:val="fr-FR"/>
        </w:rPr>
        <w:t>le cadre juridique et institutionnel spécifique du Monténégro</w:t>
      </w:r>
    </w:p>
    <w:p w:rsidR="001622A1" w:rsidRDefault="006F3B33">
      <w:pPr>
        <w:rPr>
          <w:b/>
          <w:bCs/>
          <w:lang w:val="fr-FR"/>
        </w:rPr>
      </w:pPr>
      <w:r>
        <w:rPr>
          <w:b/>
          <w:bCs/>
          <w:lang w:val="fr-FR"/>
        </w:rPr>
        <w:t xml:space="preserve">Description de la mission </w:t>
      </w:r>
    </w:p>
    <w:p w:rsidR="001622A1" w:rsidRDefault="006F3B33">
      <w:pPr>
        <w:numPr>
          <w:ilvl w:val="0"/>
          <w:numId w:val="2"/>
        </w:numPr>
        <w:jc w:val="both"/>
        <w:rPr>
          <w:lang w:val="fr-FR"/>
        </w:rPr>
      </w:pPr>
      <w:r>
        <w:rPr>
          <w:bCs/>
          <w:lang w:val="fr-FR"/>
        </w:rPr>
        <w:t>Cette mission vise à renforcer les capacités des institutions publiques monténégrines dans la lutte contre la corruption et la promotion de la transparence. Le renforcement des mécanismes de signalement interne des actes répréhensibles et la mise en place de dispositifs de protection adaptés aux lanceurs d’alerte seront au cœur de cette démarche.</w:t>
      </w:r>
    </w:p>
    <w:p w:rsidR="001622A1" w:rsidRDefault="006F3B33">
      <w:pPr>
        <w:numPr>
          <w:ilvl w:val="0"/>
          <w:numId w:val="2"/>
        </w:numPr>
        <w:jc w:val="both"/>
        <w:rPr>
          <w:lang w:val="fr-FR"/>
        </w:rPr>
      </w:pPr>
      <w:r w:rsidRPr="00D904F0">
        <w:rPr>
          <w:rFonts w:ascii="Calibri" w:eastAsia="Calibri" w:hAnsi="Calibri" w:cs="Calibri"/>
          <w:color w:val="000000"/>
          <w:lang w:val="fr-FR"/>
        </w:rPr>
        <w:t>L’expert·e sera chargé·e d’</w:t>
      </w:r>
      <w:r w:rsidR="00D904F0">
        <w:rPr>
          <w:rFonts w:ascii="Calibri" w:eastAsia="Calibri" w:hAnsi="Calibri" w:cs="Calibri"/>
          <w:color w:val="000000"/>
          <w:lang w:val="fr-FR"/>
        </w:rPr>
        <w:t>accompagner l’APC afin de rédiger un document en s’inspirant entre autres de</w:t>
      </w:r>
      <w:r w:rsidRPr="00D904F0">
        <w:rPr>
          <w:rFonts w:ascii="Calibri" w:eastAsia="Calibri" w:hAnsi="Calibri" w:cs="Calibri"/>
          <w:color w:val="000000"/>
          <w:lang w:val="fr-FR"/>
        </w:rPr>
        <w:t xml:space="preserve"> l’approche, la structure et le contenu du </w:t>
      </w:r>
      <w:r w:rsidRPr="00D904F0">
        <w:rPr>
          <w:rFonts w:ascii="Calibri" w:eastAsia="Calibri" w:hAnsi="Calibri" w:cs="Calibri"/>
          <w:b/>
          <w:color w:val="000000"/>
          <w:lang w:val="fr-FR"/>
        </w:rPr>
        <w:t>Guide des lanceurs d’alerte du Défenseur des droits</w:t>
      </w:r>
      <w:r w:rsidRPr="00D904F0">
        <w:rPr>
          <w:rFonts w:ascii="Calibri" w:eastAsia="Calibri" w:hAnsi="Calibri" w:cs="Calibri"/>
          <w:color w:val="000000"/>
          <w:lang w:val="fr-FR"/>
        </w:rPr>
        <w:t xml:space="preserve"> au contexte monténégrin, en tenant compte des spécificités institutionnelles locales et des dispositions prévues par la nouvelle loi.</w:t>
      </w:r>
    </w:p>
    <w:p w:rsidR="001622A1" w:rsidRDefault="006F3B33">
      <w:pPr>
        <w:rPr>
          <w:lang w:val="fr-FR"/>
        </w:rPr>
      </w:pPr>
      <w:r>
        <w:rPr>
          <w:b/>
          <w:bCs/>
          <w:lang w:val="fr-FR"/>
        </w:rPr>
        <w:t>Objectifs de la mission</w:t>
      </w:r>
    </w:p>
    <w:p w:rsidR="001622A1" w:rsidRPr="00D904F0" w:rsidRDefault="006F3B33">
      <w:pPr>
        <w:pBdr>
          <w:top w:val="none" w:sz="4" w:space="0" w:color="000000"/>
          <w:left w:val="none" w:sz="4" w:space="0" w:color="000000"/>
          <w:bottom w:val="none" w:sz="4" w:space="0" w:color="000000"/>
          <w:right w:val="none" w:sz="4" w:space="0" w:color="000000"/>
        </w:pBdr>
        <w:spacing w:line="235" w:lineRule="atLeast"/>
        <w:jc w:val="both"/>
        <w:rPr>
          <w:lang w:val="fr-FR"/>
        </w:rPr>
      </w:pPr>
      <w:r w:rsidRPr="00D904F0">
        <w:rPr>
          <w:rFonts w:ascii="Calibri" w:eastAsia="Calibri" w:hAnsi="Calibri" w:cs="Calibri"/>
          <w:color w:val="000000"/>
          <w:lang w:val="fr-FR"/>
        </w:rPr>
        <w:t xml:space="preserve">L’objectif principal est d’élaborer un </w:t>
      </w:r>
      <w:r w:rsidRPr="00D904F0">
        <w:rPr>
          <w:rFonts w:ascii="Calibri" w:eastAsia="Calibri" w:hAnsi="Calibri" w:cs="Calibri"/>
          <w:b/>
          <w:color w:val="000000"/>
          <w:lang w:val="fr-FR"/>
        </w:rPr>
        <w:t>Guide des lanceurs d’alerte</w:t>
      </w:r>
      <w:r w:rsidRPr="00D904F0">
        <w:rPr>
          <w:rFonts w:ascii="Calibri" w:eastAsia="Calibri" w:hAnsi="Calibri" w:cs="Calibri"/>
          <w:color w:val="000000"/>
          <w:lang w:val="fr-FR"/>
        </w:rPr>
        <w:t xml:space="preserve"> servant de ressource pratique et pédagogique pour les lanceurs d’alerte potentiels et les institutions concernées</w:t>
      </w:r>
      <w:r w:rsidR="00D904F0">
        <w:rPr>
          <w:rFonts w:ascii="Calibri" w:eastAsia="Calibri" w:hAnsi="Calibri" w:cs="Calibri"/>
          <w:color w:val="000000"/>
          <w:lang w:val="fr-FR"/>
        </w:rPr>
        <w:t xml:space="preserve"> au Monténégro</w:t>
      </w:r>
      <w:r w:rsidRPr="00D904F0">
        <w:rPr>
          <w:rFonts w:ascii="Calibri" w:eastAsia="Calibri" w:hAnsi="Calibri" w:cs="Calibri"/>
          <w:color w:val="000000"/>
          <w:lang w:val="fr-FR"/>
        </w:rPr>
        <w:t>, détaillant les droits, les procédures de signalement et les mécanismes de protection disponibles.</w:t>
      </w:r>
    </w:p>
    <w:p w:rsidR="001622A1" w:rsidRPr="00D904F0" w:rsidRDefault="006F3B33">
      <w:pPr>
        <w:pBdr>
          <w:top w:val="none" w:sz="4" w:space="0" w:color="000000"/>
          <w:left w:val="none" w:sz="4" w:space="0" w:color="000000"/>
          <w:bottom w:val="none" w:sz="4" w:space="0" w:color="000000"/>
          <w:right w:val="none" w:sz="4" w:space="0" w:color="000000"/>
        </w:pBdr>
        <w:spacing w:line="235" w:lineRule="atLeast"/>
        <w:jc w:val="both"/>
        <w:rPr>
          <w:lang w:val="fr-FR"/>
        </w:rPr>
      </w:pPr>
      <w:r w:rsidRPr="00D904F0">
        <w:rPr>
          <w:rFonts w:ascii="Calibri" w:eastAsia="Calibri" w:hAnsi="Calibri" w:cs="Calibri"/>
          <w:color w:val="000000"/>
          <w:lang w:val="fr-FR"/>
        </w:rPr>
        <w:t>À ce titre, l’expert·e devra :</w:t>
      </w:r>
    </w:p>
    <w:p w:rsidR="001622A1" w:rsidRPr="00094781" w:rsidRDefault="006F3B33">
      <w:pPr>
        <w:numPr>
          <w:ilvl w:val="0"/>
          <w:numId w:val="19"/>
        </w:numPr>
        <w:pBdr>
          <w:top w:val="none" w:sz="4" w:space="0" w:color="000000"/>
          <w:left w:val="none" w:sz="4" w:space="0" w:color="000000"/>
          <w:bottom w:val="none" w:sz="4" w:space="0" w:color="000000"/>
          <w:right w:val="none" w:sz="4" w:space="0" w:color="000000"/>
        </w:pBdr>
        <w:tabs>
          <w:tab w:val="left" w:pos="720"/>
        </w:tabs>
        <w:spacing w:line="235" w:lineRule="atLeast"/>
        <w:jc w:val="both"/>
        <w:rPr>
          <w:lang w:val="fr-FR"/>
        </w:rPr>
      </w:pPr>
      <w:r w:rsidRPr="00D904F0">
        <w:rPr>
          <w:rFonts w:ascii="Calibri" w:eastAsia="Calibri" w:hAnsi="Calibri" w:cs="Calibri"/>
          <w:color w:val="000000"/>
          <w:lang w:val="fr-FR"/>
        </w:rPr>
        <w:t>Analyser</w:t>
      </w:r>
      <w:r w:rsidR="00094781">
        <w:rPr>
          <w:rFonts w:ascii="Calibri" w:eastAsia="Calibri" w:hAnsi="Calibri" w:cs="Calibri"/>
          <w:color w:val="000000"/>
          <w:lang w:val="fr-FR"/>
        </w:rPr>
        <w:t xml:space="preserve"> notamment</w:t>
      </w:r>
      <w:r w:rsidRPr="00D904F0">
        <w:rPr>
          <w:rFonts w:ascii="Calibri" w:eastAsia="Calibri" w:hAnsi="Calibri" w:cs="Calibri"/>
          <w:color w:val="000000"/>
          <w:lang w:val="fr-FR"/>
        </w:rPr>
        <w:t xml:space="preserve"> le </w:t>
      </w:r>
      <w:r w:rsidRPr="00D904F0">
        <w:rPr>
          <w:rFonts w:ascii="Calibri" w:eastAsia="Calibri" w:hAnsi="Calibri" w:cs="Calibri"/>
          <w:b/>
          <w:color w:val="000000"/>
          <w:lang w:val="fr-FR"/>
        </w:rPr>
        <w:t>Guide des lanceurs d’alerte du Défenseur des droits (France)</w:t>
      </w:r>
      <w:r w:rsidRPr="00D904F0">
        <w:rPr>
          <w:rFonts w:ascii="Calibri" w:eastAsia="Calibri" w:hAnsi="Calibri" w:cs="Calibri"/>
          <w:color w:val="000000"/>
          <w:lang w:val="fr-FR"/>
        </w:rPr>
        <w:t xml:space="preserve"> </w:t>
      </w:r>
      <w:r w:rsidR="00D904F0">
        <w:rPr>
          <w:rFonts w:ascii="Calibri" w:eastAsia="Calibri" w:hAnsi="Calibri" w:cs="Calibri"/>
          <w:color w:val="000000"/>
          <w:lang w:val="fr-FR"/>
        </w:rPr>
        <w:t xml:space="preserve">et toute autre ressource pertinente, </w:t>
      </w:r>
      <w:r w:rsidRPr="00D904F0">
        <w:rPr>
          <w:rFonts w:ascii="Calibri" w:eastAsia="Calibri" w:hAnsi="Calibri" w:cs="Calibri"/>
          <w:color w:val="000000"/>
          <w:lang w:val="fr-FR"/>
        </w:rPr>
        <w:t>et identifier</w:t>
      </w:r>
      <w:r w:rsidR="00D904F0">
        <w:rPr>
          <w:rFonts w:ascii="Calibri" w:eastAsia="Calibri" w:hAnsi="Calibri" w:cs="Calibri"/>
          <w:color w:val="000000"/>
          <w:lang w:val="fr-FR"/>
        </w:rPr>
        <w:t xml:space="preserve">, en collaboration avec le point </w:t>
      </w:r>
      <w:r w:rsidR="00D904F0" w:rsidRPr="00094781">
        <w:rPr>
          <w:rFonts w:ascii="Calibri" w:eastAsia="Calibri" w:hAnsi="Calibri" w:cs="Calibri"/>
          <w:color w:val="000000"/>
          <w:lang w:val="fr-FR"/>
        </w:rPr>
        <w:t>de contact de l’APC,</w:t>
      </w:r>
      <w:r w:rsidRPr="00094781">
        <w:rPr>
          <w:rFonts w:ascii="Calibri" w:eastAsia="Calibri" w:hAnsi="Calibri" w:cs="Calibri"/>
          <w:color w:val="000000"/>
          <w:lang w:val="fr-FR"/>
        </w:rPr>
        <w:t xml:space="preserve"> les éléments transférables et adaptables au contexte monténégrin.</w:t>
      </w:r>
    </w:p>
    <w:p w:rsidR="00094781" w:rsidRPr="00C606F5" w:rsidRDefault="006F3B33">
      <w:pPr>
        <w:numPr>
          <w:ilvl w:val="0"/>
          <w:numId w:val="19"/>
        </w:numPr>
        <w:pBdr>
          <w:top w:val="none" w:sz="4" w:space="0" w:color="000000"/>
          <w:left w:val="none" w:sz="4" w:space="0" w:color="000000"/>
          <w:bottom w:val="none" w:sz="4" w:space="0" w:color="000000"/>
          <w:right w:val="none" w:sz="4" w:space="0" w:color="000000"/>
        </w:pBdr>
        <w:tabs>
          <w:tab w:val="left" w:pos="720"/>
        </w:tabs>
        <w:spacing w:line="235" w:lineRule="atLeast"/>
        <w:jc w:val="both"/>
        <w:rPr>
          <w:lang w:val="fr-FR"/>
        </w:rPr>
      </w:pPr>
      <w:r w:rsidRPr="00094781">
        <w:rPr>
          <w:rFonts w:ascii="Calibri" w:eastAsia="Calibri" w:hAnsi="Calibri" w:cs="Calibri"/>
          <w:color w:val="000000"/>
          <w:lang w:val="fr-FR"/>
        </w:rPr>
        <w:t>Pr</w:t>
      </w:r>
      <w:r w:rsidR="00094781" w:rsidRPr="00C606F5">
        <w:rPr>
          <w:rFonts w:ascii="Calibri" w:eastAsia="Calibri" w:hAnsi="Calibri" w:cs="Calibri"/>
          <w:color w:val="000000"/>
          <w:lang w:val="fr-FR"/>
        </w:rPr>
        <w:t xml:space="preserve">oposer à l’APC une méthodologie de travail conjointe permettant d’aboutir à : </w:t>
      </w:r>
    </w:p>
    <w:p w:rsidR="001622A1" w:rsidRPr="00094781" w:rsidRDefault="00094781" w:rsidP="00C606F5">
      <w:pPr>
        <w:numPr>
          <w:ilvl w:val="1"/>
          <w:numId w:val="19"/>
        </w:numPr>
        <w:pBdr>
          <w:top w:val="none" w:sz="4" w:space="0" w:color="000000"/>
          <w:left w:val="none" w:sz="4" w:space="0" w:color="000000"/>
          <w:bottom w:val="none" w:sz="4" w:space="0" w:color="000000"/>
          <w:right w:val="none" w:sz="4" w:space="0" w:color="000000"/>
        </w:pBdr>
        <w:tabs>
          <w:tab w:val="left" w:pos="720"/>
        </w:tabs>
        <w:spacing w:line="235" w:lineRule="atLeast"/>
        <w:jc w:val="both"/>
        <w:rPr>
          <w:lang w:val="fr-FR"/>
        </w:rPr>
      </w:pPr>
      <w:r w:rsidRPr="00C606F5">
        <w:rPr>
          <w:rFonts w:ascii="Calibri" w:eastAsia="Calibri" w:hAnsi="Calibri" w:cs="Calibri"/>
          <w:color w:val="000000"/>
          <w:lang w:val="fr-FR"/>
        </w:rPr>
        <w:t>une pré</w:t>
      </w:r>
      <w:r w:rsidR="006F3B33" w:rsidRPr="00094781">
        <w:rPr>
          <w:rFonts w:ascii="Calibri" w:eastAsia="Calibri" w:hAnsi="Calibri" w:cs="Calibri"/>
          <w:color w:val="000000"/>
          <w:lang w:val="fr-FR"/>
        </w:rPr>
        <w:t>sent</w:t>
      </w:r>
      <w:r w:rsidRPr="00C606F5">
        <w:rPr>
          <w:rFonts w:ascii="Calibri" w:eastAsia="Calibri" w:hAnsi="Calibri" w:cs="Calibri"/>
          <w:color w:val="000000"/>
          <w:lang w:val="fr-FR"/>
        </w:rPr>
        <w:t>ation</w:t>
      </w:r>
      <w:r w:rsidR="006F3B33" w:rsidRPr="00094781">
        <w:rPr>
          <w:rFonts w:ascii="Calibri" w:eastAsia="Calibri" w:hAnsi="Calibri" w:cs="Calibri"/>
          <w:color w:val="000000"/>
          <w:lang w:val="fr-FR"/>
        </w:rPr>
        <w:t xml:space="preserve"> de manière claire et accessible les </w:t>
      </w:r>
      <w:r w:rsidR="006F3B33" w:rsidRPr="00094781">
        <w:rPr>
          <w:rFonts w:ascii="Calibri" w:eastAsia="Calibri" w:hAnsi="Calibri" w:cs="Calibri"/>
          <w:b/>
          <w:color w:val="000000"/>
          <w:lang w:val="fr-FR"/>
        </w:rPr>
        <w:t>droits, obligations et responsabilités des lanceurs d’alerte</w:t>
      </w:r>
      <w:r w:rsidR="006F3B33" w:rsidRPr="00094781">
        <w:rPr>
          <w:rFonts w:ascii="Calibri" w:eastAsia="Calibri" w:hAnsi="Calibri" w:cs="Calibri"/>
          <w:color w:val="000000"/>
          <w:lang w:val="fr-FR"/>
        </w:rPr>
        <w:t>, conformément à la nouvelle législation monténégrine et aux standards internationaux</w:t>
      </w:r>
      <w:r w:rsidRPr="00C606F5">
        <w:rPr>
          <w:rFonts w:ascii="Calibri" w:eastAsia="Calibri" w:hAnsi="Calibri" w:cs="Calibri"/>
          <w:color w:val="000000"/>
          <w:lang w:val="fr-FR"/>
        </w:rPr>
        <w:t> ;</w:t>
      </w:r>
    </w:p>
    <w:p w:rsidR="001622A1" w:rsidRPr="00094781" w:rsidRDefault="00094781" w:rsidP="00C606F5">
      <w:pPr>
        <w:numPr>
          <w:ilvl w:val="1"/>
          <w:numId w:val="19"/>
        </w:numPr>
        <w:pBdr>
          <w:top w:val="none" w:sz="4" w:space="0" w:color="000000"/>
          <w:left w:val="none" w:sz="4" w:space="0" w:color="000000"/>
          <w:bottom w:val="none" w:sz="4" w:space="0" w:color="000000"/>
          <w:right w:val="none" w:sz="4" w:space="0" w:color="000000"/>
        </w:pBdr>
        <w:tabs>
          <w:tab w:val="left" w:pos="720"/>
        </w:tabs>
        <w:spacing w:line="235" w:lineRule="atLeast"/>
        <w:jc w:val="both"/>
        <w:rPr>
          <w:lang w:val="fr-FR"/>
        </w:rPr>
      </w:pPr>
      <w:r w:rsidRPr="00C606F5">
        <w:rPr>
          <w:rFonts w:ascii="Calibri" w:eastAsia="Calibri" w:hAnsi="Calibri" w:cs="Calibri"/>
          <w:color w:val="000000"/>
          <w:lang w:val="fr-FR"/>
        </w:rPr>
        <w:t>une définition et description</w:t>
      </w:r>
      <w:r w:rsidR="006F3B33" w:rsidRPr="00094781">
        <w:rPr>
          <w:rFonts w:ascii="Calibri" w:eastAsia="Calibri" w:hAnsi="Calibri" w:cs="Calibri"/>
          <w:color w:val="000000"/>
          <w:lang w:val="fr-FR"/>
        </w:rPr>
        <w:t xml:space="preserve"> </w:t>
      </w:r>
      <w:r w:rsidRPr="00C606F5">
        <w:rPr>
          <w:rFonts w:ascii="Calibri" w:eastAsia="Calibri" w:hAnsi="Calibri" w:cs="Calibri"/>
          <w:color w:val="000000"/>
          <w:lang w:val="fr-FR"/>
        </w:rPr>
        <w:t>d</w:t>
      </w:r>
      <w:r w:rsidR="006F3B33" w:rsidRPr="00094781">
        <w:rPr>
          <w:rFonts w:ascii="Calibri" w:eastAsia="Calibri" w:hAnsi="Calibri" w:cs="Calibri"/>
          <w:color w:val="000000"/>
          <w:lang w:val="fr-FR"/>
        </w:rPr>
        <w:t xml:space="preserve">es </w:t>
      </w:r>
      <w:r w:rsidR="006F3B33" w:rsidRPr="00094781">
        <w:rPr>
          <w:rFonts w:ascii="Calibri" w:eastAsia="Calibri" w:hAnsi="Calibri" w:cs="Calibri"/>
          <w:b/>
          <w:color w:val="000000"/>
          <w:lang w:val="fr-FR"/>
        </w:rPr>
        <w:t>procédures de signalement</w:t>
      </w:r>
      <w:r w:rsidR="006F3B33" w:rsidRPr="00094781">
        <w:rPr>
          <w:rFonts w:ascii="Calibri" w:eastAsia="Calibri" w:hAnsi="Calibri" w:cs="Calibri"/>
          <w:color w:val="000000"/>
          <w:lang w:val="fr-FR"/>
        </w:rPr>
        <w:t xml:space="preserve"> des actes de corruption et autres actes répréhensibles (canaux internes et externes), en intégrant des garanties de confidentialité, de sécurité et de traçabilité des signalements</w:t>
      </w:r>
      <w:r>
        <w:rPr>
          <w:rFonts w:ascii="Calibri" w:eastAsia="Calibri" w:hAnsi="Calibri" w:cs="Calibri"/>
          <w:color w:val="000000"/>
          <w:lang w:val="fr-FR"/>
        </w:rPr>
        <w:t> ;</w:t>
      </w:r>
    </w:p>
    <w:p w:rsidR="00094781" w:rsidRPr="00094781" w:rsidRDefault="00094781" w:rsidP="00C606F5">
      <w:pPr>
        <w:numPr>
          <w:ilvl w:val="1"/>
          <w:numId w:val="19"/>
        </w:numPr>
        <w:pBdr>
          <w:top w:val="none" w:sz="4" w:space="0" w:color="000000"/>
          <w:left w:val="none" w:sz="4" w:space="0" w:color="000000"/>
          <w:bottom w:val="none" w:sz="4" w:space="0" w:color="000000"/>
          <w:right w:val="none" w:sz="4" w:space="0" w:color="000000"/>
        </w:pBdr>
        <w:tabs>
          <w:tab w:val="left" w:pos="720"/>
        </w:tabs>
        <w:spacing w:line="235" w:lineRule="atLeast"/>
        <w:jc w:val="both"/>
        <w:rPr>
          <w:lang w:val="fr-FR"/>
        </w:rPr>
      </w:pPr>
      <w:r w:rsidRPr="00C606F5">
        <w:rPr>
          <w:rFonts w:ascii="Calibri" w:eastAsia="Calibri" w:hAnsi="Calibri" w:cs="Calibri"/>
          <w:color w:val="000000"/>
          <w:lang w:val="fr-FR"/>
        </w:rPr>
        <w:t>une description explicite</w:t>
      </w:r>
      <w:r w:rsidRPr="00094781">
        <w:rPr>
          <w:rFonts w:ascii="Calibri" w:eastAsia="Calibri" w:hAnsi="Calibri" w:cs="Calibri"/>
          <w:color w:val="000000"/>
          <w:lang w:val="fr-FR"/>
        </w:rPr>
        <w:t xml:space="preserve"> </w:t>
      </w:r>
      <w:r w:rsidRPr="00C606F5">
        <w:rPr>
          <w:rFonts w:ascii="Calibri" w:eastAsia="Calibri" w:hAnsi="Calibri" w:cs="Calibri"/>
          <w:color w:val="000000"/>
          <w:lang w:val="fr-FR"/>
        </w:rPr>
        <w:t>d</w:t>
      </w:r>
      <w:r w:rsidR="006F3B33" w:rsidRPr="00094781">
        <w:rPr>
          <w:rFonts w:ascii="Calibri" w:eastAsia="Calibri" w:hAnsi="Calibri" w:cs="Calibri"/>
          <w:color w:val="000000"/>
          <w:lang w:val="fr-FR"/>
        </w:rPr>
        <w:t xml:space="preserve">es </w:t>
      </w:r>
      <w:r w:rsidR="006F3B33" w:rsidRPr="00094781">
        <w:rPr>
          <w:rFonts w:ascii="Calibri" w:eastAsia="Calibri" w:hAnsi="Calibri" w:cs="Calibri"/>
          <w:b/>
          <w:color w:val="000000"/>
          <w:lang w:val="fr-FR"/>
        </w:rPr>
        <w:t>mesures de protection des lanceurs d’alerte</w:t>
      </w:r>
      <w:r w:rsidR="006F3B33" w:rsidRPr="00094781">
        <w:rPr>
          <w:rFonts w:ascii="Calibri" w:eastAsia="Calibri" w:hAnsi="Calibri" w:cs="Calibri"/>
          <w:color w:val="000000"/>
          <w:lang w:val="fr-FR"/>
        </w:rPr>
        <w:t>, notamment les soutiens psychologique, juridique et financier assurés par l’Agence pour la prévention de la corruption (APC), suite à l’abrogation de la protection administrative antérieure</w:t>
      </w:r>
      <w:r>
        <w:rPr>
          <w:rFonts w:ascii="Calibri" w:eastAsia="Calibri" w:hAnsi="Calibri" w:cs="Calibri"/>
          <w:color w:val="000000"/>
          <w:lang w:val="fr-FR"/>
        </w:rPr>
        <w:t> ;</w:t>
      </w:r>
    </w:p>
    <w:p w:rsidR="001622A1" w:rsidRPr="00094781" w:rsidRDefault="00094781" w:rsidP="00C606F5">
      <w:pPr>
        <w:numPr>
          <w:ilvl w:val="1"/>
          <w:numId w:val="19"/>
        </w:numPr>
        <w:pBdr>
          <w:top w:val="none" w:sz="4" w:space="0" w:color="000000"/>
          <w:left w:val="none" w:sz="4" w:space="0" w:color="000000"/>
          <w:bottom w:val="none" w:sz="4" w:space="0" w:color="000000"/>
          <w:right w:val="none" w:sz="4" w:space="0" w:color="000000"/>
        </w:pBdr>
        <w:tabs>
          <w:tab w:val="left" w:pos="720"/>
        </w:tabs>
        <w:spacing w:line="235" w:lineRule="atLeast"/>
        <w:jc w:val="both"/>
        <w:rPr>
          <w:rFonts w:ascii="Calibri" w:eastAsia="Calibri" w:hAnsi="Calibri" w:cs="Calibri"/>
          <w:lang w:val="fr-FR"/>
        </w:rPr>
      </w:pPr>
      <w:r w:rsidRPr="00C606F5">
        <w:rPr>
          <w:rFonts w:ascii="Calibri" w:eastAsia="Calibri" w:hAnsi="Calibri" w:cs="Calibri"/>
          <w:color w:val="000000"/>
          <w:lang w:val="fr-FR"/>
        </w:rPr>
        <w:t>un détail</w:t>
      </w:r>
      <w:r w:rsidRPr="00094781">
        <w:rPr>
          <w:rFonts w:ascii="Calibri" w:eastAsia="Calibri" w:hAnsi="Calibri" w:cs="Calibri"/>
          <w:color w:val="000000"/>
          <w:lang w:val="fr-FR"/>
        </w:rPr>
        <w:t xml:space="preserve"> </w:t>
      </w:r>
      <w:r w:rsidRPr="00C606F5">
        <w:rPr>
          <w:rFonts w:ascii="Calibri" w:eastAsia="Calibri" w:hAnsi="Calibri" w:cs="Calibri"/>
          <w:color w:val="000000"/>
          <w:lang w:val="fr-FR"/>
        </w:rPr>
        <w:t>d</w:t>
      </w:r>
      <w:r w:rsidR="006F3B33" w:rsidRPr="00094781">
        <w:rPr>
          <w:rFonts w:ascii="Calibri" w:eastAsia="Calibri" w:hAnsi="Calibri" w:cs="Calibri"/>
          <w:color w:val="000000"/>
          <w:lang w:val="fr-FR"/>
        </w:rPr>
        <w:t xml:space="preserve">es </w:t>
      </w:r>
      <w:r w:rsidR="006F3B33" w:rsidRPr="00094781">
        <w:rPr>
          <w:rFonts w:ascii="Calibri" w:eastAsia="Calibri" w:hAnsi="Calibri" w:cs="Calibri"/>
          <w:b/>
          <w:color w:val="000000"/>
          <w:lang w:val="fr-FR"/>
        </w:rPr>
        <w:t>sanctions applicables en cas de représailles, de discrimination ou de mauvais traitements</w:t>
      </w:r>
      <w:r w:rsidR="006F3B33" w:rsidRPr="00094781">
        <w:rPr>
          <w:rFonts w:ascii="Calibri" w:eastAsia="Calibri" w:hAnsi="Calibri" w:cs="Calibri"/>
          <w:color w:val="000000"/>
          <w:lang w:val="fr-FR"/>
        </w:rPr>
        <w:t xml:space="preserve"> à l’encontre des lanceurs d’alerte.</w:t>
      </w:r>
    </w:p>
    <w:p w:rsidR="001622A1" w:rsidRDefault="006F3B33">
      <w:pPr>
        <w:rPr>
          <w:lang w:val="fr-FR"/>
        </w:rPr>
      </w:pPr>
      <w:r>
        <w:rPr>
          <w:b/>
          <w:bCs/>
          <w:lang w:val="fr-FR"/>
        </w:rPr>
        <w:lastRenderedPageBreak/>
        <w:t>Livrables attendus</w:t>
      </w:r>
    </w:p>
    <w:p w:rsidR="001622A1" w:rsidRPr="00D904F0" w:rsidRDefault="006F3B33">
      <w:pPr>
        <w:numPr>
          <w:ilvl w:val="0"/>
          <w:numId w:val="18"/>
        </w:numPr>
        <w:pBdr>
          <w:top w:val="none" w:sz="4" w:space="0" w:color="000000"/>
          <w:left w:val="none" w:sz="4" w:space="0" w:color="000000"/>
          <w:bottom w:val="none" w:sz="4" w:space="0" w:color="000000"/>
          <w:right w:val="none" w:sz="4" w:space="0" w:color="000000"/>
        </w:pBdr>
        <w:tabs>
          <w:tab w:val="left" w:pos="720"/>
        </w:tabs>
        <w:spacing w:line="235" w:lineRule="atLeast"/>
        <w:jc w:val="both"/>
        <w:rPr>
          <w:lang w:val="fr-FR"/>
        </w:rPr>
      </w:pPr>
      <w:r w:rsidRPr="00D904F0">
        <w:rPr>
          <w:rFonts w:ascii="Calibri" w:eastAsia="Calibri" w:hAnsi="Calibri" w:cs="Calibri"/>
          <w:color w:val="000000"/>
          <w:lang w:val="fr-FR"/>
        </w:rPr>
        <w:t xml:space="preserve">Un </w:t>
      </w:r>
      <w:r w:rsidRPr="00D904F0">
        <w:rPr>
          <w:rFonts w:ascii="Calibri" w:eastAsia="Calibri" w:hAnsi="Calibri" w:cs="Calibri"/>
          <w:b/>
          <w:color w:val="000000"/>
          <w:lang w:val="fr-FR"/>
        </w:rPr>
        <w:t>Guide des lanceurs d’alerte</w:t>
      </w:r>
      <w:r w:rsidRPr="00D904F0">
        <w:rPr>
          <w:rFonts w:ascii="Calibri" w:eastAsia="Calibri" w:hAnsi="Calibri" w:cs="Calibri"/>
          <w:color w:val="000000"/>
          <w:lang w:val="fr-FR"/>
        </w:rPr>
        <w:t xml:space="preserve"> </w:t>
      </w:r>
      <w:r w:rsidR="00D904F0">
        <w:rPr>
          <w:rFonts w:ascii="Calibri" w:eastAsia="Calibri" w:hAnsi="Calibri" w:cs="Calibri"/>
          <w:color w:val="000000"/>
          <w:lang w:val="fr-FR"/>
        </w:rPr>
        <w:t xml:space="preserve">co-construit, </w:t>
      </w:r>
      <w:r w:rsidRPr="00D904F0">
        <w:rPr>
          <w:rFonts w:ascii="Calibri" w:eastAsia="Calibri" w:hAnsi="Calibri" w:cs="Calibri"/>
          <w:color w:val="000000"/>
          <w:lang w:val="fr-FR"/>
        </w:rPr>
        <w:t>complet, clair et accessible</w:t>
      </w:r>
      <w:r w:rsidR="00D904F0">
        <w:rPr>
          <w:rFonts w:ascii="Calibri" w:eastAsia="Calibri" w:hAnsi="Calibri" w:cs="Calibri"/>
          <w:color w:val="000000"/>
          <w:lang w:val="fr-FR"/>
        </w:rPr>
        <w:t>,</w:t>
      </w:r>
      <w:r w:rsidRPr="00D904F0">
        <w:rPr>
          <w:rFonts w:ascii="Calibri" w:eastAsia="Calibri" w:hAnsi="Calibri" w:cs="Calibri"/>
          <w:color w:val="000000"/>
          <w:lang w:val="fr-FR"/>
        </w:rPr>
        <w:t xml:space="preserve"> adapté au cadre législatif et institutionnel monténégrin, couvrant notamment :</w:t>
      </w:r>
    </w:p>
    <w:p w:rsidR="001622A1" w:rsidRPr="00D904F0" w:rsidRDefault="006F3B33">
      <w:pPr>
        <w:numPr>
          <w:ilvl w:val="1"/>
          <w:numId w:val="18"/>
        </w:numPr>
        <w:pBdr>
          <w:top w:val="none" w:sz="4" w:space="0" w:color="000000"/>
          <w:left w:val="none" w:sz="4" w:space="0" w:color="000000"/>
          <w:bottom w:val="none" w:sz="4" w:space="0" w:color="000000"/>
          <w:right w:val="none" w:sz="4" w:space="0" w:color="000000"/>
        </w:pBdr>
        <w:tabs>
          <w:tab w:val="left" w:pos="1440"/>
        </w:tabs>
        <w:spacing w:line="235" w:lineRule="atLeast"/>
        <w:jc w:val="both"/>
        <w:rPr>
          <w:lang w:val="fr-FR"/>
        </w:rPr>
      </w:pPr>
      <w:r w:rsidRPr="00D904F0">
        <w:rPr>
          <w:rFonts w:ascii="Calibri" w:eastAsia="Calibri" w:hAnsi="Calibri" w:cs="Calibri"/>
          <w:color w:val="000000"/>
          <w:lang w:val="fr-FR"/>
        </w:rPr>
        <w:t>les droits et devoirs des lanceurs d’alerte,</w:t>
      </w:r>
    </w:p>
    <w:p w:rsidR="001622A1" w:rsidRPr="00D904F0" w:rsidRDefault="006F3B33">
      <w:pPr>
        <w:numPr>
          <w:ilvl w:val="1"/>
          <w:numId w:val="18"/>
        </w:numPr>
        <w:pBdr>
          <w:top w:val="none" w:sz="4" w:space="0" w:color="000000"/>
          <w:left w:val="none" w:sz="4" w:space="0" w:color="000000"/>
          <w:bottom w:val="none" w:sz="4" w:space="0" w:color="000000"/>
          <w:right w:val="none" w:sz="4" w:space="0" w:color="000000"/>
        </w:pBdr>
        <w:tabs>
          <w:tab w:val="left" w:pos="1440"/>
        </w:tabs>
        <w:spacing w:line="235" w:lineRule="atLeast"/>
        <w:jc w:val="both"/>
        <w:rPr>
          <w:lang w:val="fr-FR"/>
        </w:rPr>
      </w:pPr>
      <w:r w:rsidRPr="00D904F0">
        <w:rPr>
          <w:rFonts w:ascii="Calibri" w:eastAsia="Calibri" w:hAnsi="Calibri" w:cs="Calibri"/>
          <w:color w:val="000000"/>
          <w:lang w:val="fr-FR"/>
        </w:rPr>
        <w:t>les procédures de signalement des actes de corruption,</w:t>
      </w:r>
    </w:p>
    <w:p w:rsidR="001622A1" w:rsidRPr="00D904F0" w:rsidRDefault="006F3B33">
      <w:pPr>
        <w:numPr>
          <w:ilvl w:val="1"/>
          <w:numId w:val="18"/>
        </w:numPr>
        <w:pBdr>
          <w:top w:val="none" w:sz="4" w:space="0" w:color="000000"/>
          <w:left w:val="none" w:sz="4" w:space="0" w:color="000000"/>
          <w:bottom w:val="none" w:sz="4" w:space="0" w:color="000000"/>
          <w:right w:val="none" w:sz="4" w:space="0" w:color="000000"/>
        </w:pBdr>
        <w:tabs>
          <w:tab w:val="left" w:pos="1440"/>
        </w:tabs>
        <w:spacing w:line="235" w:lineRule="atLeast"/>
        <w:jc w:val="both"/>
        <w:rPr>
          <w:lang w:val="fr-FR"/>
        </w:rPr>
      </w:pPr>
      <w:r w:rsidRPr="00D904F0">
        <w:rPr>
          <w:rFonts w:ascii="Calibri" w:eastAsia="Calibri" w:hAnsi="Calibri" w:cs="Calibri"/>
          <w:color w:val="000000"/>
          <w:lang w:val="fr-FR"/>
        </w:rPr>
        <w:t>les mécanismes de protection et d’accompagnement,</w:t>
      </w:r>
    </w:p>
    <w:p w:rsidR="001622A1" w:rsidRPr="00C606F5" w:rsidRDefault="006F3B33">
      <w:pPr>
        <w:numPr>
          <w:ilvl w:val="1"/>
          <w:numId w:val="18"/>
        </w:numPr>
        <w:pBdr>
          <w:top w:val="none" w:sz="4" w:space="0" w:color="000000"/>
          <w:left w:val="none" w:sz="4" w:space="0" w:color="000000"/>
          <w:bottom w:val="none" w:sz="4" w:space="0" w:color="000000"/>
          <w:right w:val="none" w:sz="4" w:space="0" w:color="000000"/>
        </w:pBdr>
        <w:tabs>
          <w:tab w:val="left" w:pos="1440"/>
        </w:tabs>
        <w:spacing w:line="235" w:lineRule="atLeast"/>
        <w:jc w:val="both"/>
        <w:rPr>
          <w:lang w:val="fr-FR"/>
        </w:rPr>
      </w:pPr>
      <w:r w:rsidRPr="00D904F0">
        <w:rPr>
          <w:rFonts w:ascii="Calibri" w:eastAsia="Calibri" w:hAnsi="Calibri" w:cs="Calibri"/>
          <w:color w:val="000000"/>
          <w:lang w:val="fr-FR"/>
        </w:rPr>
        <w:t>les sanctions en cas de représailles.</w:t>
      </w:r>
    </w:p>
    <w:p w:rsidR="00D904F0" w:rsidRDefault="00D904F0" w:rsidP="00C606F5">
      <w:pPr>
        <w:pBdr>
          <w:top w:val="none" w:sz="4" w:space="0" w:color="000000"/>
          <w:left w:val="none" w:sz="4" w:space="0" w:color="000000"/>
          <w:bottom w:val="none" w:sz="4" w:space="0" w:color="000000"/>
          <w:right w:val="none" w:sz="4" w:space="0" w:color="000000"/>
        </w:pBdr>
        <w:tabs>
          <w:tab w:val="left" w:pos="1440"/>
        </w:tabs>
        <w:spacing w:line="235" w:lineRule="atLeast"/>
        <w:jc w:val="both"/>
        <w:rPr>
          <w:rFonts w:ascii="Calibri" w:eastAsia="Calibri" w:hAnsi="Calibri" w:cs="Calibri"/>
          <w:color w:val="000000"/>
          <w:lang w:val="fr-FR"/>
        </w:rPr>
      </w:pPr>
      <w:r>
        <w:rPr>
          <w:rFonts w:ascii="Calibri" w:eastAsia="Calibri" w:hAnsi="Calibri" w:cs="Calibri"/>
          <w:color w:val="000000"/>
          <w:lang w:val="fr-FR"/>
        </w:rPr>
        <w:t>(contenu pouvant être adapté selon les ateliers/discussions réalisées avec l’APC)</w:t>
      </w:r>
    </w:p>
    <w:p w:rsidR="0066564F" w:rsidRPr="00D904F0" w:rsidRDefault="0066564F" w:rsidP="00C606F5">
      <w:pPr>
        <w:pBdr>
          <w:top w:val="none" w:sz="4" w:space="0" w:color="000000"/>
          <w:left w:val="none" w:sz="4" w:space="0" w:color="000000"/>
          <w:bottom w:val="none" w:sz="4" w:space="0" w:color="000000"/>
          <w:right w:val="none" w:sz="4" w:space="0" w:color="000000"/>
        </w:pBdr>
        <w:tabs>
          <w:tab w:val="left" w:pos="1440"/>
        </w:tabs>
        <w:spacing w:line="235" w:lineRule="atLeast"/>
        <w:jc w:val="both"/>
        <w:rPr>
          <w:lang w:val="fr-FR"/>
        </w:rPr>
      </w:pPr>
      <w:r>
        <w:rPr>
          <w:rFonts w:ascii="Calibri" w:eastAsia="Calibri" w:hAnsi="Calibri" w:cs="Calibri"/>
          <w:color w:val="000000"/>
          <w:lang w:val="fr-FR"/>
        </w:rPr>
        <w:t>Ce guide doit être finalisé pour le printemps 2026.</w:t>
      </w:r>
    </w:p>
    <w:p w:rsidR="001622A1" w:rsidRDefault="006F3B33">
      <w:pPr>
        <w:jc w:val="both"/>
        <w:rPr>
          <w:lang w:val="fr-FR"/>
        </w:rPr>
      </w:pPr>
      <w:r>
        <w:rPr>
          <w:b/>
          <w:bCs/>
          <w:lang w:val="fr-FR"/>
        </w:rPr>
        <w:t>Profil souhaité</w:t>
      </w:r>
    </w:p>
    <w:p w:rsidR="001622A1" w:rsidRDefault="006F3B33">
      <w:pPr>
        <w:numPr>
          <w:ilvl w:val="0"/>
          <w:numId w:val="2"/>
        </w:numPr>
        <w:jc w:val="both"/>
        <w:rPr>
          <w:b/>
          <w:bCs/>
          <w:lang w:val="fr-FR"/>
        </w:rPr>
      </w:pPr>
      <w:r>
        <w:rPr>
          <w:b/>
          <w:bCs/>
          <w:lang w:val="fr-FR"/>
        </w:rPr>
        <w:t>Formation et expérience :</w:t>
      </w:r>
    </w:p>
    <w:p w:rsidR="001622A1" w:rsidRPr="00094781" w:rsidRDefault="006F3B33">
      <w:pPr>
        <w:numPr>
          <w:ilvl w:val="1"/>
          <w:numId w:val="13"/>
        </w:numPr>
        <w:jc w:val="both"/>
        <w:rPr>
          <w:lang w:val="fr-FR"/>
        </w:rPr>
      </w:pPr>
      <w:r w:rsidRPr="0066564F">
        <w:rPr>
          <w:lang w:val="fr-FR"/>
        </w:rPr>
        <w:t>Une expérience de 5 à 7 ans dans le domaine de la lutte contre la corruption et de la bonne gouvernance, avec une expertise spécifique dans les procédures de signalement des actes répréhensibles, la protection des lanceurs d'alerte et l'élaboration de cadres juridiques adaptés.</w:t>
      </w:r>
    </w:p>
    <w:p w:rsidR="001622A1" w:rsidRPr="00094781" w:rsidRDefault="006F3B33">
      <w:pPr>
        <w:numPr>
          <w:ilvl w:val="1"/>
          <w:numId w:val="13"/>
        </w:numPr>
        <w:jc w:val="both"/>
        <w:rPr>
          <w:lang w:val="fr-FR"/>
        </w:rPr>
      </w:pPr>
      <w:r w:rsidRPr="00094781">
        <w:rPr>
          <w:lang w:val="fr-FR"/>
        </w:rPr>
        <w:t>Expérience avérée dans le travail avec des institutions publiques et une bonne compréhension du contexte juridique et réglementaire local est fortement souhaitée.</w:t>
      </w:r>
    </w:p>
    <w:p w:rsidR="001622A1" w:rsidRPr="0066564F" w:rsidRDefault="006F3B33">
      <w:pPr>
        <w:numPr>
          <w:ilvl w:val="0"/>
          <w:numId w:val="2"/>
        </w:numPr>
        <w:jc w:val="both"/>
        <w:rPr>
          <w:b/>
          <w:bCs/>
          <w:lang w:val="fr-FR"/>
        </w:rPr>
      </w:pPr>
      <w:r w:rsidRPr="0066564F">
        <w:rPr>
          <w:b/>
          <w:bCs/>
          <w:lang w:val="fr-FR"/>
        </w:rPr>
        <w:t>Connaissances spécialisées :</w:t>
      </w:r>
    </w:p>
    <w:p w:rsidR="001622A1" w:rsidRPr="0066564F" w:rsidRDefault="006F3B33">
      <w:pPr>
        <w:numPr>
          <w:ilvl w:val="1"/>
          <w:numId w:val="13"/>
        </w:numPr>
        <w:jc w:val="both"/>
        <w:rPr>
          <w:lang w:val="fr-FR"/>
        </w:rPr>
      </w:pPr>
      <w:r w:rsidRPr="0066564F">
        <w:rPr>
          <w:lang w:val="fr-FR"/>
        </w:rPr>
        <w:t>Connaissance approfondie des lois anti-corruption, des mécanismes de protection des lanceurs d'alerte et des enjeux relatifs aux droits humains liés au signalement de fautes.</w:t>
      </w:r>
    </w:p>
    <w:p w:rsidR="001622A1" w:rsidRPr="0066564F" w:rsidRDefault="006F3B33">
      <w:pPr>
        <w:numPr>
          <w:ilvl w:val="1"/>
          <w:numId w:val="13"/>
        </w:numPr>
        <w:jc w:val="both"/>
        <w:rPr>
          <w:lang w:val="fr-FR"/>
        </w:rPr>
      </w:pPr>
      <w:r w:rsidRPr="0066564F">
        <w:rPr>
          <w:lang w:val="fr-FR"/>
        </w:rPr>
        <w:t>Familiarité avec le rôle des institutions publiques telles que l'APC dans la fourniture de soutien psychologique, financier et juridique aux lanceurs d'alerte.</w:t>
      </w:r>
    </w:p>
    <w:p w:rsidR="001622A1" w:rsidRPr="0066564F" w:rsidRDefault="006F3B33">
      <w:pPr>
        <w:numPr>
          <w:ilvl w:val="1"/>
          <w:numId w:val="13"/>
        </w:numPr>
        <w:jc w:val="both"/>
        <w:rPr>
          <w:lang w:val="fr-FR"/>
        </w:rPr>
      </w:pPr>
      <w:r w:rsidRPr="0066564F">
        <w:rPr>
          <w:lang w:val="fr-FR"/>
        </w:rPr>
        <w:t>Bonne compréhension du paysage juridique et des impacts des changements législatifs sur la protection des lanceurs d'alerte au sein des institutions publiques.</w:t>
      </w:r>
    </w:p>
    <w:p w:rsidR="001622A1" w:rsidRPr="0066564F" w:rsidRDefault="006F3B33">
      <w:pPr>
        <w:numPr>
          <w:ilvl w:val="0"/>
          <w:numId w:val="2"/>
        </w:numPr>
        <w:jc w:val="both"/>
        <w:rPr>
          <w:b/>
          <w:bCs/>
          <w:lang w:val="fr-FR"/>
        </w:rPr>
      </w:pPr>
      <w:r w:rsidRPr="0066564F">
        <w:rPr>
          <w:b/>
          <w:bCs/>
          <w:lang w:val="fr-FR"/>
        </w:rPr>
        <w:t>Compétences et aptitudes :</w:t>
      </w:r>
    </w:p>
    <w:p w:rsidR="001622A1" w:rsidRPr="0066564F" w:rsidRDefault="006F3B33">
      <w:pPr>
        <w:numPr>
          <w:ilvl w:val="1"/>
          <w:numId w:val="13"/>
        </w:numPr>
        <w:jc w:val="both"/>
        <w:rPr>
          <w:lang w:val="fr-FR"/>
        </w:rPr>
      </w:pPr>
      <w:r w:rsidRPr="0066564F">
        <w:rPr>
          <w:lang w:val="fr-FR"/>
        </w:rPr>
        <w:t>Excellentes compétences en communication écrite et orale, avec la capacité de traduire des cadres juridiques complexes en lignes directrices pratiques et concrètes.</w:t>
      </w:r>
    </w:p>
    <w:p w:rsidR="001622A1" w:rsidRPr="0066564F" w:rsidRDefault="0066564F">
      <w:pPr>
        <w:numPr>
          <w:ilvl w:val="1"/>
          <w:numId w:val="13"/>
        </w:numPr>
        <w:jc w:val="both"/>
        <w:rPr>
          <w:lang w:val="fr-FR"/>
        </w:rPr>
      </w:pPr>
      <w:r w:rsidRPr="00C606F5">
        <w:rPr>
          <w:lang w:val="fr-FR"/>
        </w:rPr>
        <w:t>Capacité à travailler en co-construction, lors d’atelier ou autre selon la méthode choisie par l’expert(e), avec les institutions publiques, à réaliser « avec » et non « à la place de »</w:t>
      </w:r>
      <w:r w:rsidR="00094781">
        <w:rPr>
          <w:lang w:val="fr-FR"/>
        </w:rPr>
        <w:t>, à assurer l’appropriation des livrables</w:t>
      </w:r>
      <w:r w:rsidR="006F3B33" w:rsidRPr="0066564F">
        <w:rPr>
          <w:lang w:val="fr-FR"/>
        </w:rPr>
        <w:t>.</w:t>
      </w:r>
    </w:p>
    <w:p w:rsidR="001622A1" w:rsidRPr="00094781" w:rsidRDefault="006F3B33">
      <w:pPr>
        <w:numPr>
          <w:ilvl w:val="0"/>
          <w:numId w:val="2"/>
        </w:numPr>
        <w:jc w:val="both"/>
        <w:rPr>
          <w:b/>
          <w:bCs/>
          <w:lang w:val="fr-FR"/>
        </w:rPr>
      </w:pPr>
      <w:r w:rsidRPr="00094781">
        <w:rPr>
          <w:b/>
          <w:bCs/>
          <w:lang w:val="fr-FR"/>
        </w:rPr>
        <w:t>Langues :</w:t>
      </w:r>
    </w:p>
    <w:p w:rsidR="001622A1" w:rsidRPr="00094781" w:rsidRDefault="006F3B33">
      <w:pPr>
        <w:numPr>
          <w:ilvl w:val="1"/>
          <w:numId w:val="13"/>
        </w:numPr>
        <w:rPr>
          <w:lang w:val="fr-FR"/>
        </w:rPr>
      </w:pPr>
      <w:r w:rsidRPr="00094781">
        <w:rPr>
          <w:lang w:val="fr-FR"/>
        </w:rPr>
        <w:t>La maîtrise de l'anglais est souhaitée.</w:t>
      </w:r>
    </w:p>
    <w:p w:rsidR="001622A1" w:rsidRPr="00094781" w:rsidRDefault="006F3B33">
      <w:pPr>
        <w:rPr>
          <w:lang w:val="fr-FR"/>
        </w:rPr>
      </w:pPr>
      <w:r w:rsidRPr="00094781">
        <w:rPr>
          <w:b/>
          <w:bCs/>
          <w:lang w:val="fr-FR"/>
        </w:rPr>
        <w:t>Durée de la mission</w:t>
      </w:r>
    </w:p>
    <w:p w:rsidR="001622A1" w:rsidRPr="0066564F" w:rsidRDefault="006F3B33">
      <w:pPr>
        <w:pStyle w:val="Paragraphedeliste"/>
        <w:numPr>
          <w:ilvl w:val="0"/>
          <w:numId w:val="16"/>
        </w:numPr>
        <w:jc w:val="both"/>
        <w:rPr>
          <w:lang w:val="fr-FR"/>
        </w:rPr>
      </w:pPr>
      <w:r w:rsidRPr="00094781">
        <w:rPr>
          <w:lang w:val="fr-FR"/>
        </w:rPr>
        <w:t>La mission est prévue pour une durée d</w:t>
      </w:r>
      <w:r w:rsidR="0066564F" w:rsidRPr="00094781">
        <w:rPr>
          <w:lang w:val="fr-FR"/>
        </w:rPr>
        <w:t>’</w:t>
      </w:r>
      <w:r w:rsidRPr="00094781">
        <w:rPr>
          <w:lang w:val="fr-FR"/>
        </w:rPr>
        <w:t>e</w:t>
      </w:r>
      <w:r w:rsidR="0066564F" w:rsidRPr="0066564F">
        <w:rPr>
          <w:lang w:val="fr-FR"/>
        </w:rPr>
        <w:t>nviron</w:t>
      </w:r>
      <w:r w:rsidRPr="0066564F">
        <w:rPr>
          <w:lang w:val="fr-FR"/>
        </w:rPr>
        <w:t xml:space="preserve"> 3 mois, avec un </w:t>
      </w:r>
      <w:r w:rsidRPr="0066564F">
        <w:rPr>
          <w:b/>
          <w:lang w:val="fr-FR"/>
        </w:rPr>
        <w:t xml:space="preserve">total de </w:t>
      </w:r>
      <w:r w:rsidR="0066564F" w:rsidRPr="00C606F5">
        <w:rPr>
          <w:b/>
          <w:lang w:val="fr-FR"/>
        </w:rPr>
        <w:t>8</w:t>
      </w:r>
      <w:r w:rsidR="0066564F" w:rsidRPr="0066564F">
        <w:rPr>
          <w:b/>
          <w:lang w:val="fr-FR"/>
        </w:rPr>
        <w:t xml:space="preserve"> </w:t>
      </w:r>
      <w:r w:rsidRPr="0066564F">
        <w:rPr>
          <w:b/>
          <w:lang w:val="fr-FR"/>
        </w:rPr>
        <w:t>jours de travail</w:t>
      </w:r>
      <w:r w:rsidR="0066564F" w:rsidRPr="00C606F5">
        <w:rPr>
          <w:lang w:val="fr-FR"/>
        </w:rPr>
        <w:t xml:space="preserve">, incluant </w:t>
      </w:r>
      <w:r w:rsidR="0066564F" w:rsidRPr="00C606F5">
        <w:rPr>
          <w:b/>
          <w:lang w:val="fr-FR"/>
        </w:rPr>
        <w:t xml:space="preserve">au moins </w:t>
      </w:r>
      <w:r w:rsidRPr="00C606F5">
        <w:rPr>
          <w:b/>
          <w:lang w:val="fr-FR"/>
        </w:rPr>
        <w:t>2 jours de travail sur site au Monténégro</w:t>
      </w:r>
      <w:r w:rsidRPr="0066564F">
        <w:rPr>
          <w:lang w:val="fr-FR"/>
        </w:rPr>
        <w:t xml:space="preserve"> </w:t>
      </w:r>
      <w:r w:rsidR="0066564F" w:rsidRPr="00C606F5">
        <w:rPr>
          <w:lang w:val="fr-FR"/>
        </w:rPr>
        <w:t>et du travail à distance</w:t>
      </w:r>
      <w:r w:rsidRPr="0066564F">
        <w:rPr>
          <w:lang w:val="fr-FR"/>
        </w:rPr>
        <w:t>.</w:t>
      </w:r>
    </w:p>
    <w:p w:rsidR="001622A1" w:rsidRPr="00094781" w:rsidRDefault="006F3B33" w:rsidP="00C606F5">
      <w:pPr>
        <w:keepNext/>
        <w:jc w:val="both"/>
        <w:rPr>
          <w:lang w:val="fr-FR"/>
        </w:rPr>
      </w:pPr>
      <w:r w:rsidRPr="00094781">
        <w:rPr>
          <w:b/>
          <w:bCs/>
          <w:lang w:val="fr-FR"/>
        </w:rPr>
        <w:t>Date de prise de fonction</w:t>
      </w:r>
    </w:p>
    <w:p w:rsidR="001622A1" w:rsidRPr="0066564F" w:rsidRDefault="0066564F" w:rsidP="00C606F5">
      <w:pPr>
        <w:pStyle w:val="Paragraphedeliste"/>
        <w:keepNext/>
        <w:numPr>
          <w:ilvl w:val="0"/>
          <w:numId w:val="11"/>
        </w:numPr>
        <w:rPr>
          <w:lang w:val="fr-FR"/>
        </w:rPr>
      </w:pPr>
      <w:r w:rsidRPr="00C606F5">
        <w:rPr>
          <w:lang w:val="fr-FR"/>
        </w:rPr>
        <w:t>Dès que possible</w:t>
      </w:r>
    </w:p>
    <w:p w:rsidR="001622A1" w:rsidRDefault="006F3B33">
      <w:pPr>
        <w:rPr>
          <w:b/>
          <w:bCs/>
          <w:lang w:val="fr-FR"/>
        </w:rPr>
      </w:pPr>
      <w:r>
        <w:rPr>
          <w:b/>
          <w:bCs/>
          <w:lang w:val="fr-FR"/>
        </w:rPr>
        <w:t>Informations complémentaires</w:t>
      </w:r>
    </w:p>
    <w:p w:rsidR="001622A1" w:rsidRDefault="006F3B33">
      <w:pPr>
        <w:pStyle w:val="Paragraphedeliste"/>
        <w:numPr>
          <w:ilvl w:val="0"/>
          <w:numId w:val="11"/>
        </w:numPr>
        <w:jc w:val="both"/>
        <w:rPr>
          <w:b/>
          <w:bCs/>
          <w:lang w:val="fr-FR"/>
        </w:rPr>
      </w:pPr>
      <w:r>
        <w:rPr>
          <w:lang w:val="fr-FR"/>
        </w:rPr>
        <w:t>Cette mission est une opportunité de travailler directement avec les institutions publiques monténégrines dans un environnement en pleine évolution, visant à renforcer les mécanismes de transparence et de protection des lanceurs d'alerte dans un contexte de lutte contre la corruption.</w:t>
      </w:r>
    </w:p>
    <w:p w:rsidR="001622A1" w:rsidRPr="00C606F5" w:rsidRDefault="00094781">
      <w:pPr>
        <w:rPr>
          <w:b/>
          <w:lang w:val="fr-FR"/>
        </w:rPr>
      </w:pPr>
      <w:r w:rsidRPr="00C606F5">
        <w:rPr>
          <w:b/>
          <w:lang w:val="fr-FR"/>
        </w:rPr>
        <w:t>Date limite de candidature</w:t>
      </w:r>
    </w:p>
    <w:p w:rsidR="00094781" w:rsidRDefault="00094781">
      <w:pPr>
        <w:rPr>
          <w:lang w:val="fr-FR"/>
        </w:rPr>
      </w:pPr>
      <w:r>
        <w:rPr>
          <w:lang w:val="fr-FR"/>
        </w:rPr>
        <w:t>15/02/2026 23h59</w:t>
      </w:r>
    </w:p>
    <w:sectPr w:rsidR="00094781">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B33" w:rsidRDefault="006F3B33">
      <w:pPr>
        <w:spacing w:after="0" w:line="240" w:lineRule="auto"/>
      </w:pPr>
      <w:r>
        <w:separator/>
      </w:r>
    </w:p>
  </w:endnote>
  <w:endnote w:type="continuationSeparator" w:id="0">
    <w:p w:rsidR="006F3B33" w:rsidRDefault="006F3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958388"/>
      <w:docPartObj>
        <w:docPartGallery w:val="Page Numbers (Bottom of Page)"/>
        <w:docPartUnique/>
      </w:docPartObj>
    </w:sdtPr>
    <w:sdtEndPr/>
    <w:sdtContent>
      <w:p w:rsidR="0066564F" w:rsidRDefault="0066564F">
        <w:pPr>
          <w:pStyle w:val="Pieddepage"/>
          <w:jc w:val="right"/>
        </w:pPr>
        <w:r>
          <w:fldChar w:fldCharType="begin"/>
        </w:r>
        <w:r>
          <w:instrText>PAGE   \* MERGEFORMAT</w:instrText>
        </w:r>
        <w:r>
          <w:fldChar w:fldCharType="separate"/>
        </w:r>
        <w:r w:rsidR="00C606F5" w:rsidRPr="00C606F5">
          <w:rPr>
            <w:noProof/>
            <w:lang w:val="fr-FR"/>
          </w:rPr>
          <w:t>1</w:t>
        </w:r>
        <w:r>
          <w:fldChar w:fldCharType="end"/>
        </w:r>
      </w:p>
    </w:sdtContent>
  </w:sdt>
  <w:p w:rsidR="0066564F" w:rsidRDefault="0066564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B33" w:rsidRDefault="006F3B33">
      <w:pPr>
        <w:spacing w:after="0" w:line="240" w:lineRule="auto"/>
      </w:pPr>
      <w:r>
        <w:separator/>
      </w:r>
    </w:p>
  </w:footnote>
  <w:footnote w:type="continuationSeparator" w:id="0">
    <w:p w:rsidR="006F3B33" w:rsidRDefault="006F3B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033A7"/>
    <w:multiLevelType w:val="multilevel"/>
    <w:tmpl w:val="63C871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D90734"/>
    <w:multiLevelType w:val="multilevel"/>
    <w:tmpl w:val="5EFAF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3D71E7"/>
    <w:multiLevelType w:val="multilevel"/>
    <w:tmpl w:val="89A2B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796EB7"/>
    <w:multiLevelType w:val="multilevel"/>
    <w:tmpl w:val="4C7A6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921C94"/>
    <w:multiLevelType w:val="multilevel"/>
    <w:tmpl w:val="31EA5EF2"/>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6734F7C"/>
    <w:multiLevelType w:val="multilevel"/>
    <w:tmpl w:val="E1D8DD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18C7D48"/>
    <w:multiLevelType w:val="multilevel"/>
    <w:tmpl w:val="56849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79A372"/>
    <w:multiLevelType w:val="multilevel"/>
    <w:tmpl w:val="E1E481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5B81ED3"/>
    <w:multiLevelType w:val="multilevel"/>
    <w:tmpl w:val="EA660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C572E9"/>
    <w:multiLevelType w:val="multilevel"/>
    <w:tmpl w:val="9E36F1EA"/>
    <w:lvl w:ilvl="0">
      <w:start w:val="1"/>
      <w:numFmt w:val="decimal"/>
      <w:lvlText w:val="%1."/>
      <w:lvlJc w:val="left"/>
      <w:pPr>
        <w:ind w:left="720" w:hanging="360"/>
      </w:pPr>
      <w:rPr>
        <w:b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F11A18"/>
    <w:multiLevelType w:val="multilevel"/>
    <w:tmpl w:val="48EE524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06826DA"/>
    <w:multiLevelType w:val="multilevel"/>
    <w:tmpl w:val="A87AE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860E7"/>
    <w:multiLevelType w:val="multilevel"/>
    <w:tmpl w:val="62106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104024"/>
    <w:multiLevelType w:val="multilevel"/>
    <w:tmpl w:val="EEEEE7B6"/>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AE74543"/>
    <w:multiLevelType w:val="multilevel"/>
    <w:tmpl w:val="B0D8CC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1330B72"/>
    <w:multiLevelType w:val="multilevel"/>
    <w:tmpl w:val="A0A41B0C"/>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Wingdings" w:eastAsia="Wingdings" w:hAnsi="Wingdings" w:cs="Wingdings" w:hint="default"/>
      </w:rPr>
    </w:lvl>
    <w:lvl w:ilvl="4">
      <w:start w:val="1"/>
      <w:numFmt w:val="bullet"/>
      <w:lvlText w:val=""/>
      <w:lvlJc w:val="left"/>
      <w:pPr>
        <w:ind w:left="3600" w:hanging="360"/>
      </w:pPr>
      <w:rPr>
        <w:rFonts w:ascii="Wingdings" w:eastAsia="Wingdings" w:hAnsi="Wingdings" w:cs="Wingdings"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Wingdings" w:eastAsia="Wingdings" w:hAnsi="Wingdings" w:cs="Wingdings" w:hint="default"/>
      </w:rPr>
    </w:lvl>
    <w:lvl w:ilvl="7">
      <w:start w:val="1"/>
      <w:numFmt w:val="bullet"/>
      <w:lvlText w:val=""/>
      <w:lvlJc w:val="left"/>
      <w:pPr>
        <w:ind w:left="5760" w:hanging="360"/>
      </w:pPr>
      <w:rPr>
        <w:rFonts w:ascii="Wingdings" w:eastAsia="Wingdings" w:hAnsi="Wingdings" w:cs="Wingdings" w:hint="default"/>
      </w:rPr>
    </w:lvl>
    <w:lvl w:ilvl="8">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5A791904"/>
    <w:multiLevelType w:val="multilevel"/>
    <w:tmpl w:val="6254B2C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FBB568F"/>
    <w:multiLevelType w:val="multilevel"/>
    <w:tmpl w:val="13A4E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4B1B753"/>
    <w:multiLevelType w:val="multilevel"/>
    <w:tmpl w:val="F3908DFC"/>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Wingdings" w:eastAsia="Wingdings" w:hAnsi="Wingdings" w:cs="Wingdings" w:hint="default"/>
      </w:rPr>
    </w:lvl>
    <w:lvl w:ilvl="4">
      <w:start w:val="1"/>
      <w:numFmt w:val="bullet"/>
      <w:lvlText w:val=""/>
      <w:lvlJc w:val="left"/>
      <w:pPr>
        <w:ind w:left="3600" w:hanging="360"/>
      </w:pPr>
      <w:rPr>
        <w:rFonts w:ascii="Wingdings" w:eastAsia="Wingdings" w:hAnsi="Wingdings" w:cs="Wingdings"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Wingdings" w:eastAsia="Wingdings" w:hAnsi="Wingdings" w:cs="Wingdings" w:hint="default"/>
      </w:rPr>
    </w:lvl>
    <w:lvl w:ilvl="7">
      <w:start w:val="1"/>
      <w:numFmt w:val="bullet"/>
      <w:lvlText w:val=""/>
      <w:lvlJc w:val="left"/>
      <w:pPr>
        <w:ind w:left="5760" w:hanging="360"/>
      </w:pPr>
      <w:rPr>
        <w:rFonts w:ascii="Wingdings" w:eastAsia="Wingdings" w:hAnsi="Wingdings" w:cs="Wingdings"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0"/>
  </w:num>
  <w:num w:numId="2">
    <w:abstractNumId w:val="10"/>
  </w:num>
  <w:num w:numId="3">
    <w:abstractNumId w:val="11"/>
  </w:num>
  <w:num w:numId="4">
    <w:abstractNumId w:val="8"/>
  </w:num>
  <w:num w:numId="5">
    <w:abstractNumId w:val="1"/>
  </w:num>
  <w:num w:numId="6">
    <w:abstractNumId w:val="9"/>
  </w:num>
  <w:num w:numId="7">
    <w:abstractNumId w:val="16"/>
  </w:num>
  <w:num w:numId="8">
    <w:abstractNumId w:val="13"/>
  </w:num>
  <w:num w:numId="9">
    <w:abstractNumId w:val="4"/>
  </w:num>
  <w:num w:numId="10">
    <w:abstractNumId w:val="2"/>
  </w:num>
  <w:num w:numId="11">
    <w:abstractNumId w:val="3"/>
  </w:num>
  <w:num w:numId="12">
    <w:abstractNumId w:val="12"/>
  </w:num>
  <w:num w:numId="13">
    <w:abstractNumId w:val="17"/>
  </w:num>
  <w:num w:numId="14">
    <w:abstractNumId w:val="5"/>
  </w:num>
  <w:num w:numId="15">
    <w:abstractNumId w:val="14"/>
  </w:num>
  <w:num w:numId="16">
    <w:abstractNumId w:val="6"/>
  </w:num>
  <w:num w:numId="17">
    <w:abstractNumId w:val="18"/>
  </w:num>
  <w:num w:numId="18">
    <w:abstractNumId w:val="1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2A1"/>
    <w:rsid w:val="00094781"/>
    <w:rsid w:val="001622A1"/>
    <w:rsid w:val="0066564F"/>
    <w:rsid w:val="006F3B33"/>
    <w:rsid w:val="00C606F5"/>
    <w:rsid w:val="00D90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AE90F4-3C7A-40C1-BFA1-F65C29A6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F5496"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2F5496"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2F5496"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2F5496"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F5496" w:themeColor="accent1" w:themeShade="BF"/>
    </w:rPr>
  </w:style>
  <w:style w:type="character" w:customStyle="1" w:styleId="Titre5Car">
    <w:name w:val="Titre 5 Car"/>
    <w:basedOn w:val="Policepardfaut"/>
    <w:link w:val="Titre5"/>
    <w:uiPriority w:val="9"/>
    <w:rPr>
      <w:rFonts w:ascii="Arial" w:eastAsia="Arial" w:hAnsi="Arial" w:cs="Arial"/>
      <w:color w:val="2F5496"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Emphaseintense">
    <w:name w:val="Intense Emphasis"/>
    <w:basedOn w:val="Policepardfaut"/>
    <w:uiPriority w:val="21"/>
    <w:qFormat/>
    <w:rPr>
      <w:i/>
      <w:iCs/>
      <w:color w:val="2F5496" w:themeColor="accent1" w:themeShade="BF"/>
    </w:rPr>
  </w:style>
  <w:style w:type="paragraph" w:styleId="Citationintense">
    <w:name w:val="Intense Quote"/>
    <w:basedOn w:val="Normal"/>
    <w:next w:val="Normal"/>
    <w:link w:val="CitationintenseC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Pr>
      <w:i/>
      <w:iCs/>
      <w:color w:val="2F5496" w:themeColor="accent1" w:themeShade="BF"/>
    </w:rPr>
  </w:style>
  <w:style w:type="character" w:styleId="Rfrenceintense">
    <w:name w:val="Intense Reference"/>
    <w:basedOn w:val="Policepardfaut"/>
    <w:uiPriority w:val="32"/>
    <w:qFormat/>
    <w:rPr>
      <w:b/>
      <w:bCs/>
      <w:smallCaps/>
      <w:color w:val="2F5496" w:themeColor="accent1" w:themeShade="BF"/>
      <w:spacing w:val="5"/>
    </w:rPr>
  </w:style>
  <w:style w:type="paragraph" w:styleId="Sansinterligne">
    <w:name w:val="No Spacing"/>
    <w:basedOn w:val="Normal"/>
    <w:uiPriority w:val="1"/>
    <w:qFormat/>
    <w:pPr>
      <w:spacing w:after="0" w:line="240" w:lineRule="auto"/>
    </w:pPr>
  </w:style>
  <w:style w:type="character" w:styleId="Emphasepl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pl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En-tte">
    <w:name w:val="header"/>
    <w:basedOn w:val="Normal"/>
    <w:link w:val="En-tteCar"/>
    <w:uiPriority w:val="99"/>
    <w:unhideWhenUsed/>
    <w:pPr>
      <w:tabs>
        <w:tab w:val="center" w:pos="4844"/>
        <w:tab w:val="right" w:pos="9689"/>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844"/>
        <w:tab w:val="right" w:pos="9689"/>
      </w:tabs>
      <w:spacing w:after="0" w:line="240" w:lineRule="auto"/>
    </w:pPr>
  </w:style>
  <w:style w:type="character" w:customStyle="1" w:styleId="PieddepageCar">
    <w:name w:val="Pied de page Car"/>
    <w:basedOn w:val="Policepardfaut"/>
    <w:link w:val="Pieddepage"/>
    <w:uiPriority w:val="99"/>
  </w:style>
  <w:style w:type="paragraph" w:styleId="Lgende">
    <w:name w:val="caption"/>
    <w:basedOn w:val="Normal"/>
    <w:next w:val="Normal"/>
    <w:uiPriority w:val="35"/>
    <w:unhideWhenUsed/>
    <w:qFormat/>
    <w:pPr>
      <w:spacing w:after="200" w:line="240" w:lineRule="auto"/>
    </w:pPr>
    <w:rPr>
      <w:i/>
      <w:iCs/>
      <w:color w:val="44546A" w:themeColor="text2"/>
      <w:sz w:val="18"/>
      <w:szCs w:val="18"/>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basedOn w:val="Policepardfaut"/>
    <w:uiPriority w:val="99"/>
    <w:unhideWhenUsed/>
    <w:rPr>
      <w:color w:val="0563C1" w:themeColor="hyperlink"/>
      <w:u w:val="single"/>
    </w:rPr>
  </w:style>
  <w:style w:type="character" w:styleId="Lienhypertextesuivivisit">
    <w:name w:val="FollowedHyperlink"/>
    <w:basedOn w:val="Policepardfaut"/>
    <w:uiPriority w:val="99"/>
    <w:semiHidden/>
    <w:unhideWhenUsed/>
    <w:rPr>
      <w:color w:val="954F72"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character" w:styleId="Textedelespacerserv">
    <w:name w:val="Placeholder Text"/>
    <w:basedOn w:val="Policepardfaut"/>
    <w:uiPriority w:val="99"/>
    <w:semiHidden/>
    <w:rPr>
      <w:color w:val="666666"/>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styleId="Paragraphedeliste">
    <w:name w:val="List Paragraph"/>
    <w:basedOn w:val="Normal"/>
    <w:uiPriority w:val="34"/>
    <w:qFormat/>
    <w:pPr>
      <w:ind w:left="720"/>
      <w:contextualSpacing/>
    </w:p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1167</Words>
  <Characters>6420</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Lena BONNEMAINS</cp:lastModifiedBy>
  <cp:revision>2</cp:revision>
  <dcterms:created xsi:type="dcterms:W3CDTF">2026-02-06T09:16:00Z</dcterms:created>
  <dcterms:modified xsi:type="dcterms:W3CDTF">2026-02-06T09:16:00Z</dcterms:modified>
</cp:coreProperties>
</file>