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ACA1" w14:textId="77777777" w:rsidR="00D67E11" w:rsidRPr="00710867" w:rsidRDefault="00D67E11" w:rsidP="00713479">
      <w:pPr>
        <w:jc w:val="center"/>
        <w:rPr>
          <w:lang w:val="fr-FR"/>
        </w:rPr>
      </w:pPr>
    </w:p>
    <w:p w14:paraId="3DB484A4" w14:textId="1BD5E617" w:rsidR="00D67E11" w:rsidRPr="00710867" w:rsidRDefault="004A24B9" w:rsidP="00713479">
      <w:pPr>
        <w:jc w:val="center"/>
        <w:rPr>
          <w:b/>
          <w:bCs/>
          <w:lang w:val="fr-FR"/>
        </w:rPr>
      </w:pPr>
      <w:r w:rsidRPr="00710867">
        <w:rPr>
          <w:b/>
          <w:bCs/>
          <w:lang w:val="fr-FR"/>
        </w:rPr>
        <w:t xml:space="preserve">Fiche de </w:t>
      </w:r>
      <w:r w:rsidR="006B2F3F" w:rsidRPr="00710867">
        <w:rPr>
          <w:b/>
          <w:bCs/>
          <w:lang w:val="fr-FR"/>
        </w:rPr>
        <w:t>p</w:t>
      </w:r>
      <w:r w:rsidRPr="00710867">
        <w:rPr>
          <w:b/>
          <w:bCs/>
          <w:lang w:val="fr-FR"/>
        </w:rPr>
        <w:t>oste / Termes d</w:t>
      </w:r>
      <w:r w:rsidR="00B60102" w:rsidRPr="00710867">
        <w:rPr>
          <w:b/>
          <w:bCs/>
          <w:lang w:val="fr-FR"/>
        </w:rPr>
        <w:t xml:space="preserve">e </w:t>
      </w:r>
      <w:r w:rsidR="006B2F3F" w:rsidRPr="00710867">
        <w:rPr>
          <w:b/>
          <w:bCs/>
          <w:lang w:val="fr-FR"/>
        </w:rPr>
        <w:t>r</w:t>
      </w:r>
      <w:r w:rsidR="00B60102" w:rsidRPr="00710867">
        <w:rPr>
          <w:b/>
          <w:bCs/>
          <w:lang w:val="fr-FR"/>
        </w:rPr>
        <w:t>éférence</w:t>
      </w:r>
    </w:p>
    <w:p w14:paraId="51514DA3" w14:textId="6B4FB977" w:rsidR="00D67E11" w:rsidRPr="00710867" w:rsidRDefault="00D67E11" w:rsidP="00196BF0">
      <w:pPr>
        <w:rPr>
          <w:lang w:val="fr-FR"/>
        </w:rPr>
      </w:pPr>
      <w:r w:rsidRPr="00710867">
        <w:rPr>
          <w:b/>
          <w:lang w:val="fr-FR"/>
        </w:rPr>
        <w:t xml:space="preserve">Titre : Expert(e) – </w:t>
      </w:r>
      <w:r w:rsidR="00B2570F" w:rsidRPr="00710867">
        <w:rPr>
          <w:b/>
          <w:lang w:val="fr-FR"/>
        </w:rPr>
        <w:t xml:space="preserve">Intégrité des procureurs - </w:t>
      </w:r>
      <w:r w:rsidRPr="00710867">
        <w:rPr>
          <w:b/>
          <w:lang w:val="fr-FR"/>
        </w:rPr>
        <w:t xml:space="preserve">Alignement réglementaire et évaluation des rapports de la Commission de </w:t>
      </w:r>
      <w:r w:rsidR="00196BF0" w:rsidRPr="00710867">
        <w:rPr>
          <w:b/>
          <w:lang w:val="fr-FR"/>
        </w:rPr>
        <w:t>v</w:t>
      </w:r>
      <w:r w:rsidRPr="00710867">
        <w:rPr>
          <w:b/>
          <w:lang w:val="fr-FR"/>
        </w:rPr>
        <w:t>érification</w:t>
      </w:r>
      <w:r w:rsidR="00196BF0" w:rsidRPr="00710867">
        <w:rPr>
          <w:b/>
          <w:lang w:val="fr-FR"/>
        </w:rPr>
        <w:t xml:space="preserve"> (</w:t>
      </w:r>
      <w:r w:rsidR="00196BF0" w:rsidRPr="00710867">
        <w:rPr>
          <w:b/>
          <w:i/>
          <w:lang w:val="fr-FR"/>
        </w:rPr>
        <w:t>Vetting Commission</w:t>
      </w:r>
      <w:r w:rsidR="00196BF0" w:rsidRPr="00710867">
        <w:rPr>
          <w:b/>
          <w:lang w:val="fr-FR"/>
        </w:rPr>
        <w:t>)</w:t>
      </w:r>
      <w:r w:rsidRPr="00710867">
        <w:rPr>
          <w:lang w:val="fr-FR"/>
        </w:rPr>
        <w:br/>
      </w:r>
      <w:r w:rsidRPr="00710867">
        <w:rPr>
          <w:b/>
          <w:lang w:val="fr-FR"/>
        </w:rPr>
        <w:t>Pays :</w:t>
      </w:r>
      <w:r w:rsidRPr="00710867">
        <w:rPr>
          <w:lang w:val="fr-FR"/>
        </w:rPr>
        <w:t xml:space="preserve"> Moldavie – Conseil </w:t>
      </w:r>
      <w:r w:rsidR="00196BF0" w:rsidRPr="00710867">
        <w:rPr>
          <w:lang w:val="fr-FR"/>
        </w:rPr>
        <w:t>s</w:t>
      </w:r>
      <w:r w:rsidRPr="00710867">
        <w:rPr>
          <w:lang w:val="fr-FR"/>
        </w:rPr>
        <w:t xml:space="preserve">upérieur des </w:t>
      </w:r>
      <w:r w:rsidR="00196BF0" w:rsidRPr="00710867">
        <w:rPr>
          <w:lang w:val="fr-FR"/>
        </w:rPr>
        <w:t>p</w:t>
      </w:r>
      <w:r w:rsidRPr="00710867">
        <w:rPr>
          <w:lang w:val="fr-FR"/>
        </w:rPr>
        <w:t>rocureurs</w:t>
      </w:r>
    </w:p>
    <w:p w14:paraId="371C39B0" w14:textId="77777777" w:rsidR="00D67E11" w:rsidRPr="00710867" w:rsidRDefault="00D67E11" w:rsidP="00D67E11">
      <w:pPr>
        <w:rPr>
          <w:lang w:val="fr-FR"/>
        </w:rPr>
      </w:pPr>
    </w:p>
    <w:p w14:paraId="50DDD5C0" w14:textId="139B1471" w:rsidR="00D67E11" w:rsidRPr="00710867" w:rsidRDefault="00B60102" w:rsidP="00D67E11">
      <w:pPr>
        <w:rPr>
          <w:b/>
          <w:bCs/>
          <w:lang w:val="fr-FR"/>
        </w:rPr>
      </w:pPr>
      <w:r w:rsidRPr="00710867">
        <w:rPr>
          <w:b/>
          <w:bCs/>
          <w:lang w:val="fr-FR"/>
        </w:rPr>
        <w:t xml:space="preserve">Description du </w:t>
      </w:r>
      <w:r w:rsidR="00196BF0" w:rsidRPr="00710867">
        <w:rPr>
          <w:b/>
          <w:bCs/>
          <w:lang w:val="fr-FR"/>
        </w:rPr>
        <w:t>p</w:t>
      </w:r>
      <w:r w:rsidRPr="00710867">
        <w:rPr>
          <w:b/>
          <w:bCs/>
          <w:lang w:val="fr-FR"/>
        </w:rPr>
        <w:t>rojet</w:t>
      </w:r>
    </w:p>
    <w:p w14:paraId="695E0528" w14:textId="77777777" w:rsidR="00F534EF" w:rsidRPr="00710867" w:rsidRDefault="00F534EF" w:rsidP="00F534EF">
      <w:pPr>
        <w:jc w:val="both"/>
        <w:rPr>
          <w:bCs/>
          <w:lang w:val="fr-FR"/>
        </w:rPr>
      </w:pPr>
      <w:r w:rsidRPr="00710867">
        <w:rPr>
          <w:bCs/>
          <w:lang w:val="fr-FR"/>
        </w:rPr>
        <w:t>Le Fonds pour la lutte contre la corruption (FLCC) vise à renforcer les institutions publiques des pays partenaires dans le domaine de la lutte contre la corruption (LCC) et à financer des projets portés par des acteurs de la société civile et des médias indépendants. Il s’organise autour de deux composantes principales :</w:t>
      </w:r>
    </w:p>
    <w:p w14:paraId="56F8CAA3" w14:textId="0F8E51DD" w:rsidR="00F534EF" w:rsidRPr="00710867" w:rsidRDefault="00F534EF" w:rsidP="00B1293E">
      <w:pPr>
        <w:numPr>
          <w:ilvl w:val="0"/>
          <w:numId w:val="12"/>
        </w:numPr>
        <w:tabs>
          <w:tab w:val="clear" w:pos="720"/>
          <w:tab w:val="num" w:pos="1800"/>
        </w:tabs>
        <w:jc w:val="both"/>
        <w:rPr>
          <w:bCs/>
          <w:lang w:val="fr-FR"/>
        </w:rPr>
      </w:pPr>
      <w:r w:rsidRPr="00710867">
        <w:rPr>
          <w:bCs/>
          <w:lang w:val="fr-FR"/>
        </w:rPr>
        <w:t xml:space="preserve">Création d’une plateforme d’expertise permettant de répondre rapidement aux requêtes d’entités publiques de pays bénéficiaires engagées dans la lutte contre la corruption. Cette expertise se concentrera principalement </w:t>
      </w:r>
      <w:r w:rsidR="00710867" w:rsidRPr="00710867">
        <w:rPr>
          <w:bCs/>
          <w:lang w:val="fr-FR"/>
        </w:rPr>
        <w:t>sur :</w:t>
      </w:r>
    </w:p>
    <w:p w14:paraId="2182B9C4" w14:textId="77777777" w:rsidR="00F534EF" w:rsidRPr="00710867" w:rsidRDefault="00F534EF" w:rsidP="00B1293E">
      <w:pPr>
        <w:numPr>
          <w:ilvl w:val="1"/>
          <w:numId w:val="12"/>
        </w:numPr>
        <w:tabs>
          <w:tab w:val="clear" w:pos="1440"/>
          <w:tab w:val="num" w:pos="2160"/>
        </w:tabs>
        <w:jc w:val="both"/>
        <w:rPr>
          <w:bCs/>
          <w:lang w:val="fr-FR"/>
        </w:rPr>
      </w:pPr>
      <w:r w:rsidRPr="00710867">
        <w:rPr>
          <w:bCs/>
          <w:lang w:val="fr-FR"/>
        </w:rPr>
        <w:t>La lutte contre le blanchiment d'argent et les infractions financières ;</w:t>
      </w:r>
    </w:p>
    <w:p w14:paraId="2F1D52EB" w14:textId="77777777" w:rsidR="00F534EF" w:rsidRPr="00710867" w:rsidRDefault="00F534EF" w:rsidP="00B1293E">
      <w:pPr>
        <w:numPr>
          <w:ilvl w:val="1"/>
          <w:numId w:val="12"/>
        </w:numPr>
        <w:tabs>
          <w:tab w:val="clear" w:pos="1440"/>
          <w:tab w:val="num" w:pos="2520"/>
        </w:tabs>
        <w:jc w:val="both"/>
        <w:rPr>
          <w:bCs/>
          <w:lang w:val="fr-FR"/>
        </w:rPr>
      </w:pPr>
      <w:r w:rsidRPr="00710867">
        <w:rPr>
          <w:bCs/>
          <w:lang w:val="fr-FR"/>
        </w:rPr>
        <w:t>L’appui à la transparence des intérêts et des avoirs des responsables publics (élus et nommés) ;</w:t>
      </w:r>
    </w:p>
    <w:p w14:paraId="1302DC7D" w14:textId="77777777" w:rsidR="00F534EF" w:rsidRPr="00710867" w:rsidRDefault="00F534EF" w:rsidP="00B1293E">
      <w:pPr>
        <w:numPr>
          <w:ilvl w:val="1"/>
          <w:numId w:val="12"/>
        </w:numPr>
        <w:tabs>
          <w:tab w:val="clear" w:pos="1440"/>
          <w:tab w:val="num" w:pos="2520"/>
        </w:tabs>
        <w:jc w:val="both"/>
        <w:rPr>
          <w:bCs/>
          <w:lang w:val="fr-FR"/>
        </w:rPr>
      </w:pPr>
      <w:r w:rsidRPr="00710867">
        <w:rPr>
          <w:bCs/>
          <w:lang w:val="fr-FR"/>
        </w:rPr>
        <w:t>Le renforcement organisationnel et technique des institutions locales de LCC.</w:t>
      </w:r>
    </w:p>
    <w:p w14:paraId="6FD15617" w14:textId="3F6BE7BA" w:rsidR="00F534EF" w:rsidRPr="00710867" w:rsidRDefault="00F534EF" w:rsidP="00B1293E">
      <w:pPr>
        <w:numPr>
          <w:ilvl w:val="0"/>
          <w:numId w:val="12"/>
        </w:numPr>
        <w:tabs>
          <w:tab w:val="clear" w:pos="720"/>
          <w:tab w:val="num" w:pos="1800"/>
        </w:tabs>
        <w:jc w:val="both"/>
        <w:rPr>
          <w:bCs/>
          <w:lang w:val="fr-FR"/>
        </w:rPr>
      </w:pPr>
      <w:r w:rsidRPr="00710867">
        <w:rPr>
          <w:bCs/>
          <w:lang w:val="fr-FR"/>
        </w:rPr>
        <w:t xml:space="preserve">Financement de projets de la société civile et des médias indépendants, visant à soutenir des initiatives pour la transparence, </w:t>
      </w:r>
      <w:r w:rsidR="00196BF0" w:rsidRPr="00710867">
        <w:rPr>
          <w:bCs/>
          <w:lang w:val="fr-FR"/>
        </w:rPr>
        <w:t>le développement d’espaces de dialogue sur la corruption</w:t>
      </w:r>
      <w:r w:rsidRPr="00710867">
        <w:rPr>
          <w:bCs/>
          <w:lang w:val="fr-FR"/>
        </w:rPr>
        <w:t>, l’accès à l’information, et la transparence des responsables publics.</w:t>
      </w:r>
    </w:p>
    <w:p w14:paraId="4CE0906A" w14:textId="77777777" w:rsidR="00F534EF" w:rsidRPr="00710867" w:rsidRDefault="00F534EF" w:rsidP="00F534EF">
      <w:pPr>
        <w:jc w:val="both"/>
        <w:rPr>
          <w:bCs/>
          <w:lang w:val="fr-FR"/>
        </w:rPr>
      </w:pPr>
      <w:r w:rsidRPr="00710867">
        <w:rPr>
          <w:bCs/>
          <w:lang w:val="fr-FR"/>
        </w:rPr>
        <w:t>Une attention particulière sera portée à la prise en compte de la manière dont la corruption affecte différemment les femmes et les hommes avec pour objectif de réduire son incidence particulière sur les femmes.</w:t>
      </w:r>
    </w:p>
    <w:p w14:paraId="5E110740" w14:textId="77777777" w:rsidR="00F534EF" w:rsidRPr="00710867" w:rsidRDefault="00F534EF" w:rsidP="00F534EF">
      <w:pPr>
        <w:jc w:val="both"/>
        <w:rPr>
          <w:bCs/>
          <w:lang w:val="fr-FR"/>
        </w:rPr>
      </w:pPr>
      <w:r w:rsidRPr="00710867">
        <w:rPr>
          <w:bCs/>
          <w:lang w:val="fr-FR"/>
        </w:rPr>
        <w:t>Dans cette perspective, le FLCC contribuera à :</w:t>
      </w:r>
    </w:p>
    <w:p w14:paraId="4E500CCC" w14:textId="77777777" w:rsidR="00F534EF" w:rsidRPr="00710867" w:rsidRDefault="00F534EF" w:rsidP="00B1293E">
      <w:pPr>
        <w:numPr>
          <w:ilvl w:val="0"/>
          <w:numId w:val="11"/>
        </w:numPr>
        <w:tabs>
          <w:tab w:val="clear" w:pos="720"/>
          <w:tab w:val="num" w:pos="1800"/>
        </w:tabs>
        <w:jc w:val="both"/>
        <w:rPr>
          <w:lang w:val="fr-FR"/>
        </w:rPr>
      </w:pPr>
      <w:r w:rsidRPr="00710867">
        <w:rPr>
          <w:lang w:val="fr-FR"/>
        </w:rPr>
        <w:t xml:space="preserve">Soutenir les missions des acteurs étatiques et non-étatiques de la lutte contre la corruption, notamment leurs initiatives pour l’égalité femme-homme </w:t>
      </w:r>
    </w:p>
    <w:p w14:paraId="7007D32F" w14:textId="77777777" w:rsidR="00F534EF" w:rsidRPr="00710867" w:rsidRDefault="00F534EF" w:rsidP="00B1293E">
      <w:pPr>
        <w:numPr>
          <w:ilvl w:val="0"/>
          <w:numId w:val="11"/>
        </w:numPr>
        <w:tabs>
          <w:tab w:val="clear" w:pos="720"/>
          <w:tab w:val="num" w:pos="1800"/>
        </w:tabs>
        <w:jc w:val="both"/>
        <w:rPr>
          <w:lang w:val="fr-FR"/>
        </w:rPr>
      </w:pPr>
      <w:r w:rsidRPr="00710867">
        <w:rPr>
          <w:lang w:val="fr-FR"/>
        </w:rPr>
        <w:t xml:space="preserve">Améliorer la connaissance, le plaidoyer et le dialogue interinstitutionnel d’une part, et d’autre part entre institutions publiques et société civile sur les phénomènes de corruption, et en particulier leur impact sur les femmes </w:t>
      </w:r>
    </w:p>
    <w:p w14:paraId="773DB38C" w14:textId="77777777" w:rsidR="005F1EF4" w:rsidRPr="00710867" w:rsidRDefault="005F1EF4" w:rsidP="005F1EF4">
      <w:pPr>
        <w:ind w:left="360"/>
        <w:jc w:val="both"/>
        <w:rPr>
          <w:lang w:val="fr-FR"/>
        </w:rPr>
      </w:pPr>
    </w:p>
    <w:p w14:paraId="151DFD45" w14:textId="50DDD61F" w:rsidR="005F1EF4" w:rsidRPr="00710867" w:rsidRDefault="005F1EF4" w:rsidP="005F1EF4">
      <w:pPr>
        <w:rPr>
          <w:lang w:val="fr-FR"/>
        </w:rPr>
      </w:pPr>
      <w:r w:rsidRPr="00710867">
        <w:rPr>
          <w:b/>
          <w:bCs/>
          <w:lang w:val="fr-FR"/>
        </w:rPr>
        <w:t xml:space="preserve">Description </w:t>
      </w:r>
      <w:r w:rsidR="00D67E11" w:rsidRPr="00710867">
        <w:rPr>
          <w:b/>
          <w:bCs/>
          <w:lang w:val="fr-FR"/>
        </w:rPr>
        <w:t>de la mission :</w:t>
      </w:r>
    </w:p>
    <w:p w14:paraId="3A89F9D6" w14:textId="779949D0" w:rsidR="00D67E11" w:rsidRPr="00710867" w:rsidRDefault="00D67E11" w:rsidP="008C06A6">
      <w:pPr>
        <w:ind w:left="360"/>
        <w:jc w:val="both"/>
        <w:rPr>
          <w:b/>
          <w:bCs/>
          <w:lang w:val="fr-FR"/>
        </w:rPr>
      </w:pPr>
      <w:r w:rsidRPr="00710867">
        <w:rPr>
          <w:lang w:val="fr-FR"/>
        </w:rPr>
        <w:t xml:space="preserve">Appuyer le </w:t>
      </w:r>
      <w:r w:rsidRPr="00710867">
        <w:rPr>
          <w:b/>
          <w:bCs/>
          <w:lang w:val="fr-FR"/>
        </w:rPr>
        <w:t xml:space="preserve">Conseil </w:t>
      </w:r>
      <w:r w:rsidR="00196BF0" w:rsidRPr="00710867">
        <w:rPr>
          <w:b/>
          <w:bCs/>
          <w:lang w:val="fr-FR"/>
        </w:rPr>
        <w:t>s</w:t>
      </w:r>
      <w:r w:rsidRPr="00710867">
        <w:rPr>
          <w:b/>
          <w:bCs/>
          <w:lang w:val="fr-FR"/>
        </w:rPr>
        <w:t xml:space="preserve">upérieur des </w:t>
      </w:r>
      <w:r w:rsidR="00196BF0" w:rsidRPr="00710867">
        <w:rPr>
          <w:b/>
          <w:bCs/>
          <w:lang w:val="fr-FR"/>
        </w:rPr>
        <w:t>p</w:t>
      </w:r>
      <w:r w:rsidRPr="00710867">
        <w:rPr>
          <w:b/>
          <w:bCs/>
          <w:lang w:val="fr-FR"/>
        </w:rPr>
        <w:t>rocureurs (CSP)</w:t>
      </w:r>
      <w:r w:rsidRPr="00710867">
        <w:rPr>
          <w:lang w:val="fr-FR"/>
        </w:rPr>
        <w:t xml:space="preserve"> dans le cadre de l’alignement de son cadre réglementaire interne avec les récentes évolutions législatives liées à la </w:t>
      </w:r>
      <w:r w:rsidRPr="00710867">
        <w:rPr>
          <w:b/>
          <w:bCs/>
          <w:lang w:val="fr-FR"/>
        </w:rPr>
        <w:t>vérification de l’intégrité des procureurs</w:t>
      </w:r>
      <w:r w:rsidRPr="00710867">
        <w:rPr>
          <w:lang w:val="fr-FR"/>
        </w:rPr>
        <w:t xml:space="preserve">, notamment ceux non couverts par la loi n°252/2023. L’expert(e) contribuera à la mise en </w:t>
      </w:r>
      <w:r w:rsidRPr="00710867">
        <w:rPr>
          <w:lang w:val="fr-FR"/>
        </w:rPr>
        <w:lastRenderedPageBreak/>
        <w:t>place de procédures normatives et opérationnelles solides, et au renforcement des capacités institutionnelles à travers :</w:t>
      </w:r>
    </w:p>
    <w:p w14:paraId="5A42624E" w14:textId="2390E3DD" w:rsidR="00432779" w:rsidRPr="00710867" w:rsidRDefault="00592E9B" w:rsidP="00B1293E">
      <w:pPr>
        <w:numPr>
          <w:ilvl w:val="0"/>
          <w:numId w:val="2"/>
        </w:numPr>
        <w:tabs>
          <w:tab w:val="clear" w:pos="720"/>
          <w:tab w:val="num" w:pos="2160"/>
        </w:tabs>
        <w:ind w:left="1080"/>
        <w:jc w:val="both"/>
        <w:rPr>
          <w:lang w:val="fr-FR"/>
        </w:rPr>
      </w:pPr>
      <w:r w:rsidRPr="00710867">
        <w:rPr>
          <w:b/>
          <w:lang w:val="fr-FR"/>
        </w:rPr>
        <w:t>L’</w:t>
      </w:r>
      <w:r w:rsidR="00B2570F" w:rsidRPr="00710867">
        <w:rPr>
          <w:b/>
          <w:lang w:val="fr-FR"/>
        </w:rPr>
        <w:t>a</w:t>
      </w:r>
      <w:r w:rsidRPr="00710867">
        <w:rPr>
          <w:b/>
          <w:lang w:val="fr-FR"/>
        </w:rPr>
        <w:t xml:space="preserve">nalyse du </w:t>
      </w:r>
      <w:r w:rsidR="00432779" w:rsidRPr="00710867">
        <w:rPr>
          <w:b/>
          <w:lang w:val="fr-FR"/>
        </w:rPr>
        <w:t>cadre réglementaire interne actuel</w:t>
      </w:r>
      <w:r w:rsidR="00432779" w:rsidRPr="00710867">
        <w:rPr>
          <w:lang w:val="fr-FR"/>
        </w:rPr>
        <w:t xml:space="preserve"> </w:t>
      </w:r>
      <w:r w:rsidR="00B2570F" w:rsidRPr="00710867">
        <w:rPr>
          <w:lang w:val="fr-FR"/>
        </w:rPr>
        <w:t xml:space="preserve">du CSP </w:t>
      </w:r>
      <w:r w:rsidR="00432779" w:rsidRPr="00710867">
        <w:rPr>
          <w:lang w:val="fr-FR"/>
        </w:rPr>
        <w:t xml:space="preserve">au regard de la Loi n° 252/2023 et des autres </w:t>
      </w:r>
      <w:r w:rsidR="008459EB" w:rsidRPr="00710867">
        <w:rPr>
          <w:lang w:val="fr-FR"/>
        </w:rPr>
        <w:t>amendements législatifs récents</w:t>
      </w:r>
      <w:r w:rsidR="00B2570F" w:rsidRPr="00710867">
        <w:rPr>
          <w:lang w:val="fr-FR"/>
        </w:rPr>
        <w:t>, afin :</w:t>
      </w:r>
    </w:p>
    <w:p w14:paraId="3FC222D4" w14:textId="549C47CE" w:rsidR="00432779" w:rsidRPr="00710867" w:rsidRDefault="00B2570F" w:rsidP="00B1293E">
      <w:pPr>
        <w:numPr>
          <w:ilvl w:val="1"/>
          <w:numId w:val="2"/>
        </w:numPr>
        <w:tabs>
          <w:tab w:val="clear" w:pos="1440"/>
          <w:tab w:val="num" w:pos="2880"/>
        </w:tabs>
        <w:ind w:left="1800"/>
        <w:jc w:val="both"/>
        <w:rPr>
          <w:lang w:val="fr-FR"/>
        </w:rPr>
      </w:pPr>
      <w:r w:rsidRPr="00710867">
        <w:rPr>
          <w:b/>
          <w:lang w:val="fr-FR"/>
        </w:rPr>
        <w:t>D</w:t>
      </w:r>
      <w:r w:rsidR="003C5282" w:rsidRPr="00710867">
        <w:rPr>
          <w:b/>
          <w:lang w:val="fr-FR"/>
        </w:rPr>
        <w:t>’</w:t>
      </w:r>
      <w:r w:rsidRPr="00710867">
        <w:rPr>
          <w:b/>
          <w:lang w:val="fr-FR"/>
        </w:rPr>
        <w:t>é</w:t>
      </w:r>
      <w:r w:rsidR="003C5282" w:rsidRPr="00710867">
        <w:rPr>
          <w:b/>
          <w:lang w:val="fr-FR"/>
        </w:rPr>
        <w:t>labor</w:t>
      </w:r>
      <w:r w:rsidRPr="00710867">
        <w:rPr>
          <w:b/>
          <w:lang w:val="fr-FR"/>
        </w:rPr>
        <w:t>er</w:t>
      </w:r>
      <w:r w:rsidR="00432779" w:rsidRPr="00710867">
        <w:rPr>
          <w:b/>
          <w:lang w:val="fr-FR"/>
        </w:rPr>
        <w:t xml:space="preserve"> des procédures claires</w:t>
      </w:r>
      <w:r w:rsidR="00432779" w:rsidRPr="00710867">
        <w:rPr>
          <w:lang w:val="fr-FR"/>
        </w:rPr>
        <w:t xml:space="preserve"> pour l’évaluation des procureurs non couverts par la loi</w:t>
      </w:r>
      <w:r w:rsidRPr="00710867">
        <w:rPr>
          <w:lang w:val="fr-FR"/>
        </w:rPr>
        <w:t xml:space="preserve"> (aspects éthiques et financiers) ;</w:t>
      </w:r>
    </w:p>
    <w:p w14:paraId="15BEE65A" w14:textId="0F89B3E0" w:rsidR="00432779" w:rsidRPr="00710867" w:rsidRDefault="00710867" w:rsidP="00B1293E">
      <w:pPr>
        <w:numPr>
          <w:ilvl w:val="1"/>
          <w:numId w:val="2"/>
        </w:numPr>
        <w:tabs>
          <w:tab w:val="clear" w:pos="1440"/>
          <w:tab w:val="num" w:pos="2520"/>
        </w:tabs>
        <w:ind w:left="1800"/>
        <w:jc w:val="both"/>
        <w:rPr>
          <w:lang w:val="fr-FR"/>
        </w:rPr>
      </w:pPr>
      <w:bookmarkStart w:id="0" w:name="_GoBack"/>
      <w:bookmarkEnd w:id="0"/>
      <w:r w:rsidRPr="00710867">
        <w:rPr>
          <w:lang w:val="fr-FR"/>
        </w:rPr>
        <w:t>De</w:t>
      </w:r>
      <w:r w:rsidR="00B2570F" w:rsidRPr="00710867">
        <w:rPr>
          <w:lang w:val="fr-FR"/>
        </w:rPr>
        <w:t xml:space="preserve"> rédiger</w:t>
      </w:r>
      <w:r w:rsidR="00432779" w:rsidRPr="00710867">
        <w:rPr>
          <w:lang w:val="fr-FR"/>
        </w:rPr>
        <w:t xml:space="preserve"> de</w:t>
      </w:r>
      <w:r w:rsidR="00B2570F" w:rsidRPr="00710867">
        <w:rPr>
          <w:lang w:val="fr-FR"/>
        </w:rPr>
        <w:t>s</w:t>
      </w:r>
      <w:r w:rsidR="00432779" w:rsidRPr="00710867">
        <w:rPr>
          <w:lang w:val="fr-FR"/>
        </w:rPr>
        <w:t xml:space="preserve"> </w:t>
      </w:r>
      <w:r w:rsidR="00432779" w:rsidRPr="00710867">
        <w:rPr>
          <w:b/>
          <w:lang w:val="fr-FR"/>
        </w:rPr>
        <w:t>lignes directrices opérationnelles</w:t>
      </w:r>
      <w:r w:rsidR="00432779" w:rsidRPr="00710867">
        <w:rPr>
          <w:lang w:val="fr-FR"/>
        </w:rPr>
        <w:t xml:space="preserve"> </w:t>
      </w:r>
      <w:r w:rsidR="00B2570F" w:rsidRPr="00710867">
        <w:rPr>
          <w:lang w:val="fr-FR"/>
        </w:rPr>
        <w:t>p</w:t>
      </w:r>
      <w:r w:rsidR="00432779" w:rsidRPr="00710867">
        <w:rPr>
          <w:lang w:val="fr-FR"/>
        </w:rPr>
        <w:t xml:space="preserve">our l’examen des rapports de la Commission de vérification, afin de garantir cohérence et </w:t>
      </w:r>
      <w:r w:rsidR="00B2570F" w:rsidRPr="00710867">
        <w:rPr>
          <w:lang w:val="fr-FR"/>
        </w:rPr>
        <w:t>redevabilité des processus de sélection et d’évaluation</w:t>
      </w:r>
      <w:r w:rsidR="00432779" w:rsidRPr="00710867">
        <w:rPr>
          <w:lang w:val="fr-FR"/>
        </w:rPr>
        <w:t>.</w:t>
      </w:r>
    </w:p>
    <w:p w14:paraId="75FC2969" w14:textId="55AC02B8" w:rsidR="00B2570F" w:rsidRPr="00710867" w:rsidRDefault="00B2570F" w:rsidP="003958A4">
      <w:pPr>
        <w:ind w:left="360"/>
        <w:jc w:val="both"/>
        <w:rPr>
          <w:lang w:val="fr-FR"/>
        </w:rPr>
      </w:pPr>
      <w:r w:rsidRPr="00710867">
        <w:rPr>
          <w:lang w:val="fr-FR"/>
        </w:rPr>
        <w:t>Selon les besoins du CPS, l’expert(e) pourra également émettre des recommandations pour le recrutement du personnel pouvant mener à bien les tâches d’évaluation et de sélection.</w:t>
      </w:r>
    </w:p>
    <w:p w14:paraId="2912A492" w14:textId="64C1731F" w:rsidR="00D67E11" w:rsidRPr="00710867" w:rsidRDefault="00B60102" w:rsidP="003958A4">
      <w:pPr>
        <w:ind w:left="360"/>
        <w:rPr>
          <w:lang w:val="fr-FR"/>
        </w:rPr>
      </w:pPr>
      <w:r w:rsidRPr="00710867">
        <w:rPr>
          <w:b/>
          <w:bCs/>
          <w:lang w:val="fr-FR"/>
        </w:rPr>
        <w:t>Livrables attendus</w:t>
      </w:r>
    </w:p>
    <w:tbl>
      <w:tblPr>
        <w:tblStyle w:val="Grilledutableau"/>
        <w:tblW w:w="9360" w:type="dxa"/>
        <w:tblInd w:w="720" w:type="dxa"/>
        <w:tblLayout w:type="fixed"/>
        <w:tblLook w:val="04A0" w:firstRow="1" w:lastRow="0" w:firstColumn="1" w:lastColumn="0" w:noHBand="0" w:noVBand="1"/>
      </w:tblPr>
      <w:tblGrid>
        <w:gridCol w:w="6788"/>
        <w:gridCol w:w="2572"/>
      </w:tblGrid>
      <w:tr w:rsidR="00B1293E" w:rsidRPr="00710867" w14:paraId="0F2A2A0D" w14:textId="77777777" w:rsidTr="007063C8">
        <w:tc>
          <w:tcPr>
            <w:tcW w:w="6788" w:type="dxa"/>
          </w:tcPr>
          <w:p w14:paraId="5553E0A3" w14:textId="77777777" w:rsidR="00B1293E" w:rsidRPr="00710867" w:rsidRDefault="00B1293E" w:rsidP="007063C8">
            <w:pPr>
              <w:spacing w:line="276" w:lineRule="auto"/>
              <w:jc w:val="both"/>
              <w:rPr>
                <w:rFonts w:asciiTheme="minorHAnsi" w:hAnsiTheme="minorHAnsi" w:cstheme="minorHAnsi"/>
                <w:sz w:val="22"/>
                <w:szCs w:val="22"/>
              </w:rPr>
            </w:pPr>
            <w:r w:rsidRPr="00710867">
              <w:rPr>
                <w:rFonts w:asciiTheme="minorHAnsi" w:hAnsiTheme="minorHAnsi" w:cstheme="minorHAnsi"/>
                <w:sz w:val="22"/>
                <w:szCs w:val="22"/>
              </w:rPr>
              <w:t>Livrable</w:t>
            </w:r>
          </w:p>
        </w:tc>
        <w:tc>
          <w:tcPr>
            <w:tcW w:w="2572" w:type="dxa"/>
          </w:tcPr>
          <w:p w14:paraId="0DDDC062" w14:textId="77777777" w:rsidR="00B1293E" w:rsidRPr="00710867" w:rsidRDefault="00B1293E" w:rsidP="007063C8">
            <w:pPr>
              <w:spacing w:line="276" w:lineRule="auto"/>
              <w:jc w:val="both"/>
              <w:rPr>
                <w:rFonts w:asciiTheme="minorHAnsi" w:hAnsiTheme="minorHAnsi" w:cstheme="minorHAnsi"/>
                <w:sz w:val="22"/>
                <w:szCs w:val="22"/>
              </w:rPr>
            </w:pPr>
            <w:r w:rsidRPr="00710867">
              <w:rPr>
                <w:rFonts w:asciiTheme="minorHAnsi" w:hAnsiTheme="minorHAnsi" w:cstheme="minorHAnsi"/>
                <w:sz w:val="22"/>
                <w:szCs w:val="22"/>
              </w:rPr>
              <w:t>Date limite</w:t>
            </w:r>
          </w:p>
        </w:tc>
      </w:tr>
      <w:tr w:rsidR="00B1293E" w:rsidRPr="00710867" w14:paraId="199CADDA" w14:textId="77777777" w:rsidTr="007063C8">
        <w:tc>
          <w:tcPr>
            <w:tcW w:w="6788" w:type="dxa"/>
          </w:tcPr>
          <w:p w14:paraId="101D413D" w14:textId="777DCB85" w:rsidR="00F46E8A" w:rsidRPr="00710867" w:rsidRDefault="00B1293E" w:rsidP="00F46E8A">
            <w:pPr>
              <w:spacing w:line="276" w:lineRule="auto"/>
              <w:jc w:val="both"/>
              <w:rPr>
                <w:rFonts w:asciiTheme="minorHAnsi" w:hAnsiTheme="minorHAnsi" w:cstheme="minorHAnsi"/>
                <w:bCs/>
                <w:sz w:val="22"/>
                <w:szCs w:val="22"/>
              </w:rPr>
            </w:pPr>
            <w:r w:rsidRPr="00710867">
              <w:rPr>
                <w:rFonts w:asciiTheme="minorHAnsi" w:hAnsiTheme="minorHAnsi" w:cstheme="minorHAnsi"/>
                <w:bCs/>
                <w:sz w:val="22"/>
                <w:szCs w:val="22"/>
              </w:rPr>
              <w:t xml:space="preserve">1 : </w:t>
            </w:r>
            <w:r w:rsidR="00F46E8A" w:rsidRPr="00710867">
              <w:rPr>
                <w:rFonts w:asciiTheme="minorHAnsi" w:hAnsiTheme="minorHAnsi" w:cstheme="minorHAnsi"/>
                <w:bCs/>
                <w:sz w:val="22"/>
                <w:szCs w:val="22"/>
              </w:rPr>
              <w:t>rapport d’analyse de l’écart entre le cadre réglementaire interne du CSP et les récentes réformes législatives, incluant</w:t>
            </w:r>
            <w:r w:rsidR="00B2570F" w:rsidRPr="00710867">
              <w:rPr>
                <w:rFonts w:asciiTheme="minorHAnsi" w:hAnsiTheme="minorHAnsi" w:cstheme="minorHAnsi"/>
                <w:bCs/>
                <w:sz w:val="22"/>
                <w:szCs w:val="22"/>
              </w:rPr>
              <w:t> :</w:t>
            </w:r>
          </w:p>
          <w:p w14:paraId="50F7BFF0" w14:textId="21415EC4" w:rsidR="00F46E8A" w:rsidRPr="00710867" w:rsidRDefault="00F46E8A" w:rsidP="003958A4">
            <w:pPr>
              <w:spacing w:line="276" w:lineRule="auto"/>
              <w:ind w:left="720"/>
              <w:jc w:val="both"/>
              <w:rPr>
                <w:rFonts w:asciiTheme="minorHAnsi" w:hAnsiTheme="minorHAnsi" w:cstheme="minorHAnsi"/>
                <w:bCs/>
                <w:sz w:val="22"/>
                <w:szCs w:val="22"/>
              </w:rPr>
            </w:pPr>
            <w:r w:rsidRPr="00710867">
              <w:rPr>
                <w:rFonts w:asciiTheme="minorHAnsi" w:hAnsiTheme="minorHAnsi" w:cstheme="minorHAnsi"/>
                <w:bCs/>
                <w:sz w:val="22"/>
                <w:szCs w:val="22"/>
              </w:rPr>
              <w:t>i) des procédures de traitement et d’évaluation des rapports de la Commission de vérification</w:t>
            </w:r>
          </w:p>
          <w:p w14:paraId="3F183B58" w14:textId="77777777" w:rsidR="00B1293E" w:rsidRPr="00710867" w:rsidRDefault="00F46E8A" w:rsidP="003958A4">
            <w:pPr>
              <w:spacing w:line="276" w:lineRule="auto"/>
              <w:ind w:left="720"/>
              <w:jc w:val="both"/>
              <w:rPr>
                <w:rFonts w:asciiTheme="minorHAnsi" w:hAnsiTheme="minorHAnsi" w:cstheme="minorHAnsi"/>
                <w:bCs/>
                <w:sz w:val="22"/>
                <w:szCs w:val="22"/>
              </w:rPr>
            </w:pPr>
            <w:r w:rsidRPr="00710867">
              <w:rPr>
                <w:rFonts w:asciiTheme="minorHAnsi" w:hAnsiTheme="minorHAnsi" w:cstheme="minorHAnsi"/>
                <w:bCs/>
                <w:sz w:val="22"/>
                <w:szCs w:val="22"/>
              </w:rPr>
              <w:t>ii) des lignes directrices opérationnelles encadrant le processus d’évaluation des procureurs n</w:t>
            </w:r>
            <w:r w:rsidR="008C06A6" w:rsidRPr="00710867">
              <w:rPr>
                <w:rFonts w:asciiTheme="minorHAnsi" w:hAnsiTheme="minorHAnsi" w:cstheme="minorHAnsi"/>
                <w:bCs/>
                <w:sz w:val="22"/>
                <w:szCs w:val="22"/>
              </w:rPr>
              <w:t xml:space="preserve">on </w:t>
            </w:r>
            <w:r w:rsidRPr="00710867">
              <w:rPr>
                <w:rFonts w:asciiTheme="minorHAnsi" w:hAnsiTheme="minorHAnsi" w:cstheme="minorHAnsi"/>
                <w:bCs/>
                <w:sz w:val="22"/>
                <w:szCs w:val="22"/>
              </w:rPr>
              <w:t>soumis au processus de «</w:t>
            </w:r>
            <w:r w:rsidRPr="00710867">
              <w:rPr>
                <w:rFonts w:asciiTheme="minorHAnsi" w:hAnsiTheme="minorHAnsi" w:cstheme="minorHAnsi"/>
                <w:bCs/>
                <w:i/>
                <w:sz w:val="22"/>
                <w:szCs w:val="22"/>
              </w:rPr>
              <w:t> </w:t>
            </w:r>
            <w:proofErr w:type="spellStart"/>
            <w:r w:rsidRPr="00710867">
              <w:rPr>
                <w:rFonts w:asciiTheme="minorHAnsi" w:hAnsiTheme="minorHAnsi" w:cstheme="minorHAnsi"/>
                <w:bCs/>
                <w:i/>
                <w:sz w:val="22"/>
                <w:szCs w:val="22"/>
              </w:rPr>
              <w:t>vetting</w:t>
            </w:r>
            <w:proofErr w:type="spellEnd"/>
            <w:r w:rsidRPr="00710867">
              <w:rPr>
                <w:rFonts w:asciiTheme="minorHAnsi" w:hAnsiTheme="minorHAnsi" w:cstheme="minorHAnsi"/>
                <w:bCs/>
                <w:sz w:val="22"/>
                <w:szCs w:val="22"/>
              </w:rPr>
              <w:t> »</w:t>
            </w:r>
          </w:p>
          <w:p w14:paraId="5F9BDBE9" w14:textId="7BAC60F9" w:rsidR="008C06A6" w:rsidRPr="00710867" w:rsidRDefault="008C06A6" w:rsidP="008C06A6">
            <w:pPr>
              <w:spacing w:line="276" w:lineRule="auto"/>
              <w:jc w:val="both"/>
              <w:rPr>
                <w:rFonts w:asciiTheme="minorHAnsi" w:hAnsiTheme="minorHAnsi" w:cstheme="minorHAnsi"/>
                <w:sz w:val="22"/>
                <w:szCs w:val="22"/>
              </w:rPr>
            </w:pPr>
            <w:r w:rsidRPr="00710867">
              <w:rPr>
                <w:rFonts w:asciiTheme="minorHAnsi" w:hAnsiTheme="minorHAnsi" w:cstheme="minorHAnsi"/>
                <w:bCs/>
                <w:sz w:val="22"/>
                <w:szCs w:val="22"/>
              </w:rPr>
              <w:t>intégrant des améliorations suite aux retours des bénéficiaires et de l’équipe projet</w:t>
            </w:r>
          </w:p>
        </w:tc>
        <w:tc>
          <w:tcPr>
            <w:tcW w:w="2572" w:type="dxa"/>
          </w:tcPr>
          <w:p w14:paraId="79505368" w14:textId="11987C00" w:rsidR="00B1293E" w:rsidRPr="00710867" w:rsidRDefault="00F46E8A" w:rsidP="007063C8">
            <w:pPr>
              <w:spacing w:line="276" w:lineRule="auto"/>
              <w:jc w:val="both"/>
              <w:rPr>
                <w:rFonts w:asciiTheme="minorHAnsi" w:hAnsiTheme="minorHAnsi" w:cstheme="minorHAnsi"/>
                <w:sz w:val="22"/>
                <w:szCs w:val="22"/>
              </w:rPr>
            </w:pPr>
            <w:r w:rsidRPr="00710867">
              <w:rPr>
                <w:rFonts w:asciiTheme="minorHAnsi" w:hAnsiTheme="minorHAnsi" w:cstheme="minorHAnsi"/>
                <w:sz w:val="22"/>
                <w:szCs w:val="22"/>
              </w:rPr>
              <w:t>A déterminer</w:t>
            </w:r>
          </w:p>
        </w:tc>
      </w:tr>
    </w:tbl>
    <w:p w14:paraId="624DF114" w14:textId="77777777" w:rsidR="00D67E11" w:rsidRPr="00710867" w:rsidRDefault="00D67E11" w:rsidP="00D67E11">
      <w:pPr>
        <w:rPr>
          <w:lang w:val="fr-FR"/>
        </w:rPr>
      </w:pPr>
    </w:p>
    <w:p w14:paraId="6326740A" w14:textId="77777777" w:rsidR="00D67E11" w:rsidRPr="00710867" w:rsidRDefault="00B60102" w:rsidP="00D67E11">
      <w:pPr>
        <w:rPr>
          <w:b/>
          <w:bCs/>
          <w:lang w:val="fr-FR"/>
        </w:rPr>
      </w:pPr>
      <w:r w:rsidRPr="00710867">
        <w:rPr>
          <w:b/>
          <w:bCs/>
          <w:lang w:val="fr-FR"/>
        </w:rPr>
        <w:t>Profil souhaité</w:t>
      </w:r>
    </w:p>
    <w:p w14:paraId="553E936D" w14:textId="77777777" w:rsidR="00D67E11" w:rsidRPr="00710867" w:rsidRDefault="00D67E11" w:rsidP="00F46E8A">
      <w:pPr>
        <w:ind w:left="360"/>
        <w:rPr>
          <w:lang w:val="fr-FR"/>
        </w:rPr>
      </w:pPr>
      <w:r w:rsidRPr="00710867">
        <w:rPr>
          <w:b/>
          <w:bCs/>
          <w:lang w:val="fr-FR"/>
        </w:rPr>
        <w:t>Formation et expérience :</w:t>
      </w:r>
    </w:p>
    <w:p w14:paraId="5CAA96BC" w14:textId="77777777" w:rsidR="00D67E11" w:rsidRPr="00710867" w:rsidRDefault="00D67E11" w:rsidP="00F46E8A">
      <w:pPr>
        <w:numPr>
          <w:ilvl w:val="0"/>
          <w:numId w:val="4"/>
        </w:numPr>
        <w:tabs>
          <w:tab w:val="clear" w:pos="720"/>
          <w:tab w:val="num" w:pos="1080"/>
        </w:tabs>
        <w:ind w:left="1080"/>
        <w:jc w:val="both"/>
        <w:rPr>
          <w:lang w:val="fr-FR"/>
        </w:rPr>
      </w:pPr>
      <w:r w:rsidRPr="00710867">
        <w:rPr>
          <w:lang w:val="fr-FR"/>
        </w:rPr>
        <w:t>Minimum 7 ans d’expérience dans des fonctions liées à l’État de droit, la gouvernance judiciaire, ou la lutte contre la corruption ;</w:t>
      </w:r>
    </w:p>
    <w:p w14:paraId="176597D8" w14:textId="77777777" w:rsidR="00D67E11" w:rsidRPr="00710867" w:rsidRDefault="00D67E11" w:rsidP="00F46E8A">
      <w:pPr>
        <w:numPr>
          <w:ilvl w:val="0"/>
          <w:numId w:val="4"/>
        </w:numPr>
        <w:tabs>
          <w:tab w:val="clear" w:pos="720"/>
          <w:tab w:val="num" w:pos="1080"/>
        </w:tabs>
        <w:ind w:left="1080"/>
        <w:jc w:val="both"/>
        <w:rPr>
          <w:lang w:val="fr-FR"/>
        </w:rPr>
      </w:pPr>
      <w:r w:rsidRPr="00710867">
        <w:rPr>
          <w:lang w:val="fr-FR"/>
        </w:rPr>
        <w:t>Expérience avérée en matière de réformes institutionnelles et d’alignement réglementaire.</w:t>
      </w:r>
    </w:p>
    <w:p w14:paraId="2F7F0260" w14:textId="77777777" w:rsidR="00D67E11" w:rsidRPr="00710867" w:rsidRDefault="00D67E11" w:rsidP="00F46E8A">
      <w:pPr>
        <w:ind w:left="360"/>
        <w:jc w:val="both"/>
        <w:rPr>
          <w:lang w:val="fr-FR"/>
        </w:rPr>
      </w:pPr>
      <w:r w:rsidRPr="00710867">
        <w:rPr>
          <w:b/>
          <w:bCs/>
          <w:lang w:val="fr-FR"/>
        </w:rPr>
        <w:t>Connaissances spécialisées :</w:t>
      </w:r>
    </w:p>
    <w:p w14:paraId="368AEC99" w14:textId="77777777" w:rsidR="00D67E11" w:rsidRPr="00710867" w:rsidRDefault="00D67E11" w:rsidP="00F46E8A">
      <w:pPr>
        <w:numPr>
          <w:ilvl w:val="0"/>
          <w:numId w:val="5"/>
        </w:numPr>
        <w:tabs>
          <w:tab w:val="clear" w:pos="720"/>
          <w:tab w:val="num" w:pos="1080"/>
        </w:tabs>
        <w:ind w:left="1080"/>
        <w:jc w:val="both"/>
        <w:rPr>
          <w:lang w:val="fr-FR"/>
        </w:rPr>
      </w:pPr>
      <w:r w:rsidRPr="00710867">
        <w:rPr>
          <w:lang w:val="fr-FR"/>
        </w:rPr>
        <w:t xml:space="preserve">Connaissance des mécanismes de </w:t>
      </w:r>
      <w:proofErr w:type="spellStart"/>
      <w:r w:rsidRPr="00710867">
        <w:rPr>
          <w:i/>
          <w:lang w:val="fr-FR"/>
        </w:rPr>
        <w:t>vetting</w:t>
      </w:r>
      <w:proofErr w:type="spellEnd"/>
      <w:r w:rsidRPr="00710867">
        <w:rPr>
          <w:lang w:val="fr-FR"/>
        </w:rPr>
        <w:t>, d’éthique et d’évaluation des magistrats/procureurs ;</w:t>
      </w:r>
    </w:p>
    <w:p w14:paraId="0AA38D9D" w14:textId="77777777" w:rsidR="00DF7C2F" w:rsidRPr="00710867" w:rsidRDefault="00DF7C2F" w:rsidP="00F46E8A">
      <w:pPr>
        <w:pStyle w:val="Paragraphedeliste"/>
        <w:numPr>
          <w:ilvl w:val="0"/>
          <w:numId w:val="5"/>
        </w:numPr>
        <w:tabs>
          <w:tab w:val="clear" w:pos="720"/>
          <w:tab w:val="num" w:pos="1080"/>
        </w:tabs>
        <w:ind w:left="1080"/>
        <w:rPr>
          <w:lang w:val="fr-FR"/>
        </w:rPr>
      </w:pPr>
      <w:r w:rsidRPr="00710867">
        <w:rPr>
          <w:lang w:val="fr-FR"/>
        </w:rPr>
        <w:t>Solide connaissance du système judiciaire et du cadre juridique moldave ou d’un contexte similaire ;</w:t>
      </w:r>
    </w:p>
    <w:p w14:paraId="3F7C8651" w14:textId="77777777" w:rsidR="00D67E11" w:rsidRPr="00710867" w:rsidRDefault="00D67E11" w:rsidP="00F46E8A">
      <w:pPr>
        <w:numPr>
          <w:ilvl w:val="0"/>
          <w:numId w:val="5"/>
        </w:numPr>
        <w:tabs>
          <w:tab w:val="clear" w:pos="720"/>
          <w:tab w:val="num" w:pos="1080"/>
        </w:tabs>
        <w:ind w:left="1080"/>
        <w:jc w:val="both"/>
        <w:rPr>
          <w:lang w:val="fr-FR"/>
        </w:rPr>
      </w:pPr>
      <w:r w:rsidRPr="00710867">
        <w:rPr>
          <w:lang w:val="fr-FR"/>
        </w:rPr>
        <w:t>Maîtrise des processus de sélection et de recrutement dans les institutions publiques.</w:t>
      </w:r>
    </w:p>
    <w:p w14:paraId="2739B9CD" w14:textId="77777777" w:rsidR="00D67E11" w:rsidRPr="00710867" w:rsidRDefault="00D67E11" w:rsidP="005D06AD">
      <w:pPr>
        <w:ind w:left="360"/>
        <w:jc w:val="both"/>
        <w:rPr>
          <w:lang w:val="fr-FR"/>
        </w:rPr>
      </w:pPr>
      <w:r w:rsidRPr="00710867">
        <w:rPr>
          <w:b/>
          <w:bCs/>
          <w:lang w:val="fr-FR"/>
        </w:rPr>
        <w:t>Compétences et aptitudes :</w:t>
      </w:r>
    </w:p>
    <w:p w14:paraId="6C99C849" w14:textId="77777777" w:rsidR="00D67E11" w:rsidRPr="00710867" w:rsidRDefault="00D67E11" w:rsidP="005D06AD">
      <w:pPr>
        <w:numPr>
          <w:ilvl w:val="0"/>
          <w:numId w:val="6"/>
        </w:numPr>
        <w:tabs>
          <w:tab w:val="clear" w:pos="720"/>
          <w:tab w:val="num" w:pos="1080"/>
        </w:tabs>
        <w:ind w:left="1080"/>
        <w:jc w:val="both"/>
        <w:rPr>
          <w:lang w:val="fr-FR"/>
        </w:rPr>
      </w:pPr>
      <w:r w:rsidRPr="00710867">
        <w:rPr>
          <w:lang w:val="fr-FR"/>
        </w:rPr>
        <w:lastRenderedPageBreak/>
        <w:t>Capacité à concevoir des outils normatifs et opérationnels ;</w:t>
      </w:r>
    </w:p>
    <w:p w14:paraId="62A5780D" w14:textId="77777777" w:rsidR="00D67E11" w:rsidRPr="00710867" w:rsidRDefault="00D67E11" w:rsidP="005D06AD">
      <w:pPr>
        <w:numPr>
          <w:ilvl w:val="0"/>
          <w:numId w:val="6"/>
        </w:numPr>
        <w:tabs>
          <w:tab w:val="clear" w:pos="720"/>
          <w:tab w:val="num" w:pos="1080"/>
        </w:tabs>
        <w:ind w:left="1080"/>
        <w:jc w:val="both"/>
        <w:rPr>
          <w:lang w:val="fr-FR"/>
        </w:rPr>
      </w:pPr>
      <w:r w:rsidRPr="00710867">
        <w:rPr>
          <w:lang w:val="fr-FR"/>
        </w:rPr>
        <w:t>Excellent esprit d’analyse, de synthèse et de rédaction ;</w:t>
      </w:r>
    </w:p>
    <w:p w14:paraId="00FB7B58" w14:textId="77777777" w:rsidR="00D67E11" w:rsidRPr="00710867" w:rsidRDefault="00D67E11" w:rsidP="005D06AD">
      <w:pPr>
        <w:numPr>
          <w:ilvl w:val="0"/>
          <w:numId w:val="6"/>
        </w:numPr>
        <w:tabs>
          <w:tab w:val="clear" w:pos="720"/>
          <w:tab w:val="num" w:pos="1080"/>
        </w:tabs>
        <w:ind w:left="1080"/>
        <w:jc w:val="both"/>
        <w:rPr>
          <w:lang w:val="fr-FR"/>
        </w:rPr>
      </w:pPr>
      <w:r w:rsidRPr="00710867">
        <w:rPr>
          <w:lang w:val="fr-FR"/>
        </w:rPr>
        <w:t>Sens de la diplomatie, de la confidentialité, et aisance dans les environnements institutionnels sensibles.</w:t>
      </w:r>
    </w:p>
    <w:p w14:paraId="4AB792AB" w14:textId="77777777" w:rsidR="00D67E11" w:rsidRPr="00710867" w:rsidRDefault="00D67E11" w:rsidP="005D06AD">
      <w:pPr>
        <w:ind w:left="360"/>
        <w:rPr>
          <w:lang w:val="fr-FR"/>
        </w:rPr>
      </w:pPr>
      <w:r w:rsidRPr="00710867">
        <w:rPr>
          <w:b/>
          <w:bCs/>
          <w:lang w:val="fr-FR"/>
        </w:rPr>
        <w:t>Langues :</w:t>
      </w:r>
    </w:p>
    <w:p w14:paraId="7F8290B2" w14:textId="77777777" w:rsidR="00D67E11" w:rsidRPr="00710867" w:rsidRDefault="00D67E11" w:rsidP="005D06AD">
      <w:pPr>
        <w:numPr>
          <w:ilvl w:val="0"/>
          <w:numId w:val="7"/>
        </w:numPr>
        <w:tabs>
          <w:tab w:val="clear" w:pos="720"/>
          <w:tab w:val="num" w:pos="1080"/>
        </w:tabs>
        <w:ind w:left="1080"/>
        <w:rPr>
          <w:lang w:val="fr-FR"/>
        </w:rPr>
      </w:pPr>
      <w:r w:rsidRPr="00710867">
        <w:rPr>
          <w:lang w:val="fr-FR"/>
        </w:rPr>
        <w:t>Maîtrise de l’anglais souhaitée ;</w:t>
      </w:r>
    </w:p>
    <w:p w14:paraId="4EF5FB84" w14:textId="40A8FEBD" w:rsidR="00D67E11" w:rsidRPr="00710867" w:rsidRDefault="00D67E11" w:rsidP="005D06AD">
      <w:pPr>
        <w:numPr>
          <w:ilvl w:val="0"/>
          <w:numId w:val="7"/>
        </w:numPr>
        <w:tabs>
          <w:tab w:val="clear" w:pos="720"/>
          <w:tab w:val="num" w:pos="1080"/>
        </w:tabs>
        <w:ind w:left="1080"/>
        <w:rPr>
          <w:lang w:val="fr-FR"/>
        </w:rPr>
      </w:pPr>
      <w:r w:rsidRPr="00710867">
        <w:rPr>
          <w:lang w:val="fr-FR"/>
        </w:rPr>
        <w:t xml:space="preserve">La connaissance du </w:t>
      </w:r>
      <w:r w:rsidR="005D06AD" w:rsidRPr="00710867">
        <w:rPr>
          <w:lang w:val="fr-FR"/>
        </w:rPr>
        <w:t xml:space="preserve">moldave, </w:t>
      </w:r>
      <w:r w:rsidRPr="00710867">
        <w:rPr>
          <w:lang w:val="fr-FR"/>
        </w:rPr>
        <w:t>roumain ou du russe est un atout.</w:t>
      </w:r>
    </w:p>
    <w:p w14:paraId="4DBEE4B9" w14:textId="77777777" w:rsidR="00D67E11" w:rsidRPr="00710867" w:rsidRDefault="00B60102" w:rsidP="00D67E11">
      <w:pPr>
        <w:rPr>
          <w:b/>
          <w:bCs/>
          <w:lang w:val="fr-FR"/>
        </w:rPr>
      </w:pPr>
      <w:r w:rsidRPr="00710867">
        <w:rPr>
          <w:b/>
          <w:bCs/>
          <w:lang w:val="fr-FR"/>
        </w:rPr>
        <w:t>Durée de la mission</w:t>
      </w:r>
    </w:p>
    <w:p w14:paraId="2F596B05" w14:textId="3EE9FEDB" w:rsidR="00D67E11" w:rsidRPr="00710867" w:rsidRDefault="00D67E11" w:rsidP="00877FC3">
      <w:pPr>
        <w:numPr>
          <w:ilvl w:val="0"/>
          <w:numId w:val="8"/>
        </w:numPr>
        <w:jc w:val="both"/>
        <w:rPr>
          <w:lang w:val="fr-FR"/>
        </w:rPr>
      </w:pPr>
      <w:r w:rsidRPr="00710867">
        <w:rPr>
          <w:lang w:val="fr-FR"/>
        </w:rPr>
        <w:t xml:space="preserve">Durée : </w:t>
      </w:r>
      <w:r w:rsidRPr="00710867">
        <w:rPr>
          <w:b/>
          <w:bCs/>
          <w:lang w:val="fr-FR"/>
        </w:rPr>
        <w:t>3 à 6 mois</w:t>
      </w:r>
      <w:r w:rsidRPr="00710867">
        <w:rPr>
          <w:lang w:val="fr-FR"/>
        </w:rPr>
        <w:t xml:space="preserve">, avec un </w:t>
      </w:r>
      <w:r w:rsidR="00085846" w:rsidRPr="00710867">
        <w:rPr>
          <w:b/>
          <w:bCs/>
          <w:lang w:val="fr-FR"/>
        </w:rPr>
        <w:t>total de 8</w:t>
      </w:r>
      <w:r w:rsidRPr="00710867">
        <w:rPr>
          <w:b/>
          <w:bCs/>
          <w:lang w:val="fr-FR"/>
        </w:rPr>
        <w:t xml:space="preserve"> jours de prestation</w:t>
      </w:r>
      <w:r w:rsidRPr="00710867">
        <w:rPr>
          <w:lang w:val="fr-FR"/>
        </w:rPr>
        <w:t xml:space="preserve"> </w:t>
      </w:r>
      <w:r w:rsidR="003958A4" w:rsidRPr="00710867">
        <w:rPr>
          <w:lang w:val="fr-FR"/>
        </w:rPr>
        <w:t>incluant environ</w:t>
      </w:r>
      <w:r w:rsidR="00877FC3" w:rsidRPr="00710867">
        <w:rPr>
          <w:lang w:val="fr-FR"/>
        </w:rPr>
        <w:t xml:space="preserve"> </w:t>
      </w:r>
      <w:r w:rsidR="00085846" w:rsidRPr="00710867">
        <w:rPr>
          <w:b/>
          <w:bCs/>
          <w:lang w:val="fr-FR"/>
        </w:rPr>
        <w:t>5</w:t>
      </w:r>
      <w:r w:rsidRPr="00710867">
        <w:rPr>
          <w:b/>
          <w:bCs/>
          <w:lang w:val="fr-FR"/>
        </w:rPr>
        <w:t xml:space="preserve"> jours sur site</w:t>
      </w:r>
      <w:r w:rsidRPr="00710867">
        <w:rPr>
          <w:lang w:val="fr-FR"/>
        </w:rPr>
        <w:t xml:space="preserve"> </w:t>
      </w:r>
      <w:r w:rsidR="00877FC3" w:rsidRPr="00710867">
        <w:rPr>
          <w:lang w:val="fr-FR"/>
        </w:rPr>
        <w:t xml:space="preserve">à </w:t>
      </w:r>
      <w:proofErr w:type="spellStart"/>
      <w:r w:rsidR="00877FC3" w:rsidRPr="00710867">
        <w:rPr>
          <w:lang w:val="fr-FR"/>
        </w:rPr>
        <w:t>Chișinău</w:t>
      </w:r>
      <w:proofErr w:type="spellEnd"/>
      <w:r w:rsidR="00877FC3" w:rsidRPr="00710867">
        <w:rPr>
          <w:lang w:val="fr-FR"/>
        </w:rPr>
        <w:t xml:space="preserve">, Moldavie et </w:t>
      </w:r>
      <w:r w:rsidRPr="00710867">
        <w:rPr>
          <w:b/>
          <w:bCs/>
          <w:lang w:val="fr-FR"/>
        </w:rPr>
        <w:t>3 jours à distance</w:t>
      </w:r>
      <w:r w:rsidRPr="00710867">
        <w:rPr>
          <w:lang w:val="fr-FR"/>
        </w:rPr>
        <w:t>.</w:t>
      </w:r>
    </w:p>
    <w:p w14:paraId="146B622E" w14:textId="77777777" w:rsidR="00D67E11" w:rsidRPr="00710867" w:rsidRDefault="00B60102" w:rsidP="00877FC3">
      <w:pPr>
        <w:jc w:val="both"/>
        <w:rPr>
          <w:b/>
          <w:bCs/>
          <w:lang w:val="fr-FR"/>
        </w:rPr>
      </w:pPr>
      <w:r w:rsidRPr="00710867">
        <w:rPr>
          <w:b/>
          <w:bCs/>
          <w:lang w:val="fr-FR"/>
        </w:rPr>
        <w:t>Date de prise de fonction</w:t>
      </w:r>
    </w:p>
    <w:p w14:paraId="76A23D7F" w14:textId="77777777" w:rsidR="00D67E11" w:rsidRPr="00710867" w:rsidRDefault="00D67E11" w:rsidP="00877FC3">
      <w:pPr>
        <w:numPr>
          <w:ilvl w:val="0"/>
          <w:numId w:val="9"/>
        </w:numPr>
        <w:jc w:val="both"/>
        <w:rPr>
          <w:lang w:val="fr-FR"/>
        </w:rPr>
      </w:pPr>
      <w:r w:rsidRPr="00710867">
        <w:rPr>
          <w:b/>
          <w:bCs/>
          <w:lang w:val="fr-FR"/>
        </w:rPr>
        <w:t>Préférablement en juillet 2025.</w:t>
      </w:r>
    </w:p>
    <w:p w14:paraId="491E3995" w14:textId="77777777" w:rsidR="00D67E11" w:rsidRPr="00710867" w:rsidRDefault="00B60102" w:rsidP="00877FC3">
      <w:pPr>
        <w:jc w:val="both"/>
        <w:rPr>
          <w:b/>
          <w:bCs/>
          <w:lang w:val="fr-FR"/>
        </w:rPr>
      </w:pPr>
      <w:r w:rsidRPr="00710867">
        <w:rPr>
          <w:b/>
          <w:bCs/>
          <w:lang w:val="fr-FR"/>
        </w:rPr>
        <w:t>Informations complémentaires</w:t>
      </w:r>
    </w:p>
    <w:p w14:paraId="2793DA21" w14:textId="77777777" w:rsidR="00D67E11" w:rsidRPr="00710867" w:rsidRDefault="00D67E11" w:rsidP="00877FC3">
      <w:pPr>
        <w:pStyle w:val="Paragraphedeliste"/>
        <w:numPr>
          <w:ilvl w:val="0"/>
          <w:numId w:val="10"/>
        </w:numPr>
        <w:jc w:val="both"/>
        <w:rPr>
          <w:lang w:val="fr-FR"/>
        </w:rPr>
      </w:pPr>
      <w:r w:rsidRPr="00710867">
        <w:rPr>
          <w:lang w:val="fr-FR"/>
        </w:rPr>
        <w:t xml:space="preserve">Cette mission représente une opportunité stratégique pour contribuer directement au </w:t>
      </w:r>
      <w:r w:rsidRPr="00710867">
        <w:rPr>
          <w:b/>
          <w:bCs/>
          <w:lang w:val="fr-FR"/>
        </w:rPr>
        <w:t>renforcement de l’intégrité</w:t>
      </w:r>
      <w:r w:rsidRPr="00710867">
        <w:rPr>
          <w:lang w:val="fr-FR"/>
        </w:rPr>
        <w:t xml:space="preserve"> du système de poursuite judiciaire moldave, dans un contexte de réforme ambitieuse et de forte pression publique pour des institutions exemplaires.</w:t>
      </w:r>
    </w:p>
    <w:p w14:paraId="6E23E506" w14:textId="77777777" w:rsidR="00453683" w:rsidRPr="00710867" w:rsidRDefault="00453683">
      <w:pPr>
        <w:rPr>
          <w:lang w:val="fr-FR"/>
        </w:rPr>
      </w:pPr>
    </w:p>
    <w:sectPr w:rsidR="00453683" w:rsidRPr="007108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C5FBC" w14:textId="77777777" w:rsidR="003958A4" w:rsidRDefault="003958A4" w:rsidP="003958A4">
      <w:pPr>
        <w:spacing w:after="0" w:line="240" w:lineRule="auto"/>
      </w:pPr>
      <w:r>
        <w:separator/>
      </w:r>
    </w:p>
  </w:endnote>
  <w:endnote w:type="continuationSeparator" w:id="0">
    <w:p w14:paraId="0188EF6D" w14:textId="77777777" w:rsidR="003958A4" w:rsidRDefault="003958A4" w:rsidP="0039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051254"/>
      <w:docPartObj>
        <w:docPartGallery w:val="Page Numbers (Bottom of Page)"/>
        <w:docPartUnique/>
      </w:docPartObj>
    </w:sdtPr>
    <w:sdtEndPr/>
    <w:sdtContent>
      <w:p w14:paraId="1E411E67" w14:textId="740DE5C6" w:rsidR="003958A4" w:rsidRDefault="003958A4">
        <w:pPr>
          <w:pStyle w:val="Pieddepage"/>
          <w:jc w:val="center"/>
        </w:pPr>
        <w:r>
          <w:fldChar w:fldCharType="begin"/>
        </w:r>
        <w:r>
          <w:instrText>PAGE   \* MERGEFORMAT</w:instrText>
        </w:r>
        <w:r>
          <w:fldChar w:fldCharType="separate"/>
        </w:r>
        <w:r w:rsidR="00710867" w:rsidRPr="00710867">
          <w:rPr>
            <w:noProof/>
            <w:lang w:val="fr-FR"/>
          </w:rPr>
          <w:t>1</w:t>
        </w:r>
        <w:r>
          <w:fldChar w:fldCharType="end"/>
        </w:r>
      </w:p>
    </w:sdtContent>
  </w:sdt>
  <w:p w14:paraId="7925C4FF" w14:textId="77777777" w:rsidR="003958A4" w:rsidRDefault="003958A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8E19" w14:textId="77777777" w:rsidR="003958A4" w:rsidRDefault="003958A4" w:rsidP="003958A4">
      <w:pPr>
        <w:spacing w:after="0" w:line="240" w:lineRule="auto"/>
      </w:pPr>
      <w:r>
        <w:separator/>
      </w:r>
    </w:p>
  </w:footnote>
  <w:footnote w:type="continuationSeparator" w:id="0">
    <w:p w14:paraId="73F948A4" w14:textId="77777777" w:rsidR="003958A4" w:rsidRDefault="003958A4" w:rsidP="00395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366"/>
    <w:multiLevelType w:val="multilevel"/>
    <w:tmpl w:val="67A6C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46D2"/>
    <w:multiLevelType w:val="multilevel"/>
    <w:tmpl w:val="351CB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350E2"/>
    <w:multiLevelType w:val="multilevel"/>
    <w:tmpl w:val="6E3E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C09FF"/>
    <w:multiLevelType w:val="multilevel"/>
    <w:tmpl w:val="6A52584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6321862"/>
    <w:multiLevelType w:val="multilevel"/>
    <w:tmpl w:val="609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301F3"/>
    <w:multiLevelType w:val="multilevel"/>
    <w:tmpl w:val="11B6F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D3674"/>
    <w:multiLevelType w:val="multilevel"/>
    <w:tmpl w:val="910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26EE2"/>
    <w:multiLevelType w:val="multilevel"/>
    <w:tmpl w:val="2E1EAD1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E5B5709"/>
    <w:multiLevelType w:val="multilevel"/>
    <w:tmpl w:val="988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127E4"/>
    <w:multiLevelType w:val="multilevel"/>
    <w:tmpl w:val="2E1EAD14"/>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622F69A0"/>
    <w:multiLevelType w:val="multilevel"/>
    <w:tmpl w:val="D508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544F5"/>
    <w:multiLevelType w:val="hybridMultilevel"/>
    <w:tmpl w:val="7A18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42A63"/>
    <w:multiLevelType w:val="multilevel"/>
    <w:tmpl w:val="9510F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F45798"/>
    <w:multiLevelType w:val="multilevel"/>
    <w:tmpl w:val="6D7496F8"/>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3"/>
  </w:num>
  <w:num w:numId="2">
    <w:abstractNumId w:val="5"/>
  </w:num>
  <w:num w:numId="3">
    <w:abstractNumId w:val="7"/>
  </w:num>
  <w:num w:numId="4">
    <w:abstractNumId w:val="6"/>
  </w:num>
  <w:num w:numId="5">
    <w:abstractNumId w:val="8"/>
  </w:num>
  <w:num w:numId="6">
    <w:abstractNumId w:val="4"/>
  </w:num>
  <w:num w:numId="7">
    <w:abstractNumId w:val="2"/>
  </w:num>
  <w:num w:numId="8">
    <w:abstractNumId w:val="0"/>
  </w:num>
  <w:num w:numId="9">
    <w:abstractNumId w:val="10"/>
  </w:num>
  <w:num w:numId="10">
    <w:abstractNumId w:val="11"/>
  </w:num>
  <w:num w:numId="11">
    <w:abstractNumId w:val="1"/>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11"/>
    <w:rsid w:val="00085846"/>
    <w:rsid w:val="00196BF0"/>
    <w:rsid w:val="00231E90"/>
    <w:rsid w:val="00240AB2"/>
    <w:rsid w:val="002A698F"/>
    <w:rsid w:val="00372DDA"/>
    <w:rsid w:val="00382C10"/>
    <w:rsid w:val="00390C3B"/>
    <w:rsid w:val="003958A4"/>
    <w:rsid w:val="003C5282"/>
    <w:rsid w:val="00432779"/>
    <w:rsid w:val="00453683"/>
    <w:rsid w:val="004A24B9"/>
    <w:rsid w:val="004A6BAA"/>
    <w:rsid w:val="00592E9B"/>
    <w:rsid w:val="005D06AD"/>
    <w:rsid w:val="005F1EF4"/>
    <w:rsid w:val="006B2F3F"/>
    <w:rsid w:val="00700E1F"/>
    <w:rsid w:val="00710867"/>
    <w:rsid w:val="00713479"/>
    <w:rsid w:val="008459EB"/>
    <w:rsid w:val="00877FC3"/>
    <w:rsid w:val="008C06A6"/>
    <w:rsid w:val="008C68C2"/>
    <w:rsid w:val="00987CA6"/>
    <w:rsid w:val="009B7C13"/>
    <w:rsid w:val="00A123DD"/>
    <w:rsid w:val="00AA5291"/>
    <w:rsid w:val="00B1293E"/>
    <w:rsid w:val="00B2570F"/>
    <w:rsid w:val="00B60102"/>
    <w:rsid w:val="00BA53FD"/>
    <w:rsid w:val="00C178F2"/>
    <w:rsid w:val="00C35DEE"/>
    <w:rsid w:val="00D6443E"/>
    <w:rsid w:val="00D67E11"/>
    <w:rsid w:val="00DA51B1"/>
    <w:rsid w:val="00DF7C2F"/>
    <w:rsid w:val="00E966C2"/>
    <w:rsid w:val="00EE3E0C"/>
    <w:rsid w:val="00F46E8A"/>
    <w:rsid w:val="00F5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761D"/>
  <w15:chartTrackingRefBased/>
  <w15:docId w15:val="{DDE4849D-1CF4-4067-A88B-99BE4C94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7FC3"/>
    <w:pPr>
      <w:ind w:left="720"/>
      <w:contextualSpacing/>
    </w:pPr>
  </w:style>
  <w:style w:type="character" w:styleId="Marquedecommentaire">
    <w:name w:val="annotation reference"/>
    <w:basedOn w:val="Policepardfaut"/>
    <w:uiPriority w:val="99"/>
    <w:semiHidden/>
    <w:unhideWhenUsed/>
    <w:rsid w:val="00432779"/>
    <w:rPr>
      <w:sz w:val="16"/>
      <w:szCs w:val="16"/>
    </w:rPr>
  </w:style>
  <w:style w:type="paragraph" w:styleId="Commentaire">
    <w:name w:val="annotation text"/>
    <w:basedOn w:val="Normal"/>
    <w:link w:val="CommentaireCar"/>
    <w:uiPriority w:val="99"/>
    <w:semiHidden/>
    <w:unhideWhenUsed/>
    <w:rsid w:val="00432779"/>
    <w:pPr>
      <w:spacing w:line="240" w:lineRule="auto"/>
    </w:pPr>
    <w:rPr>
      <w:sz w:val="20"/>
      <w:szCs w:val="20"/>
    </w:rPr>
  </w:style>
  <w:style w:type="character" w:customStyle="1" w:styleId="CommentaireCar">
    <w:name w:val="Commentaire Car"/>
    <w:basedOn w:val="Policepardfaut"/>
    <w:link w:val="Commentaire"/>
    <w:uiPriority w:val="99"/>
    <w:semiHidden/>
    <w:rsid w:val="00432779"/>
    <w:rPr>
      <w:sz w:val="20"/>
      <w:szCs w:val="20"/>
    </w:rPr>
  </w:style>
  <w:style w:type="paragraph" w:styleId="Objetducommentaire">
    <w:name w:val="annotation subject"/>
    <w:basedOn w:val="Commentaire"/>
    <w:next w:val="Commentaire"/>
    <w:link w:val="ObjetducommentaireCar"/>
    <w:uiPriority w:val="99"/>
    <w:semiHidden/>
    <w:unhideWhenUsed/>
    <w:rsid w:val="00432779"/>
    <w:rPr>
      <w:b/>
      <w:bCs/>
    </w:rPr>
  </w:style>
  <w:style w:type="character" w:customStyle="1" w:styleId="ObjetducommentaireCar">
    <w:name w:val="Objet du commentaire Car"/>
    <w:basedOn w:val="CommentaireCar"/>
    <w:link w:val="Objetducommentaire"/>
    <w:uiPriority w:val="99"/>
    <w:semiHidden/>
    <w:rsid w:val="00432779"/>
    <w:rPr>
      <w:b/>
      <w:bCs/>
      <w:sz w:val="20"/>
      <w:szCs w:val="20"/>
    </w:rPr>
  </w:style>
  <w:style w:type="paragraph" w:styleId="Textedebulles">
    <w:name w:val="Balloon Text"/>
    <w:basedOn w:val="Normal"/>
    <w:link w:val="TextedebullesCar"/>
    <w:uiPriority w:val="99"/>
    <w:semiHidden/>
    <w:unhideWhenUsed/>
    <w:rsid w:val="004327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2779"/>
    <w:rPr>
      <w:rFonts w:ascii="Segoe UI" w:hAnsi="Segoe UI" w:cs="Segoe UI"/>
      <w:sz w:val="18"/>
      <w:szCs w:val="18"/>
    </w:rPr>
  </w:style>
  <w:style w:type="paragraph" w:styleId="NormalWeb">
    <w:name w:val="Normal (Web)"/>
    <w:basedOn w:val="Normal"/>
    <w:uiPriority w:val="99"/>
    <w:semiHidden/>
    <w:unhideWhenUsed/>
    <w:rsid w:val="0043277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32779"/>
    <w:rPr>
      <w:b/>
      <w:bCs/>
    </w:rPr>
  </w:style>
  <w:style w:type="table" w:styleId="Grilledutableau">
    <w:name w:val="Table Grid"/>
    <w:basedOn w:val="TableauNormal"/>
    <w:uiPriority w:val="59"/>
    <w:rsid w:val="00B1293E"/>
    <w:pPr>
      <w:spacing w:after="0" w:line="240" w:lineRule="auto"/>
    </w:pPr>
    <w:rPr>
      <w:rFonts w:ascii="Times" w:eastAsia="Times" w:hAnsi="Times"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31E90"/>
    <w:pPr>
      <w:spacing w:after="0" w:line="240" w:lineRule="auto"/>
    </w:pPr>
  </w:style>
  <w:style w:type="paragraph" w:styleId="En-tte">
    <w:name w:val="header"/>
    <w:basedOn w:val="Normal"/>
    <w:link w:val="En-tteCar"/>
    <w:uiPriority w:val="99"/>
    <w:unhideWhenUsed/>
    <w:rsid w:val="003958A4"/>
    <w:pPr>
      <w:tabs>
        <w:tab w:val="center" w:pos="4536"/>
        <w:tab w:val="right" w:pos="9072"/>
      </w:tabs>
      <w:spacing w:after="0" w:line="240" w:lineRule="auto"/>
    </w:pPr>
  </w:style>
  <w:style w:type="character" w:customStyle="1" w:styleId="En-tteCar">
    <w:name w:val="En-tête Car"/>
    <w:basedOn w:val="Policepardfaut"/>
    <w:link w:val="En-tte"/>
    <w:uiPriority w:val="99"/>
    <w:rsid w:val="003958A4"/>
  </w:style>
  <w:style w:type="paragraph" w:styleId="Pieddepage">
    <w:name w:val="footer"/>
    <w:basedOn w:val="Normal"/>
    <w:link w:val="PieddepageCar"/>
    <w:uiPriority w:val="99"/>
    <w:unhideWhenUsed/>
    <w:rsid w:val="00395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3364">
      <w:bodyDiv w:val="1"/>
      <w:marLeft w:val="0"/>
      <w:marRight w:val="0"/>
      <w:marTop w:val="0"/>
      <w:marBottom w:val="0"/>
      <w:divBdr>
        <w:top w:val="none" w:sz="0" w:space="0" w:color="auto"/>
        <w:left w:val="none" w:sz="0" w:space="0" w:color="auto"/>
        <w:bottom w:val="none" w:sz="0" w:space="0" w:color="auto"/>
        <w:right w:val="none" w:sz="0" w:space="0" w:color="auto"/>
      </w:divBdr>
    </w:div>
    <w:div w:id="907573072">
      <w:bodyDiv w:val="1"/>
      <w:marLeft w:val="0"/>
      <w:marRight w:val="0"/>
      <w:marTop w:val="0"/>
      <w:marBottom w:val="0"/>
      <w:divBdr>
        <w:top w:val="none" w:sz="0" w:space="0" w:color="auto"/>
        <w:left w:val="none" w:sz="0" w:space="0" w:color="auto"/>
        <w:bottom w:val="none" w:sz="0" w:space="0" w:color="auto"/>
        <w:right w:val="none" w:sz="0" w:space="0" w:color="auto"/>
      </w:divBdr>
    </w:div>
    <w:div w:id="20526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4CE9E-B018-4DB7-BC45-E99D0380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4222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Gaelle OUABOUABELE</cp:lastModifiedBy>
  <cp:revision>2</cp:revision>
  <dcterms:created xsi:type="dcterms:W3CDTF">2025-06-25T10:33:00Z</dcterms:created>
  <dcterms:modified xsi:type="dcterms:W3CDTF">2025-06-25T10:33:00Z</dcterms:modified>
</cp:coreProperties>
</file>