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9BE" w:rsidRPr="00CE32C6" w:rsidRDefault="004D19BE" w:rsidP="004D19BE">
      <w:pPr>
        <w:pStyle w:val="Titre1"/>
        <w:rPr>
          <w:lang w:val="fr-FR"/>
        </w:rPr>
      </w:pPr>
      <w:bookmarkStart w:id="0" w:name="_Toc209186005"/>
      <w:r w:rsidRPr="00CE32C6">
        <w:rPr>
          <w:lang w:val="fr-FR"/>
        </w:rPr>
        <w:t>Description du projet d’appui à l’e-gouvernement</w:t>
      </w:r>
      <w:bookmarkEnd w:id="0"/>
    </w:p>
    <w:p w:rsidR="004D19BE" w:rsidRPr="00CE32C6" w:rsidRDefault="004D19BE" w:rsidP="004D19BE">
      <w:pPr>
        <w:pStyle w:val="Titre2"/>
        <w:rPr>
          <w:lang w:val="fr-FR"/>
        </w:rPr>
      </w:pPr>
      <w:bookmarkStart w:id="1" w:name="_Toc209186006"/>
      <w:r w:rsidRPr="00CE32C6">
        <w:rPr>
          <w:lang w:val="fr-FR"/>
        </w:rPr>
        <w:t>Objectifs du projet</w:t>
      </w:r>
      <w:bookmarkEnd w:id="1"/>
      <w:r w:rsidRPr="00CE32C6">
        <w:rPr>
          <w:lang w:val="fr-FR"/>
        </w:rPr>
        <w:t xml:space="preserve"> </w:t>
      </w:r>
    </w:p>
    <w:p w:rsidR="004D19BE" w:rsidRPr="00CE32C6" w:rsidRDefault="004D19BE" w:rsidP="004D19BE">
      <w:pPr>
        <w:rPr>
          <w:lang w:val="fr-FR"/>
        </w:rPr>
      </w:pPr>
    </w:p>
    <w:p w:rsidR="004D19BE" w:rsidRPr="00CE32C6" w:rsidRDefault="004D19BE" w:rsidP="004D19BE">
      <w:pPr>
        <w:pStyle w:val="Titre3"/>
        <w:rPr>
          <w:lang w:val="fr-FR"/>
        </w:rPr>
      </w:pPr>
      <w:bookmarkStart w:id="2" w:name="_Toc202882276"/>
      <w:bookmarkStart w:id="3" w:name="_Toc204328332"/>
      <w:bookmarkStart w:id="4" w:name="_Toc206595893"/>
      <w:bookmarkStart w:id="5" w:name="_Toc209186007"/>
      <w:r w:rsidRPr="00CE32C6">
        <w:rPr>
          <w:lang w:val="fr-FR"/>
        </w:rPr>
        <w:t>Objectif global</w:t>
      </w:r>
      <w:bookmarkEnd w:id="2"/>
      <w:bookmarkEnd w:id="3"/>
      <w:bookmarkEnd w:id="4"/>
      <w:bookmarkEnd w:id="5"/>
      <w:r w:rsidRPr="00CE32C6">
        <w:rPr>
          <w:lang w:val="fr-FR"/>
        </w:rPr>
        <w:t xml:space="preserve"> </w:t>
      </w:r>
    </w:p>
    <w:p w:rsidR="004D19BE" w:rsidRPr="00CE32C6" w:rsidRDefault="004D19BE" w:rsidP="004D19BE">
      <w:pPr>
        <w:rPr>
          <w:lang w:val="fr-FR"/>
        </w:rPr>
      </w:pPr>
    </w:p>
    <w:p w:rsidR="004D19BE" w:rsidRPr="00CE32C6" w:rsidRDefault="004D19BE" w:rsidP="004D19BE">
      <w:pPr>
        <w:jc w:val="both"/>
        <w:rPr>
          <w:rFonts w:ascii="Calibri" w:eastAsia="Calibri" w:hAnsi="Calibri" w:cs="Calibri"/>
          <w:lang w:val="fr-FR"/>
        </w:rPr>
      </w:pPr>
      <w:r w:rsidRPr="00CE32C6">
        <w:rPr>
          <w:rFonts w:ascii="Calibri" w:eastAsia="Calibri" w:hAnsi="Calibri" w:cs="Calibri"/>
          <w:lang w:val="fr-FR"/>
        </w:rPr>
        <w:t>Les activités mises en œuvre par Expertise France contribueront à l’établissement et à la structuration d’un cadre juridique pour le développement d’une gouvernance numérique durable et centrée sur l’humain et de l’économie numérique au Cambodge. Il s’appuiera sur l’expérience française et européenne dans le domaine de la protection des données personnelles, ainsi que sur les sujets couverts par la loi sur les technologies de l’information et de la communication (loi TIC) et l’e-gouvernement. Il sera également adapté à l’écosystème cambodgien.</w:t>
      </w:r>
    </w:p>
    <w:p w:rsidR="004D19BE" w:rsidRPr="00CE32C6" w:rsidRDefault="004D19BE" w:rsidP="004D19BE">
      <w:pPr>
        <w:jc w:val="both"/>
        <w:rPr>
          <w:rFonts w:ascii="Calibri" w:eastAsia="Calibri" w:hAnsi="Calibri" w:cs="Calibri"/>
          <w:lang w:val="fr-FR"/>
        </w:rPr>
      </w:pPr>
      <w:r w:rsidRPr="00CE32C6">
        <w:rPr>
          <w:rFonts w:ascii="Calibri" w:eastAsia="Calibri" w:hAnsi="Calibri" w:cs="Calibri"/>
          <w:lang w:val="fr-FR"/>
        </w:rPr>
        <w:t>Cela contribuera à l’établissement et à la structuration d’un cadre juridique pour le développement d’un gouvernement numérique centré sur l’humain et de l’économie numérique au Cambodge.</w:t>
      </w:r>
    </w:p>
    <w:p w:rsidR="004D19BE" w:rsidRPr="00CE32C6" w:rsidRDefault="004D19BE" w:rsidP="004D19BE">
      <w:pPr>
        <w:jc w:val="both"/>
        <w:rPr>
          <w:rFonts w:ascii="Calibri" w:eastAsia="Calibri" w:hAnsi="Calibri" w:cs="Calibri"/>
          <w:lang w:val="fr-FR"/>
        </w:rPr>
      </w:pPr>
      <w:r w:rsidRPr="00CE32C6">
        <w:rPr>
          <w:rFonts w:ascii="Calibri" w:eastAsia="Calibri" w:hAnsi="Calibri" w:cs="Calibri"/>
          <w:lang w:val="fr-FR"/>
        </w:rPr>
        <w:t>Expertise France coordonnera le mécanisme de coopération opérationnelle, réunissant divers experts publics et privés français.</w:t>
      </w:r>
    </w:p>
    <w:p w:rsidR="004D19BE" w:rsidRPr="00CE32C6" w:rsidRDefault="004D19BE" w:rsidP="004D19BE">
      <w:pPr>
        <w:jc w:val="both"/>
        <w:rPr>
          <w:rFonts w:ascii="Calibri" w:eastAsia="Calibri" w:hAnsi="Calibri" w:cs="Calibri"/>
          <w:lang w:val="fr-FR"/>
        </w:rPr>
      </w:pPr>
      <w:r w:rsidRPr="00CE32C6">
        <w:rPr>
          <w:rFonts w:ascii="Calibri" w:eastAsia="Calibri" w:hAnsi="Calibri" w:cs="Calibri"/>
          <w:lang w:val="fr-FR"/>
        </w:rPr>
        <w:t>Ce soutien permettra d’élaborer ou de finaliser les lois suivantes :</w:t>
      </w:r>
    </w:p>
    <w:p w:rsidR="004D19BE" w:rsidRPr="00CE32C6" w:rsidRDefault="004D19BE" w:rsidP="004D19BE">
      <w:pPr>
        <w:pStyle w:val="Paragraphedeliste"/>
        <w:numPr>
          <w:ilvl w:val="0"/>
          <w:numId w:val="5"/>
        </w:numPr>
        <w:jc w:val="both"/>
        <w:rPr>
          <w:rFonts w:ascii="Calibri" w:eastAsia="Calibri" w:hAnsi="Calibri" w:cs="Calibri"/>
          <w:lang w:val="fr-FR"/>
        </w:rPr>
      </w:pPr>
      <w:r w:rsidRPr="00CE32C6">
        <w:rPr>
          <w:rFonts w:ascii="Calibri" w:eastAsia="Calibri" w:hAnsi="Calibri" w:cs="Calibri"/>
          <w:lang w:val="fr-FR"/>
        </w:rPr>
        <w:t>Finalisation et mise en œuvre de la loi sur la protection des données</w:t>
      </w:r>
    </w:p>
    <w:p w:rsidR="004D19BE" w:rsidRPr="00CE32C6" w:rsidRDefault="004D19BE" w:rsidP="004D19BE">
      <w:pPr>
        <w:jc w:val="both"/>
        <w:rPr>
          <w:rFonts w:ascii="Calibri" w:eastAsia="Calibri" w:hAnsi="Calibri" w:cs="Calibri"/>
          <w:lang w:val="fr-FR"/>
        </w:rPr>
      </w:pPr>
      <w:r w:rsidRPr="00CE32C6">
        <w:rPr>
          <w:rFonts w:ascii="Calibri" w:eastAsia="Calibri" w:hAnsi="Calibri" w:cs="Calibri"/>
          <w:lang w:val="fr-FR"/>
        </w:rPr>
        <w:t>En plus d’adapter le texte pour couvrir les traitements du secteur public qui ne sont pas actuellement inclus, les principales activités se concentreront sur l’évaluation de l’impact réglementaire (RIA) et la mise en œuvre opérationnelle de la loi. Cela inclura le soutien à la rédaction de l’AIR pour la loi sur la protection des données personnelles, ainsi que l’élaboration d’un plan d’action et de lignes directrices éducatives et pratiques pour faciliter son application.</w:t>
      </w:r>
    </w:p>
    <w:p w:rsidR="004D19BE" w:rsidRPr="00CE32C6" w:rsidRDefault="004D19BE" w:rsidP="004D19BE">
      <w:pPr>
        <w:jc w:val="both"/>
        <w:rPr>
          <w:rFonts w:ascii="Calibri" w:eastAsia="Calibri" w:hAnsi="Calibri" w:cs="Calibri"/>
          <w:lang w:val="fr-FR"/>
        </w:rPr>
      </w:pPr>
      <w:r w:rsidRPr="00CE32C6">
        <w:rPr>
          <w:rFonts w:ascii="Calibri" w:eastAsia="Calibri" w:hAnsi="Calibri" w:cs="Calibri"/>
          <w:lang w:val="fr-FR"/>
        </w:rPr>
        <w:t>Cela sera réalisé grâce au partage de connaissances entre pairs avec le DINUM et des experts du secteur privé qui ont une vaste expérience en méthodologie, analyse et contrôle. Cela garantira que la mise en œuvre de ce nouveau cadre est intensifiée par l’acculturation et la sensibilisation de toutes les parties prenantes (autorités de surveillance, délégués à la protection des données personnelles et entreprises), ainsi que le développement d’outils tels que des modèles de registre de traitement et des évaluations d’impact sur la vie privée et les libertés individuelles. Des activités de sensibilisation ciblant divers acteurs publics et privés seront incluses, ainsi que l’organisation de sessions de formation pour le secteur privé.</w:t>
      </w:r>
    </w:p>
    <w:p w:rsidR="004D19BE" w:rsidRPr="00CE32C6" w:rsidRDefault="004D19BE" w:rsidP="004D19BE">
      <w:pPr>
        <w:pStyle w:val="Paragraphedeliste"/>
        <w:numPr>
          <w:ilvl w:val="0"/>
          <w:numId w:val="5"/>
        </w:numPr>
        <w:jc w:val="both"/>
        <w:rPr>
          <w:rFonts w:ascii="Calibri" w:eastAsia="Calibri" w:hAnsi="Calibri" w:cs="Calibri"/>
          <w:lang w:val="fr-FR"/>
        </w:rPr>
      </w:pPr>
      <w:r w:rsidRPr="00CE32C6">
        <w:rPr>
          <w:rFonts w:ascii="Calibri" w:eastAsia="Calibri" w:hAnsi="Calibri" w:cs="Calibri"/>
          <w:lang w:val="fr-FR"/>
        </w:rPr>
        <w:t>Rédaction de la loi sur les technologies de l’information et de la communication (loi TIC)</w:t>
      </w:r>
    </w:p>
    <w:p w:rsidR="004D19BE" w:rsidRPr="00CE32C6" w:rsidRDefault="004D19BE" w:rsidP="004D19BE">
      <w:pPr>
        <w:jc w:val="both"/>
        <w:rPr>
          <w:rFonts w:ascii="Calibri" w:eastAsia="Calibri" w:hAnsi="Calibri" w:cs="Calibri"/>
          <w:lang w:val="fr-FR"/>
        </w:rPr>
      </w:pPr>
      <w:r w:rsidRPr="00CE32C6">
        <w:rPr>
          <w:rFonts w:ascii="Calibri" w:eastAsia="Calibri" w:hAnsi="Calibri" w:cs="Calibri"/>
          <w:lang w:val="fr-FR"/>
        </w:rPr>
        <w:t>Bien que le texte identifie clairement les sujets à couvrir, le travail de rédaction n’est pas encore finalisé. Selon un champ d’application qui n’a pas encore été défini, son adoption nécessitera de nombreux mois de travail supplémentaires, ce qui le rendra irréalisable avant 2026.</w:t>
      </w:r>
    </w:p>
    <w:p w:rsidR="004D19BE" w:rsidRPr="00CE32C6" w:rsidRDefault="004D19BE" w:rsidP="004D19BE">
      <w:pPr>
        <w:jc w:val="both"/>
        <w:rPr>
          <w:rFonts w:ascii="Calibri" w:eastAsia="Calibri" w:hAnsi="Calibri" w:cs="Calibri"/>
          <w:lang w:val="fr-FR"/>
        </w:rPr>
      </w:pPr>
      <w:r w:rsidRPr="00CE32C6">
        <w:rPr>
          <w:rFonts w:ascii="Calibri" w:eastAsia="Calibri" w:hAnsi="Calibri" w:cs="Calibri"/>
          <w:lang w:val="fr-FR"/>
        </w:rPr>
        <w:lastRenderedPageBreak/>
        <w:t>Bien que les sujets que la loi sur les TIC vise à couvrir puissent, en principe, être abordés dans un seul texte, l’étendue du domaine et la diversité des sujets rendent difficile l’adoption rapide d’un tel projet de loi. Le cadre français pour les relations entre le public et le gouvernement est un bon exemple de droit centralisé et de cadres juridiques clairs liés à la technologie numérique publique.</w:t>
      </w:r>
    </w:p>
    <w:p w:rsidR="004D19BE" w:rsidRPr="00CE32C6" w:rsidRDefault="004D19BE" w:rsidP="004D19BE">
      <w:pPr>
        <w:jc w:val="both"/>
        <w:rPr>
          <w:rFonts w:ascii="Calibri" w:eastAsia="Calibri" w:hAnsi="Calibri" w:cs="Calibri"/>
          <w:lang w:val="fr-FR"/>
        </w:rPr>
      </w:pPr>
      <w:r w:rsidRPr="00CE32C6">
        <w:rPr>
          <w:rFonts w:ascii="Calibri" w:eastAsia="Calibri" w:hAnsi="Calibri" w:cs="Calibri"/>
          <w:lang w:val="fr-FR"/>
        </w:rPr>
        <w:t xml:space="preserve">La possibilité d’aborder les différents domaines de manière modulaire (par exemple, la </w:t>
      </w:r>
      <w:proofErr w:type="spellStart"/>
      <w:r w:rsidRPr="00CE32C6">
        <w:rPr>
          <w:rFonts w:ascii="Calibri" w:eastAsia="Calibri" w:hAnsi="Calibri" w:cs="Calibri"/>
          <w:lang w:val="fr-FR"/>
        </w:rPr>
        <w:t>cybersécurité</w:t>
      </w:r>
      <w:proofErr w:type="spellEnd"/>
      <w:r w:rsidRPr="00CE32C6">
        <w:rPr>
          <w:rFonts w:ascii="Calibri" w:eastAsia="Calibri" w:hAnsi="Calibri" w:cs="Calibri"/>
          <w:lang w:val="fr-FR"/>
        </w:rPr>
        <w:t xml:space="preserve">), chaque sujet étant couvert par un texte spécifique tout en conservant une vision globale, est envisagée. Cette approche est similaire à la stratégie pour le marché unique numérique de l’UE et aux réglementations numériques européennes (par exemple, la loi sur les services numériques, la loi sur le marché numérique, la loi sur la </w:t>
      </w:r>
      <w:proofErr w:type="spellStart"/>
      <w:r w:rsidRPr="00CE32C6">
        <w:rPr>
          <w:rFonts w:ascii="Calibri" w:eastAsia="Calibri" w:hAnsi="Calibri" w:cs="Calibri"/>
          <w:lang w:val="fr-FR"/>
        </w:rPr>
        <w:t>cybersécurité</w:t>
      </w:r>
      <w:proofErr w:type="spellEnd"/>
      <w:r w:rsidRPr="00CE32C6">
        <w:rPr>
          <w:rFonts w:ascii="Calibri" w:eastAsia="Calibri" w:hAnsi="Calibri" w:cs="Calibri"/>
          <w:lang w:val="fr-FR"/>
        </w:rPr>
        <w:t>, la loi sur les données) est envisagé comme un ensemble cohérent de plusieurs textes conçus pour stimuler la croissance économique par l’emploi, la concurrence, l’investissement et l’innovation. La protection des données personnelles, les libertés individuelles et la souveraineté numérique du Cambodge sont également des considérations clés.</w:t>
      </w:r>
    </w:p>
    <w:p w:rsidR="004D19BE" w:rsidRPr="00CE32C6" w:rsidRDefault="004D19BE" w:rsidP="004D19BE">
      <w:pPr>
        <w:jc w:val="both"/>
        <w:rPr>
          <w:rFonts w:ascii="Calibri" w:eastAsia="Calibri" w:hAnsi="Calibri" w:cs="Calibri"/>
          <w:lang w:val="fr-FR"/>
        </w:rPr>
      </w:pPr>
      <w:r w:rsidRPr="00CE32C6">
        <w:rPr>
          <w:rFonts w:ascii="Calibri" w:eastAsia="Calibri" w:hAnsi="Calibri" w:cs="Calibri"/>
          <w:lang w:val="fr-FR"/>
        </w:rPr>
        <w:t>Cette approche, présentée lors de la mission de novembre 2024, a rencontré un vif intérêt de la part du MPTC et permettra d’adapter les travaux et de gérer les priorités attendues. Les activités prévues consisteront à soutenir le MPTC dans la mise en œuvre de cette approche et à fournir un soutien ciblé adapté à ses besoins.</w:t>
      </w:r>
    </w:p>
    <w:p w:rsidR="004D19BE" w:rsidRPr="00CE32C6" w:rsidRDefault="004D19BE" w:rsidP="004D19BE">
      <w:pPr>
        <w:jc w:val="both"/>
        <w:rPr>
          <w:rFonts w:ascii="Calibri" w:eastAsia="Calibri" w:hAnsi="Calibri" w:cs="Calibri"/>
          <w:lang w:val="fr-FR"/>
        </w:rPr>
      </w:pPr>
      <w:r w:rsidRPr="00CE32C6">
        <w:rPr>
          <w:rFonts w:ascii="Calibri" w:eastAsia="Calibri" w:hAnsi="Calibri" w:cs="Calibri"/>
          <w:lang w:val="fr-FR"/>
        </w:rPr>
        <w:t xml:space="preserve">De plus, compte tenu des travaux importants réalisés dans le cadre de la contribution japonaise au projet de résilience en matière de </w:t>
      </w:r>
      <w:proofErr w:type="spellStart"/>
      <w:r w:rsidRPr="00CE32C6">
        <w:rPr>
          <w:rFonts w:ascii="Calibri" w:eastAsia="Calibri" w:hAnsi="Calibri" w:cs="Calibri"/>
          <w:lang w:val="fr-FR"/>
        </w:rPr>
        <w:t>cybersécurité</w:t>
      </w:r>
      <w:proofErr w:type="spellEnd"/>
      <w:r w:rsidRPr="00CE32C6">
        <w:rPr>
          <w:rFonts w:ascii="Calibri" w:eastAsia="Calibri" w:hAnsi="Calibri" w:cs="Calibri"/>
          <w:lang w:val="fr-FR"/>
        </w:rPr>
        <w:t xml:space="preserve"> (mai 2023–octobre 2026), qui comprend des activités de renforcement des capacités et un soutien technique pour le projet de loi sur la </w:t>
      </w:r>
      <w:proofErr w:type="spellStart"/>
      <w:r w:rsidRPr="00CE32C6">
        <w:rPr>
          <w:rFonts w:ascii="Calibri" w:eastAsia="Calibri" w:hAnsi="Calibri" w:cs="Calibri"/>
          <w:lang w:val="fr-FR"/>
        </w:rPr>
        <w:t>cybersécurité</w:t>
      </w:r>
      <w:proofErr w:type="spellEnd"/>
      <w:r w:rsidRPr="00CE32C6">
        <w:rPr>
          <w:rFonts w:ascii="Calibri" w:eastAsia="Calibri" w:hAnsi="Calibri" w:cs="Calibri"/>
          <w:lang w:val="fr-FR"/>
        </w:rPr>
        <w:t xml:space="preserve"> actuellement en attente d’approbation, une coordination étroite avec la JICA est prévue. Dans ce contexte, des discussions initiales ont été entamées avec leurs experts. Par ailleurs, l’étude de faisabilité du projet CKH1276 comprend une évaluation du projet de loi susmentionné et des mesures de </w:t>
      </w:r>
      <w:proofErr w:type="spellStart"/>
      <w:r w:rsidRPr="00CE32C6">
        <w:rPr>
          <w:rFonts w:ascii="Calibri" w:eastAsia="Calibri" w:hAnsi="Calibri" w:cs="Calibri"/>
          <w:lang w:val="fr-FR"/>
        </w:rPr>
        <w:t>cybersécurité</w:t>
      </w:r>
      <w:proofErr w:type="spellEnd"/>
      <w:r w:rsidRPr="00CE32C6">
        <w:rPr>
          <w:rFonts w:ascii="Calibri" w:eastAsia="Calibri" w:hAnsi="Calibri" w:cs="Calibri"/>
          <w:lang w:val="fr-FR"/>
        </w:rPr>
        <w:t xml:space="preserve"> à mettre en place pour sauvegarder les infrastructures et services qui seront déployés dans le cadre de ce projet.</w:t>
      </w:r>
    </w:p>
    <w:p w:rsidR="004D19BE" w:rsidRPr="00CE32C6" w:rsidRDefault="004D19BE" w:rsidP="004D19BE">
      <w:pPr>
        <w:pStyle w:val="Paragraphedeliste"/>
        <w:numPr>
          <w:ilvl w:val="0"/>
          <w:numId w:val="5"/>
        </w:numPr>
        <w:jc w:val="both"/>
        <w:rPr>
          <w:rFonts w:ascii="Calibri" w:eastAsia="Calibri" w:hAnsi="Calibri" w:cs="Calibri"/>
          <w:lang w:val="fr-FR"/>
        </w:rPr>
      </w:pPr>
      <w:r w:rsidRPr="00CE32C6">
        <w:rPr>
          <w:rFonts w:ascii="Calibri" w:eastAsia="Calibri" w:hAnsi="Calibri" w:cs="Calibri"/>
          <w:lang w:val="fr-FR"/>
        </w:rPr>
        <w:t>Elaboration du cadre juridique et stratégique propre à la loi numérique gouvernementale</w:t>
      </w:r>
    </w:p>
    <w:p w:rsidR="004D19BE" w:rsidRPr="00CE32C6" w:rsidRDefault="004D19BE" w:rsidP="004D19BE">
      <w:pPr>
        <w:jc w:val="both"/>
        <w:rPr>
          <w:rFonts w:ascii="Calibri" w:eastAsia="Calibri" w:hAnsi="Calibri" w:cs="Calibri"/>
          <w:color w:val="262626"/>
          <w:lang w:val="fr-FR"/>
        </w:rPr>
      </w:pPr>
      <w:bookmarkStart w:id="6" w:name="_Toc202882277"/>
      <w:bookmarkStart w:id="7" w:name="_Toc204328333"/>
      <w:bookmarkStart w:id="8" w:name="_Toc205894166"/>
      <w:bookmarkStart w:id="9" w:name="_Toc206595894"/>
      <w:r w:rsidRPr="00CE32C6">
        <w:rPr>
          <w:rFonts w:ascii="Calibri" w:eastAsia="Calibri" w:hAnsi="Calibri" w:cs="Calibri"/>
          <w:color w:val="262626"/>
          <w:lang w:val="fr-FR"/>
        </w:rPr>
        <w:t>Parallèlement au développement en cours du projet de loi sur le gouvernement numérique, soutenu par des experts coréens, les efforts se concentreront sur l’aide à la partie cambodgienne pour construire un cadre juridique dans le champ d’application défini par le MPTC. Ce cadre soutiendra la création d’une politique et d’une stratégie globales sur la gestion des données personnelles et ses applications, soutenues par des mécanismes de gouvernance appropriés. Les objectifs généraux sont de simplifier et d’améliorer la vie des citoyens et des entreprises, d’améliorer le rendement du gouvernement et la prise de décision, ainsi que de favoriser l’innovation et la création de richesse. À ce stade, le MPTC a identifié trois domaines prioritaires : la gouvernance des données, l’interopérabilité et l’informatique en nuage. De plus, il est essentiel d’aller au-delà des initiatives pilotes et d’institutionnaliser l’inclusion numérique en tant qu’élément fondamental de la politique publique.</w:t>
      </w:r>
      <w:bookmarkEnd w:id="6"/>
      <w:bookmarkEnd w:id="7"/>
      <w:bookmarkEnd w:id="8"/>
      <w:bookmarkEnd w:id="9"/>
    </w:p>
    <w:p w:rsidR="004D19BE" w:rsidRPr="00CE32C6" w:rsidRDefault="004D19BE" w:rsidP="004D19BE">
      <w:pPr>
        <w:pStyle w:val="Titre3"/>
        <w:rPr>
          <w:lang w:val="fr-FR"/>
        </w:rPr>
      </w:pPr>
      <w:bookmarkStart w:id="10" w:name="_Toc202882278"/>
      <w:bookmarkStart w:id="11" w:name="_Toc204328334"/>
      <w:bookmarkStart w:id="12" w:name="_Toc205894167"/>
      <w:bookmarkStart w:id="13" w:name="_Toc206595895"/>
      <w:bookmarkStart w:id="14" w:name="_Toc209186008"/>
      <w:r w:rsidRPr="00CE32C6">
        <w:rPr>
          <w:lang w:val="fr-FR"/>
        </w:rPr>
        <w:t>Objectifs spécifiques</w:t>
      </w:r>
      <w:bookmarkEnd w:id="10"/>
      <w:bookmarkEnd w:id="11"/>
      <w:bookmarkEnd w:id="12"/>
      <w:bookmarkEnd w:id="13"/>
      <w:bookmarkEnd w:id="14"/>
    </w:p>
    <w:p w:rsidR="004D19BE" w:rsidRPr="00CE32C6" w:rsidRDefault="004D19BE" w:rsidP="004D19BE">
      <w:pPr>
        <w:pStyle w:val="Titre3"/>
        <w:ind w:left="0"/>
        <w:rPr>
          <w:rFonts w:ascii="Cambria" w:eastAsia="Cambria" w:hAnsi="Cambria"/>
          <w:b w:val="0"/>
          <w:color w:val="auto"/>
          <w:szCs w:val="24"/>
          <w:shd w:val="clear" w:color="auto" w:fill="auto"/>
          <w:lang w:val="fr-FR"/>
        </w:rPr>
      </w:pPr>
    </w:p>
    <w:p w:rsidR="004D19BE" w:rsidRPr="00CE32C6" w:rsidRDefault="004D19BE" w:rsidP="004D19BE">
      <w:pPr>
        <w:jc w:val="both"/>
        <w:rPr>
          <w:rFonts w:ascii="Calibri" w:eastAsia="Calibri" w:hAnsi="Calibri" w:cs="Calibri"/>
          <w:color w:val="262626"/>
          <w:lang w:val="fr-FR"/>
        </w:rPr>
      </w:pPr>
      <w:bookmarkStart w:id="15" w:name="_Toc202882279"/>
      <w:bookmarkStart w:id="16" w:name="_Toc204328335"/>
      <w:bookmarkStart w:id="17" w:name="_Toc205894168"/>
      <w:bookmarkStart w:id="18" w:name="_Toc206595896"/>
      <w:r w:rsidRPr="00CE32C6">
        <w:rPr>
          <w:rFonts w:ascii="Calibri" w:eastAsia="Calibri" w:hAnsi="Calibri" w:cs="Calibri"/>
          <w:color w:val="262626"/>
          <w:lang w:val="fr-FR"/>
        </w:rPr>
        <w:t>En collaboration avec le secteur privé, les structures (MPTC et MEF ou autres ministères) adopteront et s’approprieront la mise en œuvre du cadre réglementaire de protection des données, accélérer l’adoption de la législation TIC grâce à une méthodologie de rédaction basée sur l’expérience de la France et de l’Europe, et renforcer le cadre juridique et stratégique pour le développement du gouvernement numérique.</w:t>
      </w:r>
      <w:bookmarkEnd w:id="15"/>
      <w:bookmarkEnd w:id="16"/>
      <w:bookmarkEnd w:id="17"/>
      <w:bookmarkEnd w:id="18"/>
    </w:p>
    <w:p w:rsidR="004D19BE" w:rsidRPr="00CE32C6" w:rsidRDefault="004D19BE" w:rsidP="004D19BE">
      <w:pPr>
        <w:pStyle w:val="Titre3"/>
        <w:rPr>
          <w:lang w:val="fr-FR"/>
        </w:rPr>
      </w:pPr>
      <w:bookmarkStart w:id="19" w:name="_Toc202882280"/>
      <w:bookmarkStart w:id="20" w:name="_Toc204328336"/>
      <w:bookmarkStart w:id="21" w:name="_Toc205894169"/>
      <w:bookmarkStart w:id="22" w:name="_Toc206595897"/>
      <w:bookmarkStart w:id="23" w:name="_Toc209186009"/>
      <w:r w:rsidRPr="00CE32C6">
        <w:rPr>
          <w:lang w:val="fr-FR"/>
        </w:rPr>
        <w:t>Composantes/Extrants du projet</w:t>
      </w:r>
      <w:bookmarkEnd w:id="19"/>
      <w:bookmarkEnd w:id="20"/>
      <w:bookmarkEnd w:id="21"/>
      <w:bookmarkEnd w:id="22"/>
      <w:bookmarkEnd w:id="23"/>
    </w:p>
    <w:p w:rsidR="004D19BE" w:rsidRPr="00CE32C6" w:rsidRDefault="004D19BE" w:rsidP="004D19BE">
      <w:pPr>
        <w:spacing w:before="280" w:after="280"/>
        <w:rPr>
          <w:rFonts w:ascii="Calibri" w:eastAsia="Calibri" w:hAnsi="Calibri" w:cs="Calibri"/>
          <w:lang w:val="fr-FR"/>
        </w:rPr>
      </w:pPr>
      <w:r w:rsidRPr="00CE32C6">
        <w:rPr>
          <w:rFonts w:ascii="Calibri" w:eastAsia="Calibri" w:hAnsi="Calibri" w:cs="Calibri"/>
          <w:lang w:val="fr-FR"/>
        </w:rPr>
        <w:t>Trois composants/produits seront développés :</w:t>
      </w:r>
    </w:p>
    <w:p w:rsidR="004D19BE" w:rsidRPr="00CE32C6" w:rsidRDefault="004D19BE" w:rsidP="004D19BE">
      <w:pPr>
        <w:numPr>
          <w:ilvl w:val="0"/>
          <w:numId w:val="1"/>
        </w:numPr>
        <w:spacing w:before="280"/>
        <w:jc w:val="both"/>
        <w:rPr>
          <w:rFonts w:ascii="Calibri" w:eastAsia="Calibri" w:hAnsi="Calibri" w:cs="Calibri"/>
          <w:lang w:val="fr-FR"/>
        </w:rPr>
      </w:pPr>
      <w:r w:rsidRPr="00CE32C6">
        <w:rPr>
          <w:rFonts w:ascii="Calibri" w:eastAsia="Calibri" w:hAnsi="Calibri" w:cs="Calibri"/>
          <w:b/>
          <w:lang w:val="fr-FR"/>
        </w:rPr>
        <w:t>Composante 1 :</w:t>
      </w:r>
      <w:r w:rsidRPr="00CE32C6">
        <w:rPr>
          <w:rFonts w:ascii="Calibri" w:eastAsia="Calibri" w:hAnsi="Calibri" w:cs="Calibri"/>
          <w:lang w:val="fr-FR"/>
        </w:rPr>
        <w:t xml:space="preserve"> Finalisation et mise en œuvre de la loi sur la protection des données basée sur l’expérience française (DINUM) ; </w:t>
      </w:r>
    </w:p>
    <w:p w:rsidR="004D19BE" w:rsidRPr="00CE32C6" w:rsidRDefault="004D19BE" w:rsidP="004D19BE">
      <w:pPr>
        <w:numPr>
          <w:ilvl w:val="0"/>
          <w:numId w:val="1"/>
        </w:numPr>
        <w:spacing w:after="280"/>
        <w:jc w:val="both"/>
        <w:rPr>
          <w:rFonts w:ascii="Calibri" w:eastAsia="Calibri" w:hAnsi="Calibri" w:cs="Calibri"/>
          <w:lang w:val="fr-FR"/>
        </w:rPr>
      </w:pPr>
      <w:r w:rsidRPr="00CE32C6">
        <w:rPr>
          <w:rFonts w:ascii="Calibri" w:eastAsia="Calibri" w:hAnsi="Calibri" w:cs="Calibri"/>
          <w:b/>
          <w:lang w:val="fr-FR"/>
        </w:rPr>
        <w:t>Composante 2 :</w:t>
      </w:r>
      <w:r w:rsidRPr="00CE32C6">
        <w:rPr>
          <w:rFonts w:ascii="Calibri" w:eastAsia="Calibri" w:hAnsi="Calibri" w:cs="Calibri"/>
          <w:lang w:val="fr-FR"/>
        </w:rPr>
        <w:t xml:space="preserve"> Rédaction du projet, des décrets, des textes spécifiques et des études sur la loi sur les technologies de l’information et de la communication (Loi TIC) ;</w:t>
      </w:r>
    </w:p>
    <w:p w:rsidR="004D19BE" w:rsidRPr="00CE32C6" w:rsidRDefault="004D19BE" w:rsidP="004D19BE">
      <w:pPr>
        <w:numPr>
          <w:ilvl w:val="0"/>
          <w:numId w:val="1"/>
        </w:numPr>
        <w:spacing w:after="280"/>
        <w:jc w:val="both"/>
        <w:rPr>
          <w:rFonts w:ascii="Calibri" w:eastAsia="Calibri" w:hAnsi="Calibri" w:cs="Calibri"/>
          <w:lang w:val="fr-FR"/>
        </w:rPr>
      </w:pPr>
      <w:r w:rsidRPr="00CE32C6">
        <w:rPr>
          <w:rFonts w:ascii="Calibri" w:eastAsia="Calibri" w:hAnsi="Calibri" w:cs="Calibri"/>
          <w:b/>
          <w:lang w:val="fr-FR"/>
        </w:rPr>
        <w:t>Composante 3 :</w:t>
      </w:r>
      <w:r w:rsidRPr="00CE32C6">
        <w:rPr>
          <w:rFonts w:ascii="Calibri" w:eastAsia="Calibri" w:hAnsi="Calibri" w:cs="Calibri"/>
          <w:lang w:val="fr-FR"/>
        </w:rPr>
        <w:t xml:space="preserve"> Élaboration et opérationnalisation du cadre juridique et stratégique spécifique au développement d’un gouvernement numérique durable et centré sur l’humain.</w:t>
      </w:r>
    </w:p>
    <w:p w:rsidR="004D19BE" w:rsidRPr="00CE32C6" w:rsidRDefault="004D19BE" w:rsidP="004D19BE">
      <w:pPr>
        <w:pStyle w:val="Titre2"/>
        <w:rPr>
          <w:lang w:val="fr-FR"/>
        </w:rPr>
      </w:pPr>
      <w:bookmarkStart w:id="24" w:name="_Toc209186010"/>
      <w:r w:rsidRPr="00CE32C6">
        <w:rPr>
          <w:lang w:val="fr-FR"/>
        </w:rPr>
        <w:t>Bénéficiaires du projet</w:t>
      </w:r>
      <w:bookmarkEnd w:id="24"/>
    </w:p>
    <w:p w:rsidR="004D19BE" w:rsidRPr="00CE32C6" w:rsidRDefault="004D19BE" w:rsidP="004D19BE">
      <w:pPr>
        <w:rPr>
          <w:lang w:val="fr-FR"/>
        </w:rPr>
      </w:pPr>
    </w:p>
    <w:p w:rsidR="004D19BE" w:rsidRPr="00CE32C6" w:rsidRDefault="004D19BE" w:rsidP="004D19BE">
      <w:pPr>
        <w:tabs>
          <w:tab w:val="left" w:pos="851"/>
        </w:tabs>
        <w:spacing w:after="0"/>
        <w:jc w:val="both"/>
        <w:rPr>
          <w:rFonts w:ascii="Calibri" w:eastAsia="Calibri" w:hAnsi="Calibri" w:cs="Calibri"/>
          <w:b/>
          <w:lang w:val="fr-FR"/>
        </w:rPr>
      </w:pPr>
      <w:r w:rsidRPr="00CE32C6">
        <w:rPr>
          <w:rFonts w:ascii="Calibri" w:eastAsia="Calibri" w:hAnsi="Calibri" w:cs="Calibri"/>
          <w:b/>
          <w:lang w:val="fr-FR"/>
        </w:rPr>
        <w:t>Bénéficiaires cibles directs</w:t>
      </w:r>
    </w:p>
    <w:p w:rsidR="004D19BE" w:rsidRPr="00CE32C6" w:rsidRDefault="004D19BE" w:rsidP="004D19BE">
      <w:pPr>
        <w:numPr>
          <w:ilvl w:val="0"/>
          <w:numId w:val="2"/>
        </w:numPr>
        <w:pBdr>
          <w:top w:val="nil"/>
          <w:left w:val="nil"/>
          <w:bottom w:val="nil"/>
          <w:right w:val="nil"/>
          <w:between w:val="nil"/>
        </w:pBdr>
        <w:tabs>
          <w:tab w:val="left" w:pos="851"/>
        </w:tabs>
        <w:spacing w:after="0"/>
        <w:jc w:val="both"/>
        <w:rPr>
          <w:rFonts w:ascii="Calibri" w:eastAsia="Calibri" w:hAnsi="Calibri" w:cs="Calibri"/>
          <w:color w:val="000000"/>
          <w:lang w:val="fr-FR"/>
        </w:rPr>
      </w:pPr>
      <w:r w:rsidRPr="00CE32C6">
        <w:rPr>
          <w:rFonts w:ascii="Calibri" w:eastAsia="Calibri" w:hAnsi="Calibri" w:cs="Calibri"/>
          <w:color w:val="000000"/>
          <w:lang w:val="fr-FR"/>
        </w:rPr>
        <w:t xml:space="preserve">MPTC, The Digital </w:t>
      </w:r>
      <w:proofErr w:type="spellStart"/>
      <w:r w:rsidRPr="00CE32C6">
        <w:rPr>
          <w:rFonts w:ascii="Calibri" w:eastAsia="Calibri" w:hAnsi="Calibri" w:cs="Calibri"/>
          <w:color w:val="000000"/>
          <w:lang w:val="fr-FR"/>
        </w:rPr>
        <w:t>Government</w:t>
      </w:r>
      <w:proofErr w:type="spellEnd"/>
      <w:r w:rsidRPr="00CE32C6">
        <w:rPr>
          <w:rFonts w:ascii="Calibri" w:eastAsia="Calibri" w:hAnsi="Calibri" w:cs="Calibri"/>
          <w:color w:val="000000"/>
          <w:lang w:val="fr-FR"/>
        </w:rPr>
        <w:t xml:space="preserve"> </w:t>
      </w:r>
      <w:proofErr w:type="spellStart"/>
      <w:r w:rsidRPr="00CE32C6">
        <w:rPr>
          <w:rFonts w:ascii="Calibri" w:eastAsia="Calibri" w:hAnsi="Calibri" w:cs="Calibri"/>
          <w:color w:val="000000"/>
          <w:lang w:val="fr-FR"/>
        </w:rPr>
        <w:t>Committee</w:t>
      </w:r>
      <w:proofErr w:type="spellEnd"/>
      <w:r w:rsidRPr="00CE32C6">
        <w:rPr>
          <w:rFonts w:ascii="Calibri" w:eastAsia="Calibri" w:hAnsi="Calibri" w:cs="Calibri"/>
          <w:color w:val="000000"/>
          <w:lang w:val="fr-FR"/>
        </w:rPr>
        <w:t xml:space="preserve"> (DGC), MEF et acteurs privés.</w:t>
      </w:r>
    </w:p>
    <w:p w:rsidR="004D19BE" w:rsidRPr="00CE32C6" w:rsidRDefault="004D19BE" w:rsidP="004D19BE">
      <w:pPr>
        <w:tabs>
          <w:tab w:val="left" w:pos="851"/>
        </w:tabs>
        <w:spacing w:after="0"/>
        <w:jc w:val="both"/>
        <w:rPr>
          <w:rFonts w:ascii="Calibri" w:eastAsia="Calibri" w:hAnsi="Calibri" w:cs="Calibri"/>
          <w:lang w:val="fr-FR"/>
        </w:rPr>
      </w:pPr>
    </w:p>
    <w:p w:rsidR="004D19BE" w:rsidRPr="00CE32C6" w:rsidRDefault="004D19BE" w:rsidP="004D19BE">
      <w:pPr>
        <w:tabs>
          <w:tab w:val="left" w:pos="851"/>
        </w:tabs>
        <w:spacing w:after="0"/>
        <w:jc w:val="both"/>
        <w:rPr>
          <w:rFonts w:ascii="Calibri" w:eastAsia="Calibri" w:hAnsi="Calibri" w:cs="Calibri"/>
          <w:b/>
          <w:lang w:val="fr-FR"/>
        </w:rPr>
      </w:pPr>
      <w:r w:rsidRPr="00CE32C6">
        <w:rPr>
          <w:rFonts w:ascii="Calibri" w:eastAsia="Calibri" w:hAnsi="Calibri" w:cs="Calibri"/>
          <w:b/>
          <w:lang w:val="fr-FR"/>
        </w:rPr>
        <w:t xml:space="preserve">Bénéficiaires indirects </w:t>
      </w:r>
    </w:p>
    <w:p w:rsidR="004D19BE" w:rsidRPr="00CE32C6" w:rsidRDefault="004D19BE" w:rsidP="004D19BE">
      <w:pPr>
        <w:numPr>
          <w:ilvl w:val="0"/>
          <w:numId w:val="2"/>
        </w:numPr>
        <w:pBdr>
          <w:top w:val="nil"/>
          <w:left w:val="nil"/>
          <w:bottom w:val="nil"/>
          <w:right w:val="nil"/>
          <w:between w:val="nil"/>
        </w:pBdr>
        <w:tabs>
          <w:tab w:val="left" w:pos="851"/>
        </w:tabs>
        <w:spacing w:after="0"/>
        <w:jc w:val="both"/>
        <w:rPr>
          <w:rFonts w:ascii="Calibri" w:eastAsia="Calibri" w:hAnsi="Calibri" w:cs="Calibri"/>
          <w:color w:val="000000"/>
          <w:lang w:val="fr-FR"/>
        </w:rPr>
      </w:pPr>
      <w:r w:rsidRPr="00CE32C6">
        <w:rPr>
          <w:rFonts w:ascii="Calibri" w:eastAsia="Calibri" w:hAnsi="Calibri" w:cs="Calibri"/>
          <w:color w:val="000000"/>
          <w:lang w:val="fr-FR"/>
        </w:rPr>
        <w:t>Tous les fonctionnaires qui bénéficieront d’une formation sur ces lois ;</w:t>
      </w:r>
    </w:p>
    <w:p w:rsidR="004D19BE" w:rsidRPr="00CE32C6" w:rsidRDefault="004D19BE" w:rsidP="004D19BE">
      <w:pPr>
        <w:spacing w:after="0" w:line="276" w:lineRule="auto"/>
        <w:jc w:val="both"/>
        <w:rPr>
          <w:rFonts w:ascii="Calibri" w:eastAsia="Calibri" w:hAnsi="Calibri" w:cs="Calibri"/>
          <w:color w:val="262626"/>
          <w:lang w:val="fr-FR"/>
        </w:rPr>
      </w:pPr>
    </w:p>
    <w:p w:rsidR="004D19BE" w:rsidRPr="00CE32C6" w:rsidRDefault="004D19BE" w:rsidP="004D19BE">
      <w:pPr>
        <w:pStyle w:val="Titre2"/>
        <w:rPr>
          <w:lang w:val="fr-FR"/>
        </w:rPr>
      </w:pPr>
      <w:bookmarkStart w:id="25" w:name="_Toc209186011"/>
      <w:r w:rsidRPr="00CE32C6">
        <w:rPr>
          <w:lang w:val="fr-FR"/>
        </w:rPr>
        <w:t>Phase de lancement</w:t>
      </w:r>
      <w:bookmarkEnd w:id="25"/>
    </w:p>
    <w:p w:rsidR="004D19BE" w:rsidRPr="00CE32C6" w:rsidRDefault="004D19BE" w:rsidP="004D19BE">
      <w:pPr>
        <w:widowControl w:val="0"/>
        <w:pBdr>
          <w:top w:val="nil"/>
          <w:left w:val="nil"/>
          <w:bottom w:val="nil"/>
          <w:right w:val="nil"/>
          <w:between w:val="nil"/>
        </w:pBdr>
        <w:spacing w:before="240" w:after="0"/>
        <w:ind w:left="736"/>
        <w:jc w:val="both"/>
        <w:rPr>
          <w:rFonts w:ascii="Calibri" w:eastAsia="Calibri" w:hAnsi="Calibri" w:cs="Calibri"/>
          <w:color w:val="000000"/>
          <w:lang w:val="fr-FR"/>
        </w:rPr>
      </w:pPr>
      <w:r w:rsidRPr="00CE32C6">
        <w:rPr>
          <w:rFonts w:ascii="Calibri" w:eastAsia="Calibri" w:hAnsi="Calibri" w:cs="Calibri"/>
          <w:color w:val="000000"/>
          <w:lang w:val="fr-FR"/>
        </w:rPr>
        <w:t>Le projet commencera par une phase de lancement de deux mois avec le MPTC et les parties prenantes pour préciser les contours opérationnels de l’assistance technique, conformément à leurs attentes. Sur la base du dialogue avec les partenaires et de l’inventaire initial, un rapport de lancement sera établi pour définir le champ d’application opérationnel de l’assistance technique.</w:t>
      </w:r>
    </w:p>
    <w:p w:rsidR="004D19BE" w:rsidRPr="00CE32C6" w:rsidRDefault="004D19BE" w:rsidP="004D19BE">
      <w:pPr>
        <w:widowControl w:val="0"/>
        <w:pBdr>
          <w:top w:val="nil"/>
          <w:left w:val="nil"/>
          <w:bottom w:val="nil"/>
          <w:right w:val="nil"/>
          <w:between w:val="nil"/>
        </w:pBdr>
        <w:spacing w:before="240" w:after="0"/>
        <w:ind w:left="736"/>
        <w:jc w:val="both"/>
        <w:rPr>
          <w:rFonts w:ascii="Calibri" w:eastAsia="Calibri" w:hAnsi="Calibri" w:cs="Calibri"/>
          <w:color w:val="000000"/>
          <w:lang w:val="fr-FR"/>
        </w:rPr>
      </w:pPr>
      <w:r w:rsidRPr="00CE32C6">
        <w:rPr>
          <w:rFonts w:ascii="Calibri" w:eastAsia="Calibri" w:hAnsi="Calibri" w:cs="Calibri"/>
          <w:color w:val="000000"/>
          <w:lang w:val="fr-FR"/>
        </w:rPr>
        <w:t>Cette phase de lancement permettra de :</w:t>
      </w:r>
    </w:p>
    <w:p w:rsidR="004D19BE" w:rsidRPr="00CE32C6" w:rsidRDefault="004D19BE" w:rsidP="004D19BE">
      <w:pPr>
        <w:widowControl w:val="0"/>
        <w:numPr>
          <w:ilvl w:val="0"/>
          <w:numId w:val="3"/>
        </w:numPr>
        <w:pBdr>
          <w:top w:val="nil"/>
          <w:left w:val="nil"/>
          <w:bottom w:val="nil"/>
          <w:right w:val="nil"/>
          <w:between w:val="nil"/>
        </w:pBdr>
        <w:spacing w:before="240" w:after="0"/>
        <w:jc w:val="both"/>
        <w:rPr>
          <w:rFonts w:ascii="Calibri" w:eastAsia="Calibri" w:hAnsi="Calibri" w:cs="Calibri"/>
          <w:color w:val="000000"/>
          <w:lang w:val="fr-FR"/>
        </w:rPr>
      </w:pPr>
      <w:r w:rsidRPr="00CE32C6">
        <w:rPr>
          <w:rFonts w:ascii="Calibri" w:eastAsia="Calibri" w:hAnsi="Calibri" w:cs="Calibri"/>
          <w:color w:val="000000"/>
          <w:lang w:val="fr-FR"/>
        </w:rPr>
        <w:t>Mise à jour, depuis la validation de l’offre technique, des questions nationales et sectorielles qui guideront la mission au Cambodge, en tenant compte des derniers développements nationaux</w:t>
      </w:r>
      <w:r w:rsidRPr="00CE32C6">
        <w:rPr>
          <w:rFonts w:ascii="Calibri" w:eastAsia="Calibri" w:hAnsi="Calibri" w:cs="Calibri"/>
          <w:lang w:val="fr-FR"/>
        </w:rPr>
        <w:t>,</w:t>
      </w:r>
    </w:p>
    <w:p w:rsidR="004D19BE" w:rsidRPr="00CE32C6" w:rsidRDefault="004D19BE" w:rsidP="004D19BE">
      <w:pPr>
        <w:widowControl w:val="0"/>
        <w:numPr>
          <w:ilvl w:val="0"/>
          <w:numId w:val="3"/>
        </w:numPr>
        <w:pBdr>
          <w:top w:val="nil"/>
          <w:left w:val="nil"/>
          <w:bottom w:val="nil"/>
          <w:right w:val="nil"/>
          <w:between w:val="nil"/>
        </w:pBdr>
        <w:spacing w:before="240" w:after="0"/>
        <w:jc w:val="both"/>
        <w:rPr>
          <w:rFonts w:ascii="Calibri" w:eastAsia="Calibri" w:hAnsi="Calibri" w:cs="Calibri"/>
          <w:color w:val="000000"/>
          <w:lang w:val="fr-FR"/>
        </w:rPr>
      </w:pPr>
      <w:r w:rsidRPr="00CE32C6">
        <w:rPr>
          <w:rFonts w:ascii="Calibri" w:eastAsia="Calibri" w:hAnsi="Calibri" w:cs="Calibri"/>
          <w:color w:val="000000"/>
          <w:lang w:val="fr-FR"/>
        </w:rPr>
        <w:t>Formuler la programmation détaillée des ressources pour l’ensemble du projet,</w:t>
      </w:r>
    </w:p>
    <w:p w:rsidR="004D19BE" w:rsidRPr="00CE32C6" w:rsidRDefault="004D19BE" w:rsidP="004D19BE">
      <w:pPr>
        <w:widowControl w:val="0"/>
        <w:numPr>
          <w:ilvl w:val="0"/>
          <w:numId w:val="3"/>
        </w:numPr>
        <w:pBdr>
          <w:top w:val="nil"/>
          <w:left w:val="nil"/>
          <w:bottom w:val="nil"/>
          <w:right w:val="nil"/>
          <w:between w:val="nil"/>
        </w:pBdr>
        <w:spacing w:before="240" w:after="0"/>
        <w:jc w:val="both"/>
        <w:rPr>
          <w:rFonts w:ascii="Calibri" w:eastAsia="Calibri" w:hAnsi="Calibri" w:cs="Calibri"/>
          <w:color w:val="000000"/>
          <w:lang w:val="fr-FR"/>
        </w:rPr>
      </w:pPr>
      <w:r w:rsidRPr="00CE32C6">
        <w:rPr>
          <w:rFonts w:ascii="Calibri" w:eastAsia="Calibri" w:hAnsi="Calibri" w:cs="Calibri"/>
          <w:color w:val="000000"/>
          <w:lang w:val="fr-FR"/>
        </w:rPr>
        <w:t>Préparer et présenter le rapport de lancement,</w:t>
      </w:r>
    </w:p>
    <w:p w:rsidR="004D19BE" w:rsidRPr="00CE32C6" w:rsidRDefault="004D19BE" w:rsidP="004D19BE">
      <w:pPr>
        <w:widowControl w:val="0"/>
        <w:numPr>
          <w:ilvl w:val="0"/>
          <w:numId w:val="3"/>
        </w:numPr>
        <w:pBdr>
          <w:top w:val="nil"/>
          <w:left w:val="nil"/>
          <w:bottom w:val="nil"/>
          <w:right w:val="nil"/>
          <w:between w:val="nil"/>
        </w:pBdr>
        <w:spacing w:before="240" w:after="0"/>
        <w:jc w:val="both"/>
        <w:rPr>
          <w:rFonts w:ascii="Calibri" w:eastAsia="Calibri" w:hAnsi="Calibri" w:cs="Calibri"/>
          <w:color w:val="000000"/>
          <w:lang w:val="fr-FR"/>
        </w:rPr>
      </w:pPr>
      <w:r w:rsidRPr="00CE32C6">
        <w:rPr>
          <w:rFonts w:ascii="Calibri" w:eastAsia="Calibri" w:hAnsi="Calibri" w:cs="Calibri"/>
          <w:color w:val="000000"/>
          <w:lang w:val="fr-FR"/>
        </w:rPr>
        <w:t>Déployer l’équipe de projet.</w:t>
      </w:r>
    </w:p>
    <w:p w:rsidR="004D19BE" w:rsidRPr="00CE32C6" w:rsidRDefault="004D19BE" w:rsidP="004D19BE">
      <w:pPr>
        <w:widowControl w:val="0"/>
        <w:pBdr>
          <w:top w:val="nil"/>
          <w:left w:val="nil"/>
          <w:bottom w:val="nil"/>
          <w:right w:val="nil"/>
          <w:between w:val="nil"/>
        </w:pBdr>
        <w:spacing w:before="240" w:after="0"/>
        <w:ind w:left="736"/>
        <w:jc w:val="both"/>
        <w:rPr>
          <w:rFonts w:ascii="Calibri" w:eastAsia="Calibri" w:hAnsi="Calibri" w:cs="Calibri"/>
          <w:color w:val="000000"/>
          <w:lang w:val="fr-FR"/>
        </w:rPr>
      </w:pPr>
    </w:p>
    <w:p w:rsidR="004D19BE" w:rsidRPr="00CE32C6" w:rsidRDefault="004D19BE" w:rsidP="004D19BE">
      <w:pPr>
        <w:pStyle w:val="Titre2"/>
        <w:rPr>
          <w:lang w:val="fr-FR"/>
        </w:rPr>
      </w:pPr>
      <w:bookmarkStart w:id="26" w:name="_Toc209186012"/>
      <w:r w:rsidRPr="00CE32C6">
        <w:rPr>
          <w:lang w:val="fr-FR"/>
        </w:rPr>
        <w:t>Processus d’assistance technique</w:t>
      </w:r>
      <w:bookmarkEnd w:id="26"/>
    </w:p>
    <w:p w:rsidR="004D19BE" w:rsidRPr="00CE32C6" w:rsidRDefault="004D19BE" w:rsidP="004D19BE">
      <w:pPr>
        <w:rPr>
          <w:lang w:val="fr-FR"/>
        </w:rPr>
      </w:pPr>
    </w:p>
    <w:p w:rsidR="004D19BE" w:rsidRPr="00CE32C6" w:rsidRDefault="004D19BE" w:rsidP="004D19BE">
      <w:pPr>
        <w:pStyle w:val="EXP-Titre3"/>
        <w:rPr>
          <w:lang w:val="fr-FR"/>
        </w:rPr>
      </w:pPr>
      <w:bookmarkStart w:id="27" w:name="_Toc190183901"/>
      <w:bookmarkStart w:id="28" w:name="_Toc191560488"/>
      <w:bookmarkStart w:id="29" w:name="_Toc204328340"/>
      <w:bookmarkStart w:id="30" w:name="_Toc209186013"/>
      <w:r w:rsidRPr="00CE32C6">
        <w:rPr>
          <w:lang w:val="fr-FR"/>
        </w:rPr>
        <w:t xml:space="preserve">Composante 1 : </w:t>
      </w:r>
      <w:bookmarkEnd w:id="27"/>
      <w:bookmarkEnd w:id="28"/>
      <w:r w:rsidRPr="00CE32C6">
        <w:rPr>
          <w:rFonts w:eastAsia="Calibri" w:cs="Calibri"/>
          <w:lang w:val="fr-FR"/>
        </w:rPr>
        <w:t>Finalisation et mise en œuvre de la loi sur la protection des données basée sur l’expérience française (DINUM)</w:t>
      </w:r>
      <w:bookmarkEnd w:id="29"/>
      <w:bookmarkEnd w:id="30"/>
    </w:p>
    <w:p w:rsidR="004D19BE" w:rsidRPr="00CE32C6" w:rsidRDefault="004D19BE" w:rsidP="004D19BE">
      <w:pPr>
        <w:pBdr>
          <w:top w:val="nil"/>
          <w:left w:val="nil"/>
          <w:bottom w:val="nil"/>
          <w:right w:val="nil"/>
          <w:between w:val="nil"/>
        </w:pBdr>
        <w:ind w:left="709"/>
        <w:jc w:val="both"/>
        <w:rPr>
          <w:rFonts w:ascii="Arial" w:eastAsia="Arial" w:hAnsi="Arial" w:cs="Arial"/>
          <w:b/>
          <w:color w:val="004979"/>
          <w:shd w:val="clear" w:color="auto" w:fill="E9E4DE"/>
          <w:lang w:val="fr-FR"/>
        </w:rPr>
      </w:pPr>
    </w:p>
    <w:tbl>
      <w:tblPr>
        <w:tblW w:w="1020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646"/>
      </w:tblGrid>
      <w:tr w:rsidR="004D19BE" w:rsidRPr="00CE32C6" w:rsidTr="004D19BE">
        <w:trPr>
          <w:trHeight w:val="289"/>
        </w:trPr>
        <w:tc>
          <w:tcPr>
            <w:tcW w:w="1560" w:type="dxa"/>
            <w:tcBorders>
              <w:top w:val="single" w:sz="12" w:space="0" w:color="000000"/>
              <w:left w:val="single" w:sz="12" w:space="0" w:color="000000"/>
              <w:bottom w:val="single" w:sz="12" w:space="0" w:color="000000"/>
              <w:right w:val="single" w:sz="4" w:space="0" w:color="000000"/>
            </w:tcBorders>
            <w:shd w:val="clear" w:color="auto" w:fill="1F497D"/>
            <w:vAlign w:val="center"/>
          </w:tcPr>
          <w:p w:rsidR="004D19BE" w:rsidRPr="00CE32C6" w:rsidRDefault="004D19BE" w:rsidP="00DD2F1F">
            <w:pPr>
              <w:widowControl w:val="0"/>
              <w:pBdr>
                <w:top w:val="nil"/>
                <w:left w:val="nil"/>
                <w:bottom w:val="nil"/>
                <w:right w:val="nil"/>
                <w:between w:val="nil"/>
              </w:pBdr>
              <w:spacing w:after="0"/>
              <w:jc w:val="both"/>
              <w:rPr>
                <w:rFonts w:ascii="Calibri" w:eastAsia="Calibri" w:hAnsi="Calibri" w:cs="Calibri"/>
                <w:b/>
                <w:color w:val="000000"/>
                <w:sz w:val="22"/>
                <w:szCs w:val="22"/>
                <w:lang w:val="fr-FR"/>
              </w:rPr>
            </w:pPr>
            <w:r w:rsidRPr="00CE32C6">
              <w:rPr>
                <w:rFonts w:ascii="Calibri" w:eastAsia="Calibri" w:hAnsi="Calibri" w:cs="Calibri"/>
                <w:b/>
                <w:color w:val="FFFFFF"/>
                <w:sz w:val="22"/>
                <w:szCs w:val="22"/>
                <w:lang w:val="fr-FR"/>
              </w:rPr>
              <w:t>Composante 1</w:t>
            </w:r>
          </w:p>
        </w:tc>
        <w:tc>
          <w:tcPr>
            <w:tcW w:w="8646" w:type="dxa"/>
            <w:tcBorders>
              <w:top w:val="nil"/>
              <w:left w:val="single" w:sz="4" w:space="0" w:color="000000"/>
              <w:bottom w:val="single" w:sz="12" w:space="0" w:color="000000"/>
              <w:right w:val="nil"/>
            </w:tcBorders>
            <w:shd w:val="clear" w:color="auto" w:fill="FFFFFF"/>
            <w:vAlign w:val="center"/>
          </w:tcPr>
          <w:p w:rsidR="004D19BE" w:rsidRPr="00CE32C6" w:rsidRDefault="004D19BE" w:rsidP="00DD2F1F">
            <w:pPr>
              <w:widowControl w:val="0"/>
              <w:pBdr>
                <w:top w:val="nil"/>
                <w:left w:val="nil"/>
                <w:bottom w:val="nil"/>
                <w:right w:val="nil"/>
                <w:between w:val="nil"/>
              </w:pBdr>
              <w:spacing w:after="0"/>
              <w:ind w:right="627"/>
              <w:jc w:val="both"/>
              <w:rPr>
                <w:rFonts w:cs="Cambria"/>
                <w:b/>
                <w:i/>
                <w:color w:val="000000"/>
                <w:sz w:val="16"/>
                <w:szCs w:val="16"/>
                <w:lang w:val="fr-FR"/>
              </w:rPr>
            </w:pPr>
          </w:p>
        </w:tc>
      </w:tr>
      <w:tr w:rsidR="004D19BE" w:rsidRPr="00CE32C6" w:rsidTr="004D19BE">
        <w:trPr>
          <w:trHeight w:val="325"/>
        </w:trPr>
        <w:tc>
          <w:tcPr>
            <w:tcW w:w="10206" w:type="dxa"/>
            <w:gridSpan w:val="2"/>
            <w:tcBorders>
              <w:top w:val="single" w:sz="12" w:space="0" w:color="000000"/>
              <w:left w:val="single" w:sz="12" w:space="0" w:color="000000"/>
              <w:bottom w:val="dotted" w:sz="4" w:space="0" w:color="000000"/>
              <w:right w:val="single" w:sz="12" w:space="0" w:color="000000"/>
            </w:tcBorders>
            <w:shd w:val="clear" w:color="auto" w:fill="DBE5F1"/>
            <w:vAlign w:val="center"/>
          </w:tcPr>
          <w:p w:rsidR="004D19BE" w:rsidRPr="00CE32C6" w:rsidRDefault="004D19BE" w:rsidP="00DD2F1F">
            <w:pPr>
              <w:widowControl w:val="0"/>
              <w:pBdr>
                <w:top w:val="nil"/>
                <w:left w:val="nil"/>
                <w:bottom w:val="nil"/>
                <w:right w:val="nil"/>
                <w:between w:val="nil"/>
              </w:pBdr>
              <w:spacing w:after="0"/>
              <w:jc w:val="both"/>
              <w:rPr>
                <w:rFonts w:ascii="Calibri" w:eastAsia="Calibri" w:hAnsi="Calibri" w:cs="Calibri"/>
                <w:color w:val="000000"/>
                <w:sz w:val="22"/>
                <w:szCs w:val="22"/>
                <w:lang w:val="fr-FR"/>
              </w:rPr>
            </w:pPr>
            <w:r w:rsidRPr="00CE32C6">
              <w:rPr>
                <w:rFonts w:ascii="Calibri" w:eastAsia="Calibri" w:hAnsi="Calibri" w:cs="Calibri"/>
                <w:b/>
                <w:color w:val="000000"/>
                <w:sz w:val="22"/>
                <w:szCs w:val="22"/>
                <w:lang w:val="fr-FR"/>
              </w:rPr>
              <w:t>Objectif de la composante</w:t>
            </w:r>
          </w:p>
        </w:tc>
      </w:tr>
      <w:tr w:rsidR="004D19BE" w:rsidRPr="00CE32C6" w:rsidTr="004D19BE">
        <w:trPr>
          <w:trHeight w:val="399"/>
        </w:trPr>
        <w:tc>
          <w:tcPr>
            <w:tcW w:w="10206" w:type="dxa"/>
            <w:gridSpan w:val="2"/>
            <w:tcBorders>
              <w:top w:val="dotted" w:sz="4" w:space="0" w:color="000000"/>
              <w:left w:val="single" w:sz="12" w:space="0" w:color="000000"/>
              <w:bottom w:val="single" w:sz="12" w:space="0" w:color="000000"/>
              <w:right w:val="single" w:sz="12" w:space="0" w:color="000000"/>
            </w:tcBorders>
            <w:shd w:val="clear" w:color="auto" w:fill="auto"/>
          </w:tcPr>
          <w:p w:rsidR="004D19BE" w:rsidRPr="00CE32C6" w:rsidRDefault="004D19BE" w:rsidP="00DD2F1F">
            <w:pPr>
              <w:widowControl w:val="0"/>
              <w:pBdr>
                <w:top w:val="nil"/>
                <w:left w:val="nil"/>
                <w:bottom w:val="nil"/>
                <w:right w:val="nil"/>
                <w:between w:val="nil"/>
              </w:pBdr>
              <w:spacing w:after="0"/>
              <w:jc w:val="both"/>
              <w:rPr>
                <w:rFonts w:ascii="Calibri" w:eastAsia="Calibri" w:hAnsi="Calibri" w:cs="Calibri"/>
                <w:sz w:val="22"/>
                <w:szCs w:val="22"/>
                <w:lang w:val="fr-FR"/>
              </w:rPr>
            </w:pPr>
            <w:r w:rsidRPr="00CE32C6">
              <w:rPr>
                <w:rFonts w:ascii="Calibri" w:eastAsia="Calibri" w:hAnsi="Calibri" w:cs="Calibri"/>
                <w:color w:val="000000"/>
                <w:sz w:val="22"/>
                <w:szCs w:val="22"/>
                <w:lang w:val="fr-FR"/>
              </w:rPr>
              <w:t>Finalisation et mise en œuvre de la loi sur la protection des données basée sur l’expérience française (DINUM)</w:t>
            </w:r>
          </w:p>
        </w:tc>
      </w:tr>
      <w:tr w:rsidR="004D19BE" w:rsidRPr="00CE32C6" w:rsidTr="004D19BE">
        <w:trPr>
          <w:trHeight w:val="283"/>
        </w:trPr>
        <w:tc>
          <w:tcPr>
            <w:tcW w:w="10206" w:type="dxa"/>
            <w:gridSpan w:val="2"/>
            <w:tcBorders>
              <w:top w:val="single" w:sz="12" w:space="0" w:color="000000"/>
              <w:left w:val="single" w:sz="12" w:space="0" w:color="000000"/>
              <w:bottom w:val="dotted" w:sz="4" w:space="0" w:color="000000"/>
              <w:right w:val="single" w:sz="12" w:space="0" w:color="000000"/>
            </w:tcBorders>
            <w:shd w:val="clear" w:color="auto" w:fill="DBE5F1"/>
            <w:vAlign w:val="center"/>
          </w:tcPr>
          <w:p w:rsidR="004D19BE" w:rsidRPr="00CE32C6" w:rsidRDefault="004D19BE" w:rsidP="00DD2F1F">
            <w:pPr>
              <w:widowControl w:val="0"/>
              <w:pBdr>
                <w:top w:val="nil"/>
                <w:left w:val="nil"/>
                <w:bottom w:val="nil"/>
                <w:right w:val="nil"/>
                <w:between w:val="nil"/>
              </w:pBdr>
              <w:spacing w:after="0"/>
              <w:jc w:val="both"/>
              <w:rPr>
                <w:rFonts w:ascii="Calibri" w:eastAsia="Calibri" w:hAnsi="Calibri" w:cs="Calibri"/>
                <w:color w:val="000000"/>
                <w:sz w:val="22"/>
                <w:szCs w:val="22"/>
                <w:lang w:val="fr-FR"/>
              </w:rPr>
            </w:pPr>
            <w:r w:rsidRPr="00CE32C6">
              <w:rPr>
                <w:rFonts w:ascii="Calibri" w:eastAsia="Calibri" w:hAnsi="Calibri" w:cs="Calibri"/>
                <w:b/>
                <w:color w:val="000000"/>
                <w:sz w:val="22"/>
                <w:szCs w:val="22"/>
                <w:lang w:val="fr-FR"/>
              </w:rPr>
              <w:t xml:space="preserve">Activités prévues </w:t>
            </w:r>
          </w:p>
        </w:tc>
      </w:tr>
      <w:tr w:rsidR="004D19BE" w:rsidRPr="00CE32C6" w:rsidTr="004D19BE">
        <w:trPr>
          <w:trHeight w:val="1408"/>
        </w:trPr>
        <w:tc>
          <w:tcPr>
            <w:tcW w:w="10206" w:type="dxa"/>
            <w:gridSpan w:val="2"/>
            <w:tcBorders>
              <w:top w:val="dotted" w:sz="4" w:space="0" w:color="000000"/>
              <w:left w:val="single" w:sz="12" w:space="0" w:color="000000"/>
              <w:bottom w:val="single" w:sz="12" w:space="0" w:color="000000"/>
              <w:right w:val="single" w:sz="12" w:space="0" w:color="000000"/>
            </w:tcBorders>
            <w:shd w:val="clear" w:color="auto" w:fill="auto"/>
          </w:tcPr>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Activité 1.1 : Définir des orientations et des guides pratiques adaptés aux secteurs les plus touchés, dans le cadre des premières étapes de la mise en œuvre de la loi.</w:t>
            </w:r>
          </w:p>
          <w:p w:rsidR="004D19BE" w:rsidRPr="00CE32C6" w:rsidRDefault="004D19BE" w:rsidP="00DD2F1F">
            <w:pPr>
              <w:widowControl w:val="0"/>
              <w:pBdr>
                <w:top w:val="nil"/>
                <w:left w:val="nil"/>
                <w:bottom w:val="nil"/>
                <w:right w:val="nil"/>
                <w:between w:val="nil"/>
              </w:pBdr>
              <w:spacing w:before="280" w:after="28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Les activités suivantes seront envisagées :</w:t>
            </w:r>
          </w:p>
          <w:p w:rsidR="004D19BE" w:rsidRPr="00CE32C6" w:rsidRDefault="004D19BE" w:rsidP="00DD2F1F">
            <w:pPr>
              <w:widowControl w:val="0"/>
              <w:numPr>
                <w:ilvl w:val="0"/>
                <w:numId w:val="4"/>
              </w:numPr>
              <w:pBdr>
                <w:top w:val="nil"/>
                <w:left w:val="nil"/>
                <w:bottom w:val="nil"/>
                <w:right w:val="nil"/>
                <w:between w:val="nil"/>
              </w:pBd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Présenter l’approche française et les meilleures pratiques pour aider concrètement à résoudre des cas d’utilisation / problèmes identifiés liés à la protection des données dans les services publics et pour les représentants clés du secteur.</w:t>
            </w:r>
          </w:p>
          <w:p w:rsidR="004D19BE" w:rsidRPr="00CE32C6" w:rsidRDefault="004D19BE" w:rsidP="00DD2F1F">
            <w:pPr>
              <w:widowControl w:val="0"/>
              <w:numPr>
                <w:ilvl w:val="0"/>
                <w:numId w:val="4"/>
              </w:numPr>
              <w:pBdr>
                <w:top w:val="nil"/>
                <w:left w:val="nil"/>
                <w:bottom w:val="nil"/>
                <w:right w:val="nil"/>
                <w:between w:val="nil"/>
              </w:pBd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Identifier les secteurs prioritaires (par exemple, la santé, la finance, les télécommunications, l’éducation, etc.) les plus impactés par les exigences de protection des données.</w:t>
            </w:r>
          </w:p>
          <w:p w:rsidR="004D19BE" w:rsidRPr="00CE32C6" w:rsidRDefault="004D19BE" w:rsidP="00DD2F1F">
            <w:pPr>
              <w:widowControl w:val="0"/>
              <w:numPr>
                <w:ilvl w:val="0"/>
                <w:numId w:val="4"/>
              </w:numPr>
              <w:pBdr>
                <w:top w:val="nil"/>
                <w:left w:val="nil"/>
                <w:bottom w:val="nil"/>
                <w:right w:val="nil"/>
                <w:between w:val="nil"/>
              </w:pBd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Examiner les risques et les défis de conformité propres à chaque secteur.</w:t>
            </w:r>
          </w:p>
          <w:p w:rsidR="004D19BE" w:rsidRPr="00CE32C6" w:rsidRDefault="004D19BE" w:rsidP="00DD2F1F">
            <w:pPr>
              <w:widowControl w:val="0"/>
              <w:numPr>
                <w:ilvl w:val="0"/>
                <w:numId w:val="4"/>
              </w:numPr>
              <w:pBdr>
                <w:top w:val="nil"/>
                <w:left w:val="nil"/>
                <w:bottom w:val="nil"/>
                <w:right w:val="nil"/>
                <w:between w:val="nil"/>
              </w:pBd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Rédiger des guides pratiques (p. ex., principes de traitement des données, consentement, notification d’atteinte à la protection des données, évaluation réglementaire, évaluations d’impact).</w:t>
            </w:r>
          </w:p>
          <w:p w:rsidR="004D19BE" w:rsidRPr="00CE32C6" w:rsidRDefault="004D19BE" w:rsidP="00DD2F1F">
            <w:pPr>
              <w:widowControl w:val="0"/>
              <w:numPr>
                <w:ilvl w:val="0"/>
                <w:numId w:val="4"/>
              </w:numPr>
              <w:pBdr>
                <w:top w:val="nil"/>
                <w:left w:val="nil"/>
                <w:bottom w:val="nil"/>
                <w:right w:val="nil"/>
                <w:between w:val="nil"/>
              </w:pBd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Inclusion des perspectives de genre et d’inclusion numérique dans les lignes directrices et les documents de sensibilisation.</w:t>
            </w:r>
          </w:p>
          <w:p w:rsidR="004D19BE" w:rsidRPr="00CE32C6" w:rsidRDefault="004D19BE" w:rsidP="00DD2F1F">
            <w:pPr>
              <w:widowControl w:val="0"/>
              <w:numPr>
                <w:ilvl w:val="0"/>
                <w:numId w:val="4"/>
              </w:numPr>
              <w:pBdr>
                <w:top w:val="nil"/>
                <w:left w:val="nil"/>
                <w:bottom w:val="nil"/>
                <w:right w:val="nil"/>
                <w:between w:val="nil"/>
              </w:pBd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Valider les directives par le biais d’ateliers de consultation des parties prenantes.</w:t>
            </w:r>
          </w:p>
          <w:p w:rsidR="004D19BE" w:rsidRPr="00CE32C6" w:rsidRDefault="004D19BE" w:rsidP="00DD2F1F">
            <w:pPr>
              <w:widowControl w:val="0"/>
              <w:pBdr>
                <w:top w:val="nil"/>
                <w:left w:val="nil"/>
                <w:bottom w:val="nil"/>
                <w:right w:val="nil"/>
                <w:between w:val="nil"/>
              </w:pBdr>
              <w:tabs>
                <w:tab w:val="left" w:pos="1390"/>
              </w:tabs>
              <w:spacing w:before="280" w:after="28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Livrables attendus :</w:t>
            </w:r>
          </w:p>
          <w:p w:rsidR="004D19BE" w:rsidRPr="00CE32C6" w:rsidRDefault="004D19BE" w:rsidP="00DD2F1F">
            <w:pPr>
              <w:widowControl w:val="0"/>
              <w:numPr>
                <w:ilvl w:val="0"/>
                <w:numId w:val="4"/>
              </w:numPr>
              <w:tabs>
                <w:tab w:val="left" w:pos="895"/>
              </w:tabs>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Guides sectoriels de mise en œuvre de la protection des données (minimum 3 secteurs).</w:t>
            </w:r>
          </w:p>
          <w:p w:rsidR="004D19BE" w:rsidRPr="00CE32C6" w:rsidRDefault="004D19BE" w:rsidP="00DD2F1F">
            <w:pPr>
              <w:widowControl w:val="0"/>
              <w:numPr>
                <w:ilvl w:val="0"/>
                <w:numId w:val="4"/>
              </w:numPr>
              <w:tabs>
                <w:tab w:val="left" w:pos="895"/>
              </w:tabs>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Une directive nationale sur la protection des données applicable dans tous les secteurs.</w:t>
            </w:r>
          </w:p>
          <w:p w:rsidR="004D19BE" w:rsidRPr="00CE32C6" w:rsidRDefault="004D19BE" w:rsidP="00DD2F1F">
            <w:pPr>
              <w:widowControl w:val="0"/>
              <w:numPr>
                <w:ilvl w:val="0"/>
                <w:numId w:val="4"/>
              </w:numPr>
              <w:tabs>
                <w:tab w:val="left" w:pos="895"/>
              </w:tabs>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Rapport sommaire des ateliers de consultation avec les principaux représentants du secteur.</w:t>
            </w:r>
          </w:p>
          <w:p w:rsidR="004D19BE" w:rsidRPr="00CE32C6" w:rsidRDefault="004D19BE" w:rsidP="00DD2F1F">
            <w:pPr>
              <w:widowControl w:val="0"/>
              <w:pBdr>
                <w:top w:val="nil"/>
                <w:left w:val="nil"/>
                <w:bottom w:val="nil"/>
                <w:right w:val="nil"/>
                <w:between w:val="nil"/>
              </w:pBdr>
              <w:spacing w:after="0"/>
              <w:ind w:left="720"/>
              <w:jc w:val="both"/>
              <w:rPr>
                <w:rFonts w:ascii="Calibri" w:eastAsia="Calibri" w:hAnsi="Calibri" w:cs="Calibri"/>
                <w:color w:val="000000"/>
                <w:sz w:val="22"/>
                <w:szCs w:val="22"/>
                <w:lang w:val="fr-FR"/>
              </w:rPr>
            </w:pP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Activité 1.2 : Assurer des activités de sensibilisation pour les différents acteurs publics et privés, et des sessions de formation pour le secteur privé.</w:t>
            </w: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color w:val="000000"/>
                <w:sz w:val="22"/>
                <w:szCs w:val="22"/>
                <w:lang w:val="fr-FR"/>
              </w:rPr>
            </w:pP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Les activités suivantes seront envisagées :</w:t>
            </w: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color w:val="000000"/>
                <w:sz w:val="22"/>
                <w:szCs w:val="22"/>
                <w:lang w:val="fr-FR"/>
              </w:rPr>
            </w:pP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Développer une stratégie de communication sur la nouvelle loi sur la protection des données.</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Organiser des événements de sensibilisation nationaux (webinaires, tables rondes, sensibilisation médiatique).</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Concevoir et animer des ateliers de renforcement des capacités adaptés aux entreprises privées, PME et start-ups.</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Former des formateurs et des champions au sein d’institutions clés pour soutenir le développement continu des capacités.</w:t>
            </w: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color w:val="000000"/>
                <w:sz w:val="22"/>
                <w:szCs w:val="22"/>
                <w:lang w:val="fr-FR"/>
              </w:rPr>
            </w:pP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Livrables attendus :</w:t>
            </w: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color w:val="000000"/>
                <w:sz w:val="22"/>
                <w:szCs w:val="22"/>
                <w:lang w:val="fr-FR"/>
              </w:rPr>
            </w:pP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Modules et matériels de formation sur les principes, droits et obligations en matière de protection des données.</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Rapports de formation comprenant la liste des participants, les institutions représentées et l’analyse des retours d’information ventilés par module de formation, organisation, activité et sexe</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Boîte à outils de communication pour les parties prenantes (messages clés, FAQ, contenu visuel).</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Au moins 2 événements hybrides de sensibilisation et 4 sessions de formation hybride dans le secteur privé ont été organisés.</w:t>
            </w: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color w:val="000000"/>
                <w:sz w:val="22"/>
                <w:szCs w:val="22"/>
                <w:lang w:val="fr-FR"/>
              </w:rPr>
            </w:pPr>
          </w:p>
          <w:p w:rsidR="004D19BE" w:rsidRPr="00CE32C6" w:rsidRDefault="004D19BE" w:rsidP="00DD2F1F">
            <w:pPr>
              <w:widowControl w:val="0"/>
              <w:pBdr>
                <w:top w:val="nil"/>
                <w:left w:val="nil"/>
                <w:bottom w:val="nil"/>
                <w:right w:val="nil"/>
                <w:between w:val="nil"/>
              </w:pBdr>
              <w:spacing w:after="0"/>
              <w:ind w:left="720" w:right="142"/>
              <w:jc w:val="both"/>
              <w:rPr>
                <w:rFonts w:ascii="Calibri" w:eastAsia="Calibri" w:hAnsi="Calibri" w:cs="Calibri"/>
                <w:color w:val="000000"/>
                <w:sz w:val="22"/>
                <w:szCs w:val="22"/>
                <w:lang w:val="fr-FR"/>
              </w:rPr>
            </w:pPr>
          </w:p>
          <w:p w:rsidR="004D19BE" w:rsidRPr="00CE32C6" w:rsidRDefault="004D19BE" w:rsidP="00DD2F1F">
            <w:pPr>
              <w:widowControl w:val="0"/>
              <w:pBdr>
                <w:top w:val="nil"/>
                <w:left w:val="nil"/>
                <w:bottom w:val="nil"/>
                <w:right w:val="nil"/>
                <w:between w:val="nil"/>
              </w:pBdr>
              <w:ind w:right="142"/>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Activité 1.3 : Élaboration d’outils tels que des registres de traitement ou des modèles d’analyse des facteurs relatifs à la vie privée</w:t>
            </w: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Les activités suivantes seront envisagées :</w:t>
            </w: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color w:val="000000"/>
                <w:sz w:val="22"/>
                <w:szCs w:val="22"/>
                <w:lang w:val="fr-FR"/>
              </w:rPr>
            </w:pP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Revoir les gabarits et outils français et européens</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Adapter les modèles au contexte juridique et opérationnel national.</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Développer/piloter l’utilisation de ces outils avec des institutions et des entreprises privées sélectionnées sur la base de l’expérience française.</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Former les DPO et le personnel informatique sur la façon de les utiliser et de les maintenir.</w:t>
            </w: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color w:val="000000"/>
                <w:sz w:val="22"/>
                <w:szCs w:val="22"/>
                <w:lang w:val="fr-FR"/>
              </w:rPr>
            </w:pP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Livrables attendus :</w:t>
            </w: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color w:val="000000"/>
                <w:sz w:val="22"/>
                <w:szCs w:val="22"/>
                <w:lang w:val="fr-FR"/>
              </w:rPr>
            </w:pP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Modèle pour le registre des activités de traitement (conforme aux obligations légales).</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Modèle et lignes directrices pour les évaluations des facteurs relatifs à la vie privée (EFVP).</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Manuel d’utilisation ou guide pratique pour chaque outil.</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Rapport sur les essais pilotes et la rétroaction pour affiner les modèles.</w:t>
            </w:r>
          </w:p>
          <w:p w:rsidR="004D19BE" w:rsidRPr="00CE32C6" w:rsidRDefault="004D19BE" w:rsidP="00DD2F1F">
            <w:pPr>
              <w:widowControl w:val="0"/>
              <w:spacing w:before="280" w:after="280" w:line="276" w:lineRule="auto"/>
              <w:rPr>
                <w:rFonts w:ascii="Calibri" w:eastAsia="Calibri" w:hAnsi="Calibri" w:cs="Calibri"/>
                <w:b/>
                <w:sz w:val="22"/>
                <w:szCs w:val="22"/>
                <w:u w:val="single"/>
                <w:lang w:val="fr-FR"/>
              </w:rPr>
            </w:pPr>
            <w:r w:rsidRPr="00CE32C6">
              <w:rPr>
                <w:rFonts w:ascii="Calibri" w:eastAsia="Calibri" w:hAnsi="Calibri" w:cs="Calibri"/>
                <w:b/>
                <w:sz w:val="22"/>
                <w:szCs w:val="22"/>
                <w:u w:val="single"/>
                <w:lang w:val="fr-FR"/>
              </w:rPr>
              <w:t>Activité 1.4 : Définir l’extension de la loi au secteur public, en s’appuyant sur l’expérience française</w:t>
            </w:r>
          </w:p>
          <w:p w:rsidR="004D19BE" w:rsidRPr="00CE32C6" w:rsidRDefault="004D19BE" w:rsidP="00DD2F1F">
            <w:pPr>
              <w:widowControl w:val="0"/>
              <w:spacing w:after="0"/>
              <w:ind w:right="142"/>
              <w:jc w:val="both"/>
              <w:rPr>
                <w:rFonts w:ascii="Calibri" w:eastAsia="Calibri" w:hAnsi="Calibri" w:cs="Calibri"/>
                <w:sz w:val="22"/>
                <w:szCs w:val="22"/>
                <w:lang w:val="fr-FR"/>
              </w:rPr>
            </w:pPr>
            <w:r w:rsidRPr="00CE32C6">
              <w:rPr>
                <w:rFonts w:ascii="Calibri" w:eastAsia="Calibri" w:hAnsi="Calibri" w:cs="Calibri"/>
                <w:sz w:val="22"/>
                <w:szCs w:val="22"/>
                <w:lang w:val="fr-FR"/>
              </w:rPr>
              <w:t>Les activités suivantes seront envisagées :</w:t>
            </w:r>
          </w:p>
          <w:p w:rsidR="004D19BE" w:rsidRPr="00CE32C6" w:rsidRDefault="004D19BE" w:rsidP="00DD2F1F">
            <w:pPr>
              <w:widowControl w:val="0"/>
              <w:spacing w:after="0"/>
              <w:ind w:right="142"/>
              <w:jc w:val="both"/>
              <w:rPr>
                <w:rFonts w:ascii="Calibri" w:eastAsia="Calibri" w:hAnsi="Calibri" w:cs="Calibri"/>
                <w:sz w:val="22"/>
                <w:szCs w:val="22"/>
                <w:lang w:val="fr-FR"/>
              </w:rPr>
            </w:pP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Effectuer une analyse juridique et institutionnelle des pratiques actuelles en matière de données du secteur public et des lacunes sur la base de l’étude de faisabilité, si nécessaire</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Examiner le modèle français de protection des données du secteur public, y compris la gouvernance, les obligations de conformité et les mécanismes de surveillance.</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Organiser des consultations avec les institutions publiques (ministères, autorités locales, agences publiques) pour évaluer la préparation et les défis.</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Rédiger un cadre ou une feuille de route pour l’extension progressive de la loi sur la protection des données aux organismes du secteur public.</w:t>
            </w: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Proposer des mécanismes institutionnels de coordination et de conformité (par exemple, réseau d’OPD du secteur public, points focaux sectoriels).</w:t>
            </w:r>
          </w:p>
          <w:p w:rsidR="004D19BE" w:rsidRPr="00CE32C6" w:rsidRDefault="004D19BE" w:rsidP="00DD2F1F">
            <w:pPr>
              <w:numPr>
                <w:ilvl w:val="0"/>
                <w:numId w:val="4"/>
              </w:numPr>
              <w:spacing w:before="240" w:after="0" w:line="276" w:lineRule="auto"/>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Proposer des dispositions spécifiques au secteur public, notamment en ce qui concerne les finalités autorisées, les périodes de conservation, le partage des données entre agences et les exigences de sécurité des données ;</w:t>
            </w:r>
          </w:p>
          <w:p w:rsidR="004D19BE" w:rsidRPr="00CE32C6" w:rsidRDefault="004D19BE" w:rsidP="00DD2F1F">
            <w:pPr>
              <w:numPr>
                <w:ilvl w:val="0"/>
                <w:numId w:val="4"/>
              </w:numPr>
              <w:spacing w:after="0" w:line="276" w:lineRule="auto"/>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Soutenir l’établissement d’un ensemble clair d’obligations pour les autorités publiques, y compris la tenue des dossiers de traitement, la désignation des délégués à la protection des données et la réalisation d’études d’impact si nécessaire ;</w:t>
            </w:r>
          </w:p>
          <w:p w:rsidR="004D19BE" w:rsidRPr="00CE32C6" w:rsidRDefault="004D19BE" w:rsidP="00DD2F1F">
            <w:pPr>
              <w:numPr>
                <w:ilvl w:val="0"/>
                <w:numId w:val="4"/>
              </w:numPr>
              <w:spacing w:after="0" w:line="276" w:lineRule="auto"/>
              <w:ind w:left="890" w:hanging="357"/>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Soutenir la définition des droits exécutoires pour les individus, tels que les droits d’accès, de rectification, d’opposition et de réparation, exprimés en termes accessibles et juridiquement contraignants.</w:t>
            </w:r>
          </w:p>
          <w:p w:rsidR="004D19BE" w:rsidRPr="00CE32C6" w:rsidRDefault="004D19BE" w:rsidP="00DD2F1F">
            <w:pPr>
              <w:numPr>
                <w:ilvl w:val="0"/>
                <w:numId w:val="4"/>
              </w:numPr>
              <w:spacing w:after="0" w:line="276" w:lineRule="auto"/>
              <w:ind w:left="890" w:hanging="357"/>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Soutenir l’élaboration d’une évaluation d’impact réglementaire (RIA) pour le projet de loi final.</w:t>
            </w:r>
          </w:p>
          <w:p w:rsidR="004D19BE" w:rsidRPr="00CE32C6" w:rsidRDefault="004D19BE" w:rsidP="00DD2F1F">
            <w:pPr>
              <w:widowControl w:val="0"/>
              <w:pBdr>
                <w:top w:val="nil"/>
                <w:left w:val="nil"/>
                <w:bottom w:val="nil"/>
                <w:right w:val="nil"/>
                <w:between w:val="nil"/>
              </w:pBdr>
              <w:spacing w:after="0"/>
              <w:ind w:left="895" w:right="142"/>
              <w:jc w:val="both"/>
              <w:rPr>
                <w:rFonts w:ascii="Calibri" w:eastAsia="Calibri" w:hAnsi="Calibri" w:cs="Calibri"/>
                <w:color w:val="000000"/>
                <w:sz w:val="22"/>
                <w:szCs w:val="22"/>
                <w:lang w:val="fr-FR"/>
              </w:rPr>
            </w:pPr>
          </w:p>
          <w:p w:rsidR="004D19BE" w:rsidRPr="00CE32C6" w:rsidRDefault="004D19BE" w:rsidP="00DD2F1F">
            <w:pPr>
              <w:widowControl w:val="0"/>
              <w:spacing w:after="0"/>
              <w:ind w:right="142"/>
              <w:jc w:val="both"/>
              <w:rPr>
                <w:rFonts w:ascii="Calibri" w:eastAsia="Calibri" w:hAnsi="Calibri" w:cs="Calibri"/>
                <w:sz w:val="22"/>
                <w:szCs w:val="22"/>
                <w:u w:val="single"/>
                <w:lang w:val="fr-FR"/>
              </w:rPr>
            </w:pPr>
            <w:r w:rsidRPr="00CE32C6">
              <w:rPr>
                <w:rFonts w:ascii="Calibri" w:eastAsia="Calibri" w:hAnsi="Calibri" w:cs="Calibri"/>
                <w:sz w:val="22"/>
                <w:szCs w:val="22"/>
                <w:u w:val="single"/>
                <w:lang w:val="fr-FR"/>
              </w:rPr>
              <w:t>Livrables attendus :</w:t>
            </w:r>
          </w:p>
          <w:p w:rsidR="004D19BE" w:rsidRPr="00CE32C6" w:rsidRDefault="004D19BE" w:rsidP="00DD2F1F">
            <w:pPr>
              <w:widowControl w:val="0"/>
              <w:spacing w:after="0"/>
              <w:ind w:right="142"/>
              <w:jc w:val="both"/>
              <w:rPr>
                <w:rFonts w:ascii="Calibri" w:eastAsia="Calibri" w:hAnsi="Calibri" w:cs="Calibri"/>
                <w:sz w:val="22"/>
                <w:szCs w:val="22"/>
                <w:lang w:val="fr-FR"/>
              </w:rPr>
            </w:pPr>
          </w:p>
          <w:p w:rsidR="004D19BE" w:rsidRPr="00CE32C6" w:rsidRDefault="004D19BE" w:rsidP="00DD2F1F">
            <w:pPr>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Feuille de route pour les dispositions spécifiques au secteur public dans le cadre de la loi sur la protection des données.</w:t>
            </w:r>
          </w:p>
          <w:p w:rsidR="004D19BE" w:rsidRPr="00CE32C6" w:rsidRDefault="004D19BE" w:rsidP="00DD2F1F">
            <w:pPr>
              <w:widowControl w:val="0"/>
              <w:numPr>
                <w:ilvl w:val="0"/>
                <w:numId w:val="4"/>
              </w:numPr>
              <w:spacing w:after="0"/>
              <w:ind w:right="142"/>
              <w:jc w:val="both"/>
              <w:rPr>
                <w:rFonts w:ascii="Calibri" w:eastAsia="Calibri" w:hAnsi="Calibri" w:cs="Calibri"/>
                <w:bCs/>
                <w:color w:val="000000"/>
                <w:sz w:val="22"/>
                <w:szCs w:val="22"/>
                <w:lang w:val="fr-FR"/>
              </w:rPr>
            </w:pPr>
            <w:r w:rsidRPr="00CE32C6">
              <w:rPr>
                <w:rFonts w:ascii="Calibri" w:eastAsia="Calibri" w:hAnsi="Calibri" w:cs="Calibri"/>
                <w:bCs/>
                <w:color w:val="000000"/>
                <w:sz w:val="22"/>
                <w:szCs w:val="22"/>
                <w:lang w:val="fr-FR"/>
              </w:rPr>
              <w:t>Révisions proposées au projet de loi sur la protection des données personnelles.</w:t>
            </w:r>
          </w:p>
          <w:p w:rsidR="004D19BE" w:rsidRPr="00CE32C6" w:rsidRDefault="004D19BE" w:rsidP="00DD2F1F">
            <w:pPr>
              <w:widowControl w:val="0"/>
              <w:numPr>
                <w:ilvl w:val="0"/>
                <w:numId w:val="4"/>
              </w:numPr>
              <w:spacing w:after="0"/>
              <w:ind w:right="142"/>
              <w:jc w:val="both"/>
              <w:rPr>
                <w:rFonts w:ascii="Calibri" w:eastAsia="Calibri" w:hAnsi="Calibri" w:cs="Calibri"/>
                <w:bCs/>
                <w:color w:val="000000"/>
                <w:sz w:val="22"/>
                <w:szCs w:val="22"/>
                <w:lang w:val="fr-FR"/>
              </w:rPr>
            </w:pPr>
            <w:r w:rsidRPr="00CE32C6">
              <w:rPr>
                <w:rFonts w:ascii="Calibri" w:eastAsia="Calibri" w:hAnsi="Calibri" w:cs="Calibri"/>
                <w:bCs/>
                <w:color w:val="000000"/>
                <w:sz w:val="22"/>
                <w:szCs w:val="22"/>
                <w:lang w:val="fr-FR"/>
              </w:rPr>
              <w:t>Rapport d’EIR provisoire et final.</w:t>
            </w:r>
          </w:p>
          <w:p w:rsidR="004D19BE" w:rsidRPr="00CE32C6" w:rsidRDefault="004D19BE" w:rsidP="00DD2F1F">
            <w:pPr>
              <w:widowControl w:val="0"/>
              <w:spacing w:after="0"/>
              <w:ind w:left="720" w:right="142"/>
              <w:jc w:val="both"/>
              <w:rPr>
                <w:rFonts w:ascii="Calibri" w:eastAsia="Calibri" w:hAnsi="Calibri" w:cs="Calibri"/>
                <w:sz w:val="22"/>
                <w:szCs w:val="22"/>
                <w:lang w:val="fr-FR"/>
              </w:rPr>
            </w:pPr>
          </w:p>
          <w:p w:rsidR="004D19BE" w:rsidRPr="00CE32C6" w:rsidRDefault="004D19BE" w:rsidP="00DD2F1F">
            <w:pPr>
              <w:widowControl w:val="0"/>
              <w:spacing w:after="280"/>
              <w:ind w:right="142"/>
              <w:jc w:val="both"/>
              <w:rPr>
                <w:rFonts w:ascii="Calibri" w:eastAsia="Calibri" w:hAnsi="Calibri" w:cs="Calibri"/>
                <w:b/>
                <w:sz w:val="22"/>
                <w:szCs w:val="22"/>
                <w:u w:val="single"/>
                <w:lang w:val="fr-FR"/>
              </w:rPr>
            </w:pPr>
            <w:r w:rsidRPr="00CE32C6">
              <w:rPr>
                <w:rFonts w:ascii="Calibri" w:eastAsia="Calibri" w:hAnsi="Calibri" w:cs="Calibri"/>
                <w:b/>
                <w:sz w:val="22"/>
                <w:szCs w:val="22"/>
                <w:u w:val="single"/>
                <w:lang w:val="fr-FR"/>
              </w:rPr>
              <w:t>Expertise disponible pour toutes les activités :</w:t>
            </w:r>
          </w:p>
          <w:p w:rsidR="004D19BE" w:rsidRPr="00CE32C6" w:rsidRDefault="004D19BE" w:rsidP="00DD2F1F">
            <w:pPr>
              <w:widowControl w:val="0"/>
              <w:spacing w:before="280" w:after="0" w:line="276" w:lineRule="auto"/>
              <w:jc w:val="both"/>
              <w:rPr>
                <w:rFonts w:ascii="Calibri" w:eastAsia="Calibri" w:hAnsi="Calibri" w:cs="Calibri"/>
                <w:color w:val="000000"/>
                <w:sz w:val="22"/>
                <w:szCs w:val="22"/>
                <w:lang w:val="fr-FR"/>
              </w:rPr>
            </w:pPr>
            <w:r w:rsidRPr="00CE32C6">
              <w:rPr>
                <w:rFonts w:ascii="Calibri" w:eastAsia="Calibri" w:hAnsi="Calibri" w:cs="Calibri"/>
                <w:sz w:val="22"/>
                <w:szCs w:val="22"/>
                <w:lang w:val="fr-FR"/>
              </w:rPr>
              <w:t>Experts ayant activement contribué à l’établissement ou à la mise en œuvre de la loi sur la protection des données en France (DINUM et secteur privé)</w:t>
            </w:r>
          </w:p>
        </w:tc>
      </w:tr>
    </w:tbl>
    <w:p w:rsidR="004D19BE" w:rsidRPr="00CE32C6" w:rsidRDefault="004D19BE" w:rsidP="004D19BE">
      <w:pPr>
        <w:rPr>
          <w:lang w:val="fr-FR"/>
        </w:rPr>
      </w:pPr>
    </w:p>
    <w:p w:rsidR="004D19BE" w:rsidRPr="00CE32C6" w:rsidRDefault="004D19BE" w:rsidP="004D19BE">
      <w:pPr>
        <w:pStyle w:val="EXP-Titre3"/>
        <w:rPr>
          <w:rFonts w:eastAsia="Calibri" w:cs="Calibri"/>
          <w:lang w:val="fr-FR"/>
        </w:rPr>
      </w:pPr>
      <w:bookmarkStart w:id="31" w:name="_Toc191560489"/>
      <w:bookmarkStart w:id="32" w:name="_Toc204328341"/>
      <w:bookmarkStart w:id="33" w:name="_Toc209186014"/>
      <w:r w:rsidRPr="00CE32C6">
        <w:rPr>
          <w:lang w:val="fr-FR"/>
        </w:rPr>
        <w:t xml:space="preserve">Composante 2 : </w:t>
      </w:r>
      <w:bookmarkEnd w:id="31"/>
      <w:r w:rsidRPr="00CE32C6">
        <w:rPr>
          <w:rFonts w:eastAsia="Calibri" w:cs="Calibri"/>
          <w:lang w:val="fr-FR"/>
        </w:rPr>
        <w:t>Rédaction du projet, des décrets, des textes spécifiques et des études sur la loi sur les technologies de l’information et de la communication (Loi TIC)</w:t>
      </w:r>
      <w:bookmarkEnd w:id="32"/>
      <w:bookmarkEnd w:id="33"/>
    </w:p>
    <w:p w:rsidR="004D19BE" w:rsidRPr="00CE32C6" w:rsidRDefault="004D19BE" w:rsidP="004D19BE">
      <w:pPr>
        <w:rPr>
          <w:lang w:val="fr-FR"/>
        </w:rPr>
      </w:pPr>
    </w:p>
    <w:tbl>
      <w:tblPr>
        <w:tblW w:w="1006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505"/>
      </w:tblGrid>
      <w:tr w:rsidR="004D19BE" w:rsidRPr="00CE32C6" w:rsidTr="004D19BE">
        <w:trPr>
          <w:trHeight w:val="289"/>
        </w:trPr>
        <w:tc>
          <w:tcPr>
            <w:tcW w:w="1560" w:type="dxa"/>
            <w:tcBorders>
              <w:top w:val="single" w:sz="12" w:space="0" w:color="000000"/>
              <w:left w:val="single" w:sz="12" w:space="0" w:color="000000"/>
              <w:bottom w:val="single" w:sz="12" w:space="0" w:color="000000"/>
              <w:right w:val="single" w:sz="4" w:space="0" w:color="000000"/>
            </w:tcBorders>
            <w:shd w:val="clear" w:color="auto" w:fill="1F497D"/>
            <w:vAlign w:val="center"/>
          </w:tcPr>
          <w:p w:rsidR="004D19BE" w:rsidRPr="00CE32C6" w:rsidRDefault="004D19BE" w:rsidP="00DD2F1F">
            <w:pPr>
              <w:widowControl w:val="0"/>
              <w:pBdr>
                <w:top w:val="nil"/>
                <w:left w:val="nil"/>
                <w:bottom w:val="nil"/>
                <w:right w:val="nil"/>
                <w:between w:val="nil"/>
              </w:pBdr>
              <w:spacing w:after="0"/>
              <w:jc w:val="both"/>
              <w:rPr>
                <w:rFonts w:ascii="Calibri" w:eastAsia="Calibri" w:hAnsi="Calibri" w:cs="Calibri"/>
                <w:b/>
                <w:color w:val="000000"/>
                <w:sz w:val="22"/>
                <w:szCs w:val="22"/>
                <w:lang w:val="fr-FR"/>
              </w:rPr>
            </w:pPr>
            <w:r w:rsidRPr="00CE32C6">
              <w:rPr>
                <w:rFonts w:ascii="Calibri" w:eastAsia="Calibri" w:hAnsi="Calibri" w:cs="Calibri"/>
                <w:b/>
                <w:color w:val="FFFFFF"/>
                <w:sz w:val="22"/>
                <w:szCs w:val="22"/>
                <w:lang w:val="fr-FR"/>
              </w:rPr>
              <w:t>Composante 2</w:t>
            </w:r>
          </w:p>
        </w:tc>
        <w:tc>
          <w:tcPr>
            <w:tcW w:w="8505" w:type="dxa"/>
            <w:tcBorders>
              <w:top w:val="nil"/>
              <w:left w:val="single" w:sz="4" w:space="0" w:color="000000"/>
              <w:bottom w:val="single" w:sz="12" w:space="0" w:color="000000"/>
              <w:right w:val="nil"/>
            </w:tcBorders>
            <w:shd w:val="clear" w:color="auto" w:fill="FFFFFF"/>
            <w:vAlign w:val="center"/>
          </w:tcPr>
          <w:p w:rsidR="004D19BE" w:rsidRPr="00CE32C6" w:rsidRDefault="004D19BE" w:rsidP="00DD2F1F">
            <w:pPr>
              <w:widowControl w:val="0"/>
              <w:pBdr>
                <w:top w:val="nil"/>
                <w:left w:val="nil"/>
                <w:bottom w:val="nil"/>
                <w:right w:val="nil"/>
                <w:between w:val="nil"/>
              </w:pBdr>
              <w:spacing w:after="0"/>
              <w:ind w:right="627"/>
              <w:jc w:val="both"/>
              <w:rPr>
                <w:rFonts w:cs="Cambria"/>
                <w:b/>
                <w:i/>
                <w:color w:val="000000"/>
                <w:sz w:val="16"/>
                <w:szCs w:val="16"/>
                <w:lang w:val="fr-FR"/>
              </w:rPr>
            </w:pPr>
          </w:p>
        </w:tc>
      </w:tr>
      <w:tr w:rsidR="004D19BE" w:rsidRPr="00CE32C6" w:rsidTr="004D19BE">
        <w:trPr>
          <w:trHeight w:val="325"/>
        </w:trPr>
        <w:tc>
          <w:tcPr>
            <w:tcW w:w="10065" w:type="dxa"/>
            <w:gridSpan w:val="2"/>
            <w:tcBorders>
              <w:top w:val="single" w:sz="12" w:space="0" w:color="000000"/>
              <w:left w:val="single" w:sz="12" w:space="0" w:color="000000"/>
              <w:bottom w:val="dotted" w:sz="4" w:space="0" w:color="000000"/>
              <w:right w:val="single" w:sz="12" w:space="0" w:color="000000"/>
            </w:tcBorders>
            <w:shd w:val="clear" w:color="auto" w:fill="DBE5F1"/>
            <w:vAlign w:val="center"/>
          </w:tcPr>
          <w:p w:rsidR="004D19BE" w:rsidRPr="00CE32C6" w:rsidRDefault="004D19BE" w:rsidP="00DD2F1F">
            <w:pPr>
              <w:widowControl w:val="0"/>
              <w:pBdr>
                <w:top w:val="nil"/>
                <w:left w:val="nil"/>
                <w:bottom w:val="nil"/>
                <w:right w:val="nil"/>
                <w:between w:val="nil"/>
              </w:pBdr>
              <w:spacing w:after="0"/>
              <w:jc w:val="both"/>
              <w:rPr>
                <w:rFonts w:ascii="Calibri" w:eastAsia="Calibri" w:hAnsi="Calibri" w:cs="Calibri"/>
                <w:color w:val="000000"/>
                <w:sz w:val="22"/>
                <w:szCs w:val="22"/>
                <w:lang w:val="fr-FR"/>
              </w:rPr>
            </w:pPr>
            <w:r w:rsidRPr="00CE32C6">
              <w:rPr>
                <w:rFonts w:ascii="Calibri" w:eastAsia="Calibri" w:hAnsi="Calibri" w:cs="Calibri"/>
                <w:b/>
                <w:color w:val="000000"/>
                <w:sz w:val="22"/>
                <w:szCs w:val="22"/>
                <w:lang w:val="fr-FR"/>
              </w:rPr>
              <w:t>Objectif de la composante</w:t>
            </w:r>
          </w:p>
        </w:tc>
      </w:tr>
      <w:tr w:rsidR="004D19BE" w:rsidRPr="00CE32C6" w:rsidTr="004D19BE">
        <w:trPr>
          <w:trHeight w:val="326"/>
        </w:trPr>
        <w:tc>
          <w:tcPr>
            <w:tcW w:w="10065" w:type="dxa"/>
            <w:gridSpan w:val="2"/>
            <w:tcBorders>
              <w:top w:val="dotted" w:sz="4" w:space="0" w:color="000000"/>
              <w:left w:val="single" w:sz="12" w:space="0" w:color="000000"/>
              <w:bottom w:val="single" w:sz="12" w:space="0" w:color="000000"/>
              <w:right w:val="single" w:sz="12" w:space="0" w:color="000000"/>
            </w:tcBorders>
            <w:shd w:val="clear" w:color="auto" w:fill="auto"/>
          </w:tcPr>
          <w:p w:rsidR="004D19BE" w:rsidRPr="00CE32C6" w:rsidRDefault="004D19BE" w:rsidP="00DD2F1F">
            <w:pPr>
              <w:widowControl w:val="0"/>
              <w:pBdr>
                <w:top w:val="nil"/>
                <w:left w:val="nil"/>
                <w:bottom w:val="nil"/>
                <w:right w:val="nil"/>
                <w:between w:val="nil"/>
              </w:pBdr>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Composante 2 : Rédaction du projet, des décrets, textes spécifiques et études sur la loi sur les technologies de l’information et de la communication (Loi TIC)</w:t>
            </w:r>
          </w:p>
        </w:tc>
      </w:tr>
      <w:tr w:rsidR="004D19BE" w:rsidRPr="00CE32C6" w:rsidTr="004D19BE">
        <w:trPr>
          <w:trHeight w:val="283"/>
        </w:trPr>
        <w:tc>
          <w:tcPr>
            <w:tcW w:w="10065" w:type="dxa"/>
            <w:gridSpan w:val="2"/>
            <w:tcBorders>
              <w:top w:val="single" w:sz="12" w:space="0" w:color="000000"/>
              <w:left w:val="single" w:sz="12" w:space="0" w:color="000000"/>
              <w:bottom w:val="dotted" w:sz="4" w:space="0" w:color="000000"/>
              <w:right w:val="single" w:sz="12" w:space="0" w:color="000000"/>
            </w:tcBorders>
            <w:shd w:val="clear" w:color="auto" w:fill="DBE5F1"/>
            <w:vAlign w:val="center"/>
          </w:tcPr>
          <w:p w:rsidR="004D19BE" w:rsidRPr="00CE32C6" w:rsidRDefault="004D19BE" w:rsidP="00DD2F1F">
            <w:pPr>
              <w:widowControl w:val="0"/>
              <w:pBdr>
                <w:top w:val="nil"/>
                <w:left w:val="nil"/>
                <w:bottom w:val="nil"/>
                <w:right w:val="nil"/>
                <w:between w:val="nil"/>
              </w:pBdr>
              <w:spacing w:after="0"/>
              <w:jc w:val="both"/>
              <w:rPr>
                <w:rFonts w:ascii="Calibri" w:eastAsia="Calibri" w:hAnsi="Calibri" w:cs="Calibri"/>
                <w:color w:val="000000"/>
                <w:sz w:val="22"/>
                <w:szCs w:val="22"/>
                <w:lang w:val="fr-FR"/>
              </w:rPr>
            </w:pPr>
            <w:r w:rsidRPr="00CE32C6">
              <w:rPr>
                <w:rFonts w:ascii="Calibri" w:eastAsia="Calibri" w:hAnsi="Calibri" w:cs="Calibri"/>
                <w:b/>
                <w:color w:val="000000"/>
                <w:sz w:val="22"/>
                <w:szCs w:val="22"/>
                <w:lang w:val="fr-FR"/>
              </w:rPr>
              <w:t>Activités prévues</w:t>
            </w:r>
          </w:p>
        </w:tc>
      </w:tr>
      <w:tr w:rsidR="004D19BE" w:rsidRPr="00CE32C6" w:rsidTr="004D19BE">
        <w:trPr>
          <w:trHeight w:val="141"/>
        </w:trPr>
        <w:tc>
          <w:tcPr>
            <w:tcW w:w="10065" w:type="dxa"/>
            <w:gridSpan w:val="2"/>
            <w:tcBorders>
              <w:top w:val="dotted" w:sz="4" w:space="0" w:color="000000"/>
              <w:left w:val="single" w:sz="12" w:space="0" w:color="000000"/>
              <w:bottom w:val="single" w:sz="12" w:space="0" w:color="000000"/>
              <w:right w:val="single" w:sz="12" w:space="0" w:color="000000"/>
            </w:tcBorders>
            <w:shd w:val="clear" w:color="auto" w:fill="auto"/>
          </w:tcPr>
          <w:p w:rsidR="004D19BE" w:rsidRPr="00CE32C6" w:rsidRDefault="004D19BE" w:rsidP="00DD2F1F">
            <w:pPr>
              <w:widowControl w:val="0"/>
              <w:pBdr>
                <w:top w:val="nil"/>
                <w:left w:val="nil"/>
                <w:bottom w:val="nil"/>
                <w:right w:val="nil"/>
                <w:between w:val="nil"/>
              </w:pBdr>
              <w:spacing w:after="28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Activité 2.1 : Echanger et partager les bonnes pratiques sur le développement du droit des TIC, en s’appuyant sur l’expérience française et européenne et les leçons apprises avec les partenaires et les communautés locales.</w:t>
            </w:r>
          </w:p>
          <w:p w:rsidR="004D19BE" w:rsidRPr="00CE32C6" w:rsidRDefault="004D19BE" w:rsidP="00DD2F1F">
            <w:pPr>
              <w:widowControl w:val="0"/>
              <w:pBdr>
                <w:top w:val="nil"/>
                <w:left w:val="nil"/>
                <w:bottom w:val="nil"/>
                <w:right w:val="nil"/>
                <w:between w:val="nil"/>
              </w:pBdr>
              <w:spacing w:before="280" w:after="28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Les activités suivantes seront envisagées :</w:t>
            </w:r>
            <w:bookmarkStart w:id="34" w:name="_GoBack"/>
            <w:bookmarkEnd w:id="34"/>
          </w:p>
          <w:p w:rsidR="004D19BE" w:rsidRPr="00CE32C6" w:rsidRDefault="004D19BE" w:rsidP="00DD2F1F">
            <w:pPr>
              <w:widowControl w:val="0"/>
              <w:numPr>
                <w:ilvl w:val="0"/>
                <w:numId w:val="4"/>
              </w:numPr>
              <w:tabs>
                <w:tab w:val="left" w:pos="895"/>
              </w:tabs>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Echanger et partager les bonnes pratiques avec des experts français</w:t>
            </w:r>
          </w:p>
          <w:p w:rsidR="004D19BE" w:rsidRPr="00CE32C6" w:rsidRDefault="004D19BE" w:rsidP="00DD2F1F">
            <w:pPr>
              <w:widowControl w:val="0"/>
              <w:numPr>
                <w:ilvl w:val="0"/>
                <w:numId w:val="4"/>
              </w:numPr>
              <w:tabs>
                <w:tab w:val="left" w:pos="895"/>
              </w:tabs>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Documenter les leçons apprises du français pour l’adaptation nationale.</w:t>
            </w:r>
          </w:p>
          <w:p w:rsidR="004D19BE" w:rsidRPr="00CE32C6" w:rsidRDefault="004D19BE" w:rsidP="00DD2F1F">
            <w:pPr>
              <w:pStyle w:val="Paragraphedeliste"/>
              <w:numPr>
                <w:ilvl w:val="0"/>
                <w:numId w:val="4"/>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Organiser des webinaires de partage d’expérience, des ateliers et une visite d’étude impliquant des experts juridiques/techniques français pour les institutions clés (MPTC et autres ministères).</w:t>
            </w:r>
          </w:p>
          <w:p w:rsidR="004D19BE" w:rsidRPr="00CE32C6" w:rsidRDefault="004D19BE" w:rsidP="00DD2F1F">
            <w:pPr>
              <w:widowControl w:val="0"/>
              <w:numPr>
                <w:ilvl w:val="0"/>
                <w:numId w:val="4"/>
              </w:numPr>
              <w:tabs>
                <w:tab w:val="left" w:pos="895"/>
              </w:tabs>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Animer des ateliers de dialogue local avec les points focaux du secteur public, et les acteurs du secteur privé.</w:t>
            </w:r>
          </w:p>
          <w:p w:rsidR="004D19BE" w:rsidRPr="00CE32C6" w:rsidRDefault="004D19BE" w:rsidP="00DD2F1F">
            <w:pPr>
              <w:widowControl w:val="0"/>
              <w:numPr>
                <w:ilvl w:val="0"/>
                <w:numId w:val="4"/>
              </w:numPr>
              <w:tabs>
                <w:tab w:val="left" w:pos="895"/>
              </w:tabs>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 xml:space="preserve">Proposer des recommandations pour intégrer principalement les principes de durabilité : </w:t>
            </w:r>
          </w:p>
          <w:p w:rsidR="004D19BE" w:rsidRPr="00CE32C6" w:rsidRDefault="004D19BE" w:rsidP="00DD2F1F">
            <w:pPr>
              <w:numPr>
                <w:ilvl w:val="1"/>
                <w:numId w:val="4"/>
              </w:numPr>
              <w:spacing w:before="240" w:after="0" w:line="276" w:lineRule="auto"/>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Empreinte environnementale de l’infrastructure numérique (par exemple, centres de données, équipement réseau);</w:t>
            </w:r>
          </w:p>
          <w:p w:rsidR="004D19BE" w:rsidRPr="00CE32C6" w:rsidRDefault="004D19BE" w:rsidP="00DD2F1F">
            <w:pPr>
              <w:numPr>
                <w:ilvl w:val="1"/>
                <w:numId w:val="4"/>
              </w:numPr>
              <w:spacing w:after="0" w:line="276" w:lineRule="auto"/>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La gestion des déchets électroniques (e-</w:t>
            </w:r>
            <w:proofErr w:type="spellStart"/>
            <w:r w:rsidRPr="00CE32C6">
              <w:rPr>
                <w:rFonts w:ascii="Calibri" w:eastAsia="Calibri" w:hAnsi="Calibri" w:cs="Calibri"/>
                <w:color w:val="000000"/>
                <w:sz w:val="22"/>
                <w:szCs w:val="22"/>
                <w:lang w:val="fr-FR"/>
              </w:rPr>
              <w:t>waste</w:t>
            </w:r>
            <w:proofErr w:type="spellEnd"/>
            <w:r w:rsidRPr="00CE32C6">
              <w:rPr>
                <w:rFonts w:ascii="Calibri" w:eastAsia="Calibri" w:hAnsi="Calibri" w:cs="Calibri"/>
                <w:color w:val="000000"/>
                <w:sz w:val="22"/>
                <w:szCs w:val="22"/>
                <w:lang w:val="fr-FR"/>
              </w:rPr>
              <w:t>) et la promotion des pratiques d’économie circulaire ;</w:t>
            </w:r>
          </w:p>
          <w:p w:rsidR="004D19BE" w:rsidRPr="00CE32C6" w:rsidRDefault="004D19BE" w:rsidP="00DD2F1F">
            <w:pPr>
              <w:numPr>
                <w:ilvl w:val="1"/>
                <w:numId w:val="4"/>
              </w:numPr>
              <w:spacing w:after="0" w:line="276" w:lineRule="auto"/>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Sobriété numérique, en particulier dans les marchés publics et les grands projets d’infrastructure ;</w:t>
            </w:r>
          </w:p>
          <w:p w:rsidR="004D19BE" w:rsidRPr="00CE32C6" w:rsidRDefault="004D19BE" w:rsidP="00DD2F1F">
            <w:pPr>
              <w:numPr>
                <w:ilvl w:val="1"/>
                <w:numId w:val="4"/>
              </w:numPr>
              <w:spacing w:after="240" w:line="276" w:lineRule="auto"/>
              <w:jc w:val="both"/>
              <w:rPr>
                <w:rFonts w:ascii="Calibri" w:eastAsia="Calibri" w:hAnsi="Calibri" w:cs="Calibri"/>
                <w:color w:val="000000"/>
                <w:sz w:val="22"/>
                <w:szCs w:val="22"/>
                <w:lang w:val="fr-FR"/>
              </w:rPr>
            </w:pPr>
            <w:r>
              <w:rPr>
                <w:rFonts w:ascii="Calibri" w:eastAsia="Calibri" w:hAnsi="Calibri" w:cs="Calibri"/>
                <w:color w:val="000000"/>
                <w:sz w:val="22"/>
                <w:szCs w:val="22"/>
                <w:lang w:val="fr-FR"/>
              </w:rPr>
              <w:t>E</w:t>
            </w:r>
            <w:r w:rsidRPr="00CE32C6">
              <w:rPr>
                <w:rFonts w:ascii="Calibri" w:eastAsia="Calibri" w:hAnsi="Calibri" w:cs="Calibri"/>
                <w:color w:val="000000"/>
                <w:sz w:val="22"/>
                <w:szCs w:val="22"/>
                <w:lang w:val="fr-FR"/>
              </w:rPr>
              <w:t>coconception des services numériques, favorisant l’efficacité et l’innovation responsable.</w:t>
            </w:r>
          </w:p>
          <w:p w:rsidR="004D19BE" w:rsidRPr="00CE32C6" w:rsidRDefault="004D19BE" w:rsidP="00DD2F1F">
            <w:pPr>
              <w:widowControl w:val="0"/>
              <w:pBdr>
                <w:top w:val="nil"/>
                <w:left w:val="nil"/>
                <w:bottom w:val="nil"/>
                <w:right w:val="nil"/>
                <w:between w:val="nil"/>
              </w:pBdr>
              <w:spacing w:before="280" w:after="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Livrables attendus :</w:t>
            </w:r>
          </w:p>
          <w:p w:rsidR="004D19BE" w:rsidRPr="00CE32C6" w:rsidRDefault="004D19BE" w:rsidP="00DD2F1F">
            <w:pPr>
              <w:pStyle w:val="Paragraphedeliste"/>
              <w:widowControl w:val="0"/>
              <w:numPr>
                <w:ilvl w:val="0"/>
                <w:numId w:val="4"/>
              </w:numPr>
              <w:pBdr>
                <w:top w:val="nil"/>
                <w:left w:val="nil"/>
                <w:bottom w:val="nil"/>
                <w:right w:val="nil"/>
                <w:between w:val="nil"/>
              </w:pBdr>
              <w:spacing w:before="280" w:after="28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 xml:space="preserve">Rapport de recommandations sur les principales considérations pour le droit des TIC, y compris les recommandations/principes sur la durabilité dans le secteur numérique (écoconception des services, </w:t>
            </w:r>
            <w:proofErr w:type="spellStart"/>
            <w:r w:rsidRPr="00CE32C6">
              <w:rPr>
                <w:rFonts w:ascii="Calibri" w:eastAsia="Calibri" w:hAnsi="Calibri" w:cs="Calibri"/>
                <w:color w:val="000000"/>
                <w:sz w:val="22"/>
                <w:szCs w:val="22"/>
                <w:lang w:val="fr-FR"/>
              </w:rPr>
              <w:t>éco-conception</w:t>
            </w:r>
            <w:proofErr w:type="spellEnd"/>
            <w:r w:rsidRPr="00CE32C6">
              <w:rPr>
                <w:rFonts w:ascii="Calibri" w:eastAsia="Calibri" w:hAnsi="Calibri" w:cs="Calibri"/>
                <w:color w:val="000000"/>
                <w:sz w:val="22"/>
                <w:szCs w:val="22"/>
                <w:lang w:val="fr-FR"/>
              </w:rPr>
              <w:t xml:space="preserve"> et développement des éléments constitutifs de l’administration en ligne, efficacité énergétique, partage des infrastructures, durée de vie des équipements, marchés publics durables, etc.)</w:t>
            </w:r>
          </w:p>
          <w:p w:rsidR="004D19BE" w:rsidRPr="00CE32C6" w:rsidRDefault="004D19BE" w:rsidP="00DD2F1F">
            <w:pPr>
              <w:widowControl w:val="0"/>
              <w:pBdr>
                <w:top w:val="nil"/>
                <w:left w:val="nil"/>
                <w:bottom w:val="nil"/>
                <w:right w:val="nil"/>
                <w:between w:val="nil"/>
              </w:pBdr>
              <w:spacing w:before="280" w:after="28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Activité 2.2 : Identifier les différents domaines du droit à partir d’études comparatives et de l’expérience française et européenne.</w:t>
            </w:r>
          </w:p>
          <w:p w:rsidR="004D19BE" w:rsidRPr="00CE32C6" w:rsidRDefault="004D19BE" w:rsidP="00DD2F1F">
            <w:pPr>
              <w:widowControl w:val="0"/>
              <w:pBdr>
                <w:top w:val="nil"/>
                <w:left w:val="nil"/>
                <w:bottom w:val="nil"/>
                <w:right w:val="nil"/>
                <w:between w:val="nil"/>
              </w:pBdr>
              <w:spacing w:before="280" w:after="28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Les activités suivantes seront envisagées :</w:t>
            </w:r>
          </w:p>
          <w:p w:rsidR="004D19BE" w:rsidRPr="00CE32C6" w:rsidRDefault="004D19BE" w:rsidP="00DD2F1F">
            <w:pPr>
              <w:pStyle w:val="Paragraphedeliste"/>
              <w:widowControl w:val="0"/>
              <w:numPr>
                <w:ilvl w:val="0"/>
                <w:numId w:val="4"/>
              </w:numPr>
              <w:spacing w:before="280" w:after="28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 xml:space="preserve">Effectuer une analyse juridique comparative des lois sur les TIC en France (loi pour une république numérique, loi pour la confiance dans l’économie numérique, loi visant à sécuriser et réguler l’espace numérique etc..) et l’UE (Stratégie pour le marché unique numérique de l’UE et réglementations numériques européennes (par exemple, la loi sur les services numériques, la loi sur le marché numérique, la loi sur la </w:t>
            </w:r>
            <w:proofErr w:type="spellStart"/>
            <w:r w:rsidRPr="00CE32C6">
              <w:rPr>
                <w:rFonts w:ascii="Calibri" w:eastAsia="Calibri" w:hAnsi="Calibri" w:cs="Calibri"/>
                <w:color w:val="000000"/>
                <w:sz w:val="22"/>
                <w:szCs w:val="22"/>
                <w:lang w:val="fr-FR"/>
              </w:rPr>
              <w:t>cybersécurité</w:t>
            </w:r>
            <w:proofErr w:type="spellEnd"/>
            <w:r w:rsidRPr="00CE32C6">
              <w:rPr>
                <w:rFonts w:ascii="Calibri" w:eastAsia="Calibri" w:hAnsi="Calibri" w:cs="Calibri"/>
                <w:color w:val="000000"/>
                <w:sz w:val="22"/>
                <w:szCs w:val="22"/>
                <w:lang w:val="fr-FR"/>
              </w:rPr>
              <w:t>, la loi sur les données, etc.))</w:t>
            </w:r>
          </w:p>
          <w:p w:rsidR="004D19BE" w:rsidRPr="00CE32C6" w:rsidRDefault="004D19BE" w:rsidP="00DD2F1F">
            <w:pPr>
              <w:pStyle w:val="Paragraphedeliste"/>
              <w:widowControl w:val="0"/>
              <w:numPr>
                <w:ilvl w:val="0"/>
                <w:numId w:val="4"/>
              </w:numPr>
              <w:spacing w:before="280" w:after="28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Identifier et cartographier les domaines thématiques pertinents : par exemple, identité numérique, signature électronique, réglementation des plateformes, réglementation environnementale, etc.</w:t>
            </w:r>
          </w:p>
          <w:p w:rsidR="004D19BE" w:rsidRPr="00CE32C6" w:rsidRDefault="004D19BE" w:rsidP="00DD2F1F">
            <w:pPr>
              <w:pStyle w:val="Paragraphedeliste"/>
              <w:widowControl w:val="0"/>
              <w:numPr>
                <w:ilvl w:val="0"/>
                <w:numId w:val="4"/>
              </w:numPr>
              <w:spacing w:before="280" w:after="28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Engager des experts juridiques nationaux/régionaux pour proposer des cadres nationaux d’adaptation par thème.</w:t>
            </w:r>
          </w:p>
          <w:p w:rsidR="004D19BE" w:rsidRPr="00CE32C6" w:rsidRDefault="004D19BE" w:rsidP="00DD2F1F">
            <w:pPr>
              <w:widowControl w:val="0"/>
              <w:pBdr>
                <w:top w:val="nil"/>
                <w:left w:val="nil"/>
                <w:bottom w:val="nil"/>
                <w:right w:val="nil"/>
                <w:between w:val="nil"/>
              </w:pBdr>
              <w:spacing w:before="280" w:after="28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Livrables attendus :</w:t>
            </w:r>
          </w:p>
          <w:p w:rsidR="004D19BE" w:rsidRPr="00CE32C6" w:rsidRDefault="004D19BE" w:rsidP="00DD2F1F">
            <w:pPr>
              <w:pStyle w:val="Paragraphedeliste"/>
              <w:widowControl w:val="0"/>
              <w:numPr>
                <w:ilvl w:val="0"/>
                <w:numId w:val="4"/>
              </w:numPr>
              <w:spacing w:before="280" w:after="28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Document de répartition thématique : liste des domaines juridiques à couvrir dans la loi sur les TIC.</w:t>
            </w:r>
          </w:p>
          <w:p w:rsidR="004D19BE" w:rsidRPr="00CE32C6" w:rsidRDefault="004D19BE" w:rsidP="00DD2F1F">
            <w:pPr>
              <w:pStyle w:val="Paragraphedeliste"/>
              <w:widowControl w:val="0"/>
              <w:numPr>
                <w:ilvl w:val="0"/>
                <w:numId w:val="4"/>
              </w:numPr>
              <w:spacing w:before="280" w:after="28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Matrice des lacunes et des opportunités pour l’intégration nationale.</w:t>
            </w:r>
          </w:p>
          <w:p w:rsidR="004D19BE" w:rsidRPr="00CE32C6" w:rsidRDefault="004D19BE" w:rsidP="00DD2F1F">
            <w:pPr>
              <w:widowControl w:val="0"/>
              <w:pBdr>
                <w:top w:val="nil"/>
                <w:left w:val="nil"/>
                <w:bottom w:val="nil"/>
                <w:right w:val="nil"/>
                <w:between w:val="nil"/>
              </w:pBdr>
              <w:spacing w:before="280" w:after="28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 xml:space="preserve"> Activité 2.3</w:t>
            </w:r>
            <w:r w:rsidRPr="00CE32C6">
              <w:rPr>
                <w:rFonts w:ascii="Calibri" w:eastAsia="Calibri" w:hAnsi="Calibri" w:cs="Calibri"/>
                <w:b/>
                <w:sz w:val="22"/>
                <w:szCs w:val="22"/>
                <w:u w:val="single"/>
                <w:lang w:val="fr-FR"/>
              </w:rPr>
              <w:t> : Ecrivez la vision d’ensemble et les différents thèmes selon la méthodologie proposée alignée à partir de l’expérience française et européenne.</w:t>
            </w:r>
          </w:p>
          <w:p w:rsidR="004D19BE" w:rsidRPr="00CE32C6" w:rsidRDefault="004D19BE" w:rsidP="00DD2F1F">
            <w:pPr>
              <w:widowControl w:val="0"/>
              <w:pBdr>
                <w:top w:val="nil"/>
                <w:left w:val="nil"/>
                <w:bottom w:val="nil"/>
                <w:right w:val="nil"/>
                <w:between w:val="nil"/>
              </w:pBdr>
              <w:spacing w:before="280" w:after="28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Les activités suivantes devraient être envisagées :</w:t>
            </w:r>
          </w:p>
          <w:p w:rsidR="004D19BE" w:rsidRPr="00CE32C6" w:rsidRDefault="004D19BE" w:rsidP="00DD2F1F">
            <w:pPr>
              <w:pStyle w:val="Paragraphedeliste"/>
              <w:widowControl w:val="0"/>
              <w:numPr>
                <w:ilvl w:val="0"/>
                <w:numId w:val="4"/>
              </w:numPr>
              <w:spacing w:before="280" w:after="28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Elaborer un guide méthodologique inspiré de l’exemple français et européen pour la rédaction des dispositions thématiques (processus, sources et étapes de validation).</w:t>
            </w:r>
          </w:p>
          <w:p w:rsidR="004D19BE" w:rsidRPr="00CE32C6" w:rsidRDefault="004D19BE" w:rsidP="00DD2F1F">
            <w:pPr>
              <w:pStyle w:val="Paragraphedeliste"/>
              <w:widowControl w:val="0"/>
              <w:numPr>
                <w:ilvl w:val="0"/>
                <w:numId w:val="4"/>
              </w:numPr>
              <w:spacing w:before="280" w:after="28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Définir une vision nationale pour la réglementation des TIC en consultation avec les acteurs publics, privés et de la société civile.</w:t>
            </w:r>
          </w:p>
          <w:p w:rsidR="004D19BE" w:rsidRPr="00CE32C6" w:rsidRDefault="004D19BE" w:rsidP="00DD2F1F">
            <w:pPr>
              <w:pStyle w:val="Paragraphedeliste"/>
              <w:widowControl w:val="0"/>
              <w:numPr>
                <w:ilvl w:val="0"/>
                <w:numId w:val="4"/>
              </w:numPr>
              <w:spacing w:before="280" w:after="28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Rédiger le cadre conceptuel et stratégique de la loi (objectifs, principes directeurs, mécanismes d’application).</w:t>
            </w:r>
          </w:p>
          <w:p w:rsidR="004D19BE" w:rsidRPr="00CE32C6" w:rsidRDefault="004D19BE" w:rsidP="00DD2F1F">
            <w:pPr>
              <w:pStyle w:val="Paragraphedeliste"/>
              <w:widowControl w:val="0"/>
              <w:numPr>
                <w:ilvl w:val="0"/>
                <w:numId w:val="4"/>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Projet de textes juridiques initiaux, décrets et notes explicatives par thème.</w:t>
            </w:r>
          </w:p>
          <w:p w:rsidR="004D19BE" w:rsidRPr="00E17B7C" w:rsidRDefault="004D19BE" w:rsidP="00DD2F1F">
            <w:pPr>
              <w:numPr>
                <w:ilvl w:val="0"/>
                <w:numId w:val="4"/>
              </w:numPr>
              <w:spacing w:after="0" w:line="276" w:lineRule="auto"/>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Soutenir l’élaboration d’une évaluation d’impact réglementaire (RIA) pour le projet de loi final.</w:t>
            </w:r>
          </w:p>
          <w:p w:rsidR="004D19BE" w:rsidRPr="00CE32C6" w:rsidRDefault="004D19BE" w:rsidP="00DD2F1F">
            <w:pPr>
              <w:widowControl w:val="0"/>
              <w:pBdr>
                <w:top w:val="nil"/>
                <w:left w:val="nil"/>
                <w:bottom w:val="nil"/>
                <w:right w:val="nil"/>
                <w:between w:val="nil"/>
              </w:pBdr>
              <w:spacing w:before="280" w:after="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Livrables attendus :</w:t>
            </w:r>
          </w:p>
          <w:p w:rsidR="004D19BE" w:rsidRPr="00CE32C6" w:rsidRDefault="004D19BE" w:rsidP="00DD2F1F">
            <w:pPr>
              <w:widowControl w:val="0"/>
              <w:pBdr>
                <w:top w:val="nil"/>
                <w:left w:val="nil"/>
                <w:bottom w:val="nil"/>
                <w:right w:val="nil"/>
                <w:between w:val="nil"/>
              </w:pBdr>
              <w:spacing w:after="0"/>
              <w:ind w:right="142"/>
              <w:jc w:val="both"/>
              <w:rPr>
                <w:rFonts w:ascii="Calibri" w:eastAsia="Calibri" w:hAnsi="Calibri" w:cs="Calibri"/>
                <w:b/>
                <w:color w:val="000000"/>
                <w:sz w:val="22"/>
                <w:szCs w:val="22"/>
                <w:u w:val="single"/>
                <w:lang w:val="fr-FR"/>
              </w:rPr>
            </w:pPr>
          </w:p>
          <w:p w:rsidR="004D19BE" w:rsidRPr="00CE32C6" w:rsidRDefault="004D19BE" w:rsidP="00DD2F1F">
            <w:pPr>
              <w:widowControl w:val="0"/>
              <w:numPr>
                <w:ilvl w:val="0"/>
                <w:numId w:val="4"/>
              </w:numPr>
              <w:pBdr>
                <w:top w:val="nil"/>
                <w:left w:val="nil"/>
                <w:bottom w:val="nil"/>
                <w:right w:val="nil"/>
                <w:between w:val="nil"/>
              </w:pBd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Projet final de dispositions légales ou de décrets sur des domaines thématiques clés avec aperçu ou structure de la loi sur les TIC (chapitres principaux, champ d’application, définitions).</w:t>
            </w:r>
          </w:p>
          <w:p w:rsidR="004D19BE" w:rsidRPr="00CE32C6" w:rsidRDefault="004D19BE" w:rsidP="00DD2F1F">
            <w:pPr>
              <w:widowControl w:val="0"/>
              <w:numPr>
                <w:ilvl w:val="0"/>
                <w:numId w:val="4"/>
              </w:numPr>
              <w:pBdr>
                <w:top w:val="nil"/>
                <w:left w:val="nil"/>
                <w:bottom w:val="nil"/>
                <w:right w:val="nil"/>
                <w:between w:val="nil"/>
              </w:pBd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Document décrivant la vision nationale et les principes directeurs pour la loi sur les TIC.</w:t>
            </w:r>
          </w:p>
          <w:p w:rsidR="004D19BE" w:rsidRPr="00CE32C6" w:rsidRDefault="004D19BE" w:rsidP="00DD2F1F">
            <w:pPr>
              <w:widowControl w:val="0"/>
              <w:numPr>
                <w:ilvl w:val="0"/>
                <w:numId w:val="4"/>
              </w:numPr>
              <w:pBdr>
                <w:top w:val="nil"/>
                <w:left w:val="nil"/>
                <w:bottom w:val="nil"/>
                <w:right w:val="nil"/>
                <w:between w:val="nil"/>
              </w:pBd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Rapport d’EIR provisoire et final.</w:t>
            </w:r>
          </w:p>
          <w:p w:rsidR="004D19BE" w:rsidRPr="00CE32C6" w:rsidRDefault="004D19BE" w:rsidP="00DD2F1F">
            <w:pPr>
              <w:widowControl w:val="0"/>
              <w:pBdr>
                <w:top w:val="nil"/>
                <w:left w:val="nil"/>
                <w:bottom w:val="nil"/>
                <w:right w:val="nil"/>
                <w:between w:val="nil"/>
              </w:pBdr>
              <w:spacing w:before="280" w:after="28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 xml:space="preserve">Expertise disponible pour toutes les activités : </w:t>
            </w:r>
          </w:p>
          <w:p w:rsidR="004D19BE" w:rsidRPr="00CE32C6" w:rsidRDefault="004D19BE" w:rsidP="00DD2F1F">
            <w:pPr>
              <w:widowControl w:val="0"/>
              <w:pBdr>
                <w:top w:val="nil"/>
                <w:left w:val="nil"/>
                <w:bottom w:val="nil"/>
                <w:right w:val="nil"/>
                <w:between w:val="nil"/>
              </w:pBdr>
              <w:spacing w:before="280" w:after="0" w:line="276" w:lineRule="auto"/>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Les experts qui ont activement contribué au développement de la loi pour une république numérique en France et l’équipe d’experts mobilisés sont expérimentés dans des projets TIC français ou européens.</w:t>
            </w:r>
          </w:p>
        </w:tc>
      </w:tr>
    </w:tbl>
    <w:p w:rsidR="004D19BE" w:rsidRPr="00CE32C6" w:rsidRDefault="004D19BE" w:rsidP="004D19BE">
      <w:pPr>
        <w:jc w:val="both"/>
        <w:rPr>
          <w:lang w:val="fr-FR"/>
        </w:rPr>
      </w:pPr>
    </w:p>
    <w:p w:rsidR="004D19BE" w:rsidRPr="00CE32C6" w:rsidRDefault="004D19BE" w:rsidP="004D19BE">
      <w:pPr>
        <w:pStyle w:val="Titre3"/>
        <w:rPr>
          <w:lang w:val="fr-FR"/>
        </w:rPr>
      </w:pPr>
      <w:bookmarkStart w:id="35" w:name="_Toc190183902"/>
      <w:bookmarkStart w:id="36" w:name="_Toc191560490"/>
      <w:bookmarkStart w:id="37" w:name="_Toc204328342"/>
      <w:bookmarkStart w:id="38" w:name="_Toc209186015"/>
      <w:r w:rsidRPr="00CE32C6">
        <w:rPr>
          <w:lang w:val="fr-FR"/>
        </w:rPr>
        <w:t>Composante 3 : Élaboration et opérationnalisation du cadre juridique et stratégique spécifique au développement d’un gouvernement numérique durable et centré sur l’humain</w:t>
      </w:r>
      <w:bookmarkEnd w:id="35"/>
      <w:bookmarkEnd w:id="36"/>
      <w:bookmarkEnd w:id="37"/>
      <w:bookmarkEnd w:id="38"/>
    </w:p>
    <w:p w:rsidR="004D19BE" w:rsidRPr="00CE32C6" w:rsidRDefault="004D19BE" w:rsidP="004D19BE">
      <w:pPr>
        <w:rPr>
          <w:lang w:val="fr-FR"/>
        </w:rPr>
      </w:pPr>
    </w:p>
    <w:tbl>
      <w:tblPr>
        <w:tblW w:w="1020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646"/>
      </w:tblGrid>
      <w:tr w:rsidR="004D19BE" w:rsidRPr="00CE32C6" w:rsidTr="004D19BE">
        <w:trPr>
          <w:trHeight w:val="289"/>
        </w:trPr>
        <w:tc>
          <w:tcPr>
            <w:tcW w:w="1560" w:type="dxa"/>
            <w:tcBorders>
              <w:top w:val="single" w:sz="12" w:space="0" w:color="000000"/>
              <w:left w:val="single" w:sz="12" w:space="0" w:color="000000"/>
              <w:bottom w:val="single" w:sz="12" w:space="0" w:color="000000"/>
              <w:right w:val="single" w:sz="4" w:space="0" w:color="000000"/>
            </w:tcBorders>
            <w:shd w:val="clear" w:color="auto" w:fill="1F497D"/>
            <w:vAlign w:val="center"/>
          </w:tcPr>
          <w:p w:rsidR="004D19BE" w:rsidRPr="00CE32C6" w:rsidRDefault="004D19BE" w:rsidP="00DD2F1F">
            <w:pPr>
              <w:widowControl w:val="0"/>
              <w:pBdr>
                <w:top w:val="nil"/>
                <w:left w:val="nil"/>
                <w:bottom w:val="nil"/>
                <w:right w:val="nil"/>
                <w:between w:val="nil"/>
              </w:pBdr>
              <w:spacing w:after="0"/>
              <w:rPr>
                <w:rFonts w:ascii="Calibri" w:eastAsia="Calibri" w:hAnsi="Calibri" w:cs="Calibri"/>
                <w:b/>
                <w:color w:val="000000"/>
                <w:sz w:val="22"/>
                <w:szCs w:val="22"/>
                <w:lang w:val="fr-FR"/>
              </w:rPr>
            </w:pPr>
            <w:r w:rsidRPr="00CE32C6">
              <w:rPr>
                <w:rFonts w:ascii="Calibri" w:eastAsia="Calibri" w:hAnsi="Calibri" w:cs="Calibri"/>
                <w:b/>
                <w:color w:val="FFFFFF"/>
                <w:sz w:val="22"/>
                <w:szCs w:val="22"/>
                <w:lang w:val="fr-FR"/>
              </w:rPr>
              <w:t>Composante 3</w:t>
            </w:r>
          </w:p>
        </w:tc>
        <w:tc>
          <w:tcPr>
            <w:tcW w:w="8646" w:type="dxa"/>
            <w:tcBorders>
              <w:top w:val="nil"/>
              <w:left w:val="single" w:sz="4" w:space="0" w:color="000000"/>
              <w:bottom w:val="single" w:sz="12" w:space="0" w:color="000000"/>
              <w:right w:val="nil"/>
            </w:tcBorders>
            <w:shd w:val="clear" w:color="auto" w:fill="FFFFFF"/>
            <w:vAlign w:val="center"/>
          </w:tcPr>
          <w:p w:rsidR="004D19BE" w:rsidRPr="00CE32C6" w:rsidRDefault="004D19BE" w:rsidP="00DD2F1F">
            <w:pPr>
              <w:widowControl w:val="0"/>
              <w:pBdr>
                <w:top w:val="nil"/>
                <w:left w:val="nil"/>
                <w:bottom w:val="nil"/>
                <w:right w:val="nil"/>
                <w:between w:val="nil"/>
              </w:pBdr>
              <w:spacing w:after="0"/>
              <w:ind w:right="627"/>
              <w:jc w:val="both"/>
              <w:rPr>
                <w:rFonts w:cs="Cambria"/>
                <w:b/>
                <w:i/>
                <w:color w:val="000000"/>
                <w:sz w:val="16"/>
                <w:szCs w:val="16"/>
                <w:lang w:val="fr-FR"/>
              </w:rPr>
            </w:pPr>
          </w:p>
        </w:tc>
      </w:tr>
      <w:tr w:rsidR="004D19BE" w:rsidRPr="00CE32C6" w:rsidTr="004D19BE">
        <w:trPr>
          <w:trHeight w:val="325"/>
        </w:trPr>
        <w:tc>
          <w:tcPr>
            <w:tcW w:w="10206" w:type="dxa"/>
            <w:gridSpan w:val="2"/>
            <w:tcBorders>
              <w:top w:val="single" w:sz="12" w:space="0" w:color="000000"/>
              <w:left w:val="single" w:sz="12" w:space="0" w:color="000000"/>
              <w:bottom w:val="dotted" w:sz="4" w:space="0" w:color="000000"/>
              <w:right w:val="single" w:sz="12" w:space="0" w:color="000000"/>
            </w:tcBorders>
            <w:shd w:val="clear" w:color="auto" w:fill="DBE5F1"/>
            <w:vAlign w:val="center"/>
          </w:tcPr>
          <w:p w:rsidR="004D19BE" w:rsidRPr="00CE32C6" w:rsidRDefault="004D19BE" w:rsidP="00DD2F1F">
            <w:pPr>
              <w:widowControl w:val="0"/>
              <w:pBdr>
                <w:top w:val="nil"/>
                <w:left w:val="nil"/>
                <w:bottom w:val="nil"/>
                <w:right w:val="nil"/>
                <w:between w:val="nil"/>
              </w:pBdr>
              <w:spacing w:after="0"/>
              <w:jc w:val="both"/>
              <w:rPr>
                <w:rFonts w:ascii="Calibri" w:eastAsia="Calibri" w:hAnsi="Calibri" w:cs="Calibri"/>
                <w:color w:val="000000"/>
                <w:sz w:val="22"/>
                <w:szCs w:val="22"/>
                <w:lang w:val="fr-FR"/>
              </w:rPr>
            </w:pPr>
            <w:r w:rsidRPr="00CE32C6">
              <w:rPr>
                <w:rFonts w:ascii="Calibri" w:eastAsia="Calibri" w:hAnsi="Calibri" w:cs="Calibri"/>
                <w:b/>
                <w:color w:val="000000"/>
                <w:sz w:val="22"/>
                <w:szCs w:val="22"/>
                <w:lang w:val="fr-FR"/>
              </w:rPr>
              <w:t>Objectif de la composante</w:t>
            </w:r>
          </w:p>
        </w:tc>
      </w:tr>
      <w:tr w:rsidR="004D19BE" w:rsidRPr="00CE32C6" w:rsidTr="004D19BE">
        <w:trPr>
          <w:trHeight w:val="557"/>
        </w:trPr>
        <w:tc>
          <w:tcPr>
            <w:tcW w:w="10206" w:type="dxa"/>
            <w:gridSpan w:val="2"/>
            <w:tcBorders>
              <w:top w:val="dotted" w:sz="4" w:space="0" w:color="000000"/>
              <w:left w:val="single" w:sz="12" w:space="0" w:color="000000"/>
              <w:bottom w:val="single" w:sz="12" w:space="0" w:color="000000"/>
              <w:right w:val="single" w:sz="12" w:space="0" w:color="000000"/>
            </w:tcBorders>
            <w:shd w:val="clear" w:color="auto" w:fill="auto"/>
          </w:tcPr>
          <w:p w:rsidR="004D19BE" w:rsidRPr="00CE32C6" w:rsidRDefault="004D19BE" w:rsidP="00DD2F1F">
            <w:pPr>
              <w:widowControl w:val="0"/>
              <w:pBdr>
                <w:top w:val="nil"/>
                <w:left w:val="nil"/>
                <w:bottom w:val="nil"/>
                <w:right w:val="nil"/>
                <w:between w:val="nil"/>
              </w:pBd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Élaboration et opérationnalisation du cadre juridique et stratégique spécifique au développement d’un gouvernement numérique durable et centré sur l’humain</w:t>
            </w:r>
          </w:p>
        </w:tc>
      </w:tr>
      <w:tr w:rsidR="004D19BE" w:rsidRPr="00CE32C6" w:rsidTr="004D19BE">
        <w:trPr>
          <w:trHeight w:val="283"/>
        </w:trPr>
        <w:tc>
          <w:tcPr>
            <w:tcW w:w="10206" w:type="dxa"/>
            <w:gridSpan w:val="2"/>
            <w:tcBorders>
              <w:top w:val="single" w:sz="12" w:space="0" w:color="000000"/>
              <w:left w:val="single" w:sz="12" w:space="0" w:color="000000"/>
              <w:bottom w:val="dotted" w:sz="4" w:space="0" w:color="000000"/>
              <w:right w:val="single" w:sz="12" w:space="0" w:color="000000"/>
            </w:tcBorders>
            <w:shd w:val="clear" w:color="auto" w:fill="DBE5F1"/>
            <w:vAlign w:val="center"/>
          </w:tcPr>
          <w:p w:rsidR="004D19BE" w:rsidRPr="00CE32C6" w:rsidRDefault="004D19BE" w:rsidP="00DD2F1F">
            <w:pPr>
              <w:widowControl w:val="0"/>
              <w:pBdr>
                <w:top w:val="nil"/>
                <w:left w:val="nil"/>
                <w:bottom w:val="nil"/>
                <w:right w:val="nil"/>
                <w:between w:val="nil"/>
              </w:pBdr>
              <w:spacing w:after="0"/>
              <w:jc w:val="both"/>
              <w:rPr>
                <w:rFonts w:ascii="Calibri" w:eastAsia="Calibri" w:hAnsi="Calibri" w:cs="Calibri"/>
                <w:color w:val="000000"/>
                <w:sz w:val="22"/>
                <w:szCs w:val="22"/>
                <w:lang w:val="fr-FR"/>
              </w:rPr>
            </w:pPr>
            <w:r w:rsidRPr="00CE32C6">
              <w:rPr>
                <w:rFonts w:ascii="Calibri" w:eastAsia="Calibri" w:hAnsi="Calibri" w:cs="Calibri"/>
                <w:b/>
                <w:color w:val="000000"/>
                <w:sz w:val="22"/>
                <w:szCs w:val="22"/>
                <w:lang w:val="fr-FR"/>
              </w:rPr>
              <w:t xml:space="preserve">Activités prévues </w:t>
            </w:r>
          </w:p>
        </w:tc>
      </w:tr>
      <w:tr w:rsidR="004D19BE" w:rsidRPr="00CE32C6" w:rsidTr="004D19BE">
        <w:trPr>
          <w:trHeight w:val="6662"/>
        </w:trPr>
        <w:tc>
          <w:tcPr>
            <w:tcW w:w="10206" w:type="dxa"/>
            <w:gridSpan w:val="2"/>
            <w:tcBorders>
              <w:top w:val="dotted" w:sz="4" w:space="0" w:color="000000"/>
              <w:left w:val="single" w:sz="12" w:space="0" w:color="000000"/>
              <w:bottom w:val="dotted" w:sz="4" w:space="0" w:color="000000"/>
              <w:right w:val="single" w:sz="12" w:space="0" w:color="000000"/>
            </w:tcBorders>
            <w:shd w:val="clear" w:color="auto" w:fill="auto"/>
          </w:tcPr>
          <w:p w:rsidR="004D19BE" w:rsidRPr="00CE32C6" w:rsidRDefault="004D19BE" w:rsidP="00DD2F1F">
            <w:pPr>
              <w:widowControl w:val="0"/>
              <w:pBdr>
                <w:top w:val="nil"/>
                <w:left w:val="nil"/>
                <w:bottom w:val="nil"/>
                <w:right w:val="nil"/>
                <w:between w:val="nil"/>
              </w:pBdr>
              <w:spacing w:before="280" w:after="280" w:line="276" w:lineRule="auto"/>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Activité 3.1 : Proposer des mises à jour (basées sur la législation rédigée avec le soutien d’experts coréens) sur la gouvernance des données, le cadre d’interopérabilité, l’informatique en nuage et autres pour aligner le cadre juridique du gouvernement numérique sur les normes internationales.</w:t>
            </w:r>
          </w:p>
          <w:p w:rsidR="004D19BE" w:rsidRPr="00CE32C6" w:rsidRDefault="004D19BE" w:rsidP="00DD2F1F">
            <w:pPr>
              <w:widowControl w:val="0"/>
              <w:pBdr>
                <w:top w:val="nil"/>
                <w:left w:val="nil"/>
                <w:bottom w:val="nil"/>
                <w:right w:val="nil"/>
                <w:between w:val="nil"/>
              </w:pBdr>
              <w:spacing w:before="280" w:after="280" w:line="276" w:lineRule="auto"/>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Les activités suivantes seront considérées</w:t>
            </w:r>
          </w:p>
          <w:p w:rsidR="004D19BE" w:rsidRPr="00CE32C6" w:rsidRDefault="004D19BE" w:rsidP="004D19BE">
            <w:pPr>
              <w:pStyle w:val="Paragraphedeliste"/>
              <w:numPr>
                <w:ilvl w:val="0"/>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Examiner et analyser la législation précédemment rédigée avec le soutien de la Corée.</w:t>
            </w:r>
          </w:p>
          <w:p w:rsidR="004D19BE" w:rsidRPr="00CE32C6" w:rsidRDefault="004D19BE" w:rsidP="004D19BE">
            <w:pPr>
              <w:pStyle w:val="Paragraphedeliste"/>
              <w:numPr>
                <w:ilvl w:val="0"/>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Comparez les projets existants aux normes et bonnes pratiques internationales (par exemple, UE, OCDE).</w:t>
            </w:r>
          </w:p>
          <w:p w:rsidR="004D19BE" w:rsidRPr="00CE32C6" w:rsidRDefault="004D19BE" w:rsidP="004D19BE">
            <w:pPr>
              <w:pStyle w:val="Paragraphedeliste"/>
              <w:numPr>
                <w:ilvl w:val="0"/>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Mener des consultations auprès des intervenants (p. ex., experts juridiques, architectes du gouvernement numérique, ministères) pour valider les lacunes et les priorités.</w:t>
            </w:r>
          </w:p>
          <w:p w:rsidR="004D19BE" w:rsidRPr="00CE32C6" w:rsidRDefault="004D19BE" w:rsidP="004D19BE">
            <w:pPr>
              <w:pStyle w:val="Paragraphedeliste"/>
              <w:numPr>
                <w:ilvl w:val="0"/>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 xml:space="preserve">Rédiger des mises à jour juridiques ou des modifications dans les domaines de et l’aligner avec le plan de genre rédigé lors de la phase de faisabilité : </w:t>
            </w:r>
          </w:p>
          <w:p w:rsidR="004D19BE" w:rsidRPr="00CE32C6" w:rsidRDefault="004D19BE" w:rsidP="004D19BE">
            <w:pPr>
              <w:numPr>
                <w:ilvl w:val="1"/>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Infrastructure numérique</w:t>
            </w:r>
          </w:p>
          <w:p w:rsidR="004D19BE" w:rsidRPr="00CE32C6" w:rsidRDefault="004D19BE" w:rsidP="004D19BE">
            <w:pPr>
              <w:numPr>
                <w:ilvl w:val="1"/>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Services numériques (accent sur une approche de conception centrée sur l’humain qui inclura un dialogue continu et inclusif avec les utilisateurs pour capturer leurs attentes et les refléter dans la conception du service)</w:t>
            </w:r>
          </w:p>
          <w:p w:rsidR="004D19BE" w:rsidRPr="00CE32C6" w:rsidRDefault="004D19BE" w:rsidP="004D19BE">
            <w:pPr>
              <w:numPr>
                <w:ilvl w:val="1"/>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Gouvernance des données (y compris la gestion, la qualité, l’éthique, le genre et la transparence)</w:t>
            </w:r>
          </w:p>
          <w:p w:rsidR="004D19BE" w:rsidRPr="00CE32C6" w:rsidRDefault="004D19BE" w:rsidP="004D19BE">
            <w:pPr>
              <w:numPr>
                <w:ilvl w:val="1"/>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Interopérabilité (normes, protocoles, API)</w:t>
            </w:r>
          </w:p>
          <w:p w:rsidR="004D19BE" w:rsidRPr="00CE32C6" w:rsidRDefault="004D19BE" w:rsidP="004D19BE">
            <w:pPr>
              <w:numPr>
                <w:ilvl w:val="1"/>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Informatique en nuage (souveraineté, approvisionnement, sécurité, certification)</w:t>
            </w:r>
          </w:p>
          <w:p w:rsidR="004D19BE" w:rsidRPr="00CE32C6" w:rsidRDefault="004D19BE" w:rsidP="004D19BE">
            <w:pPr>
              <w:numPr>
                <w:ilvl w:val="0"/>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 xml:space="preserve">Soutenir un </w:t>
            </w:r>
            <w:proofErr w:type="spellStart"/>
            <w:r w:rsidRPr="00CE32C6">
              <w:rPr>
                <w:rFonts w:ascii="Calibri" w:eastAsia="Calibri" w:hAnsi="Calibri" w:cs="Calibri"/>
                <w:color w:val="000000"/>
                <w:sz w:val="22"/>
                <w:szCs w:val="22"/>
                <w:lang w:val="fr-FR"/>
              </w:rPr>
              <w:t>prakas</w:t>
            </w:r>
            <w:proofErr w:type="spellEnd"/>
            <w:r w:rsidRPr="00CE32C6">
              <w:rPr>
                <w:rStyle w:val="Appelnotedebasdep"/>
                <w:lang w:val="fr-FR"/>
              </w:rPr>
              <w:footnoteReference w:id="1"/>
            </w:r>
            <w:r w:rsidRPr="00CE32C6">
              <w:rPr>
                <w:rFonts w:ascii="Calibri" w:eastAsia="Calibri" w:hAnsi="Calibri" w:cs="Calibri"/>
                <w:color w:val="000000"/>
                <w:sz w:val="22"/>
                <w:szCs w:val="22"/>
                <w:lang w:val="fr-FR"/>
              </w:rPr>
              <w:t xml:space="preserve"> établissant un programme national de sensibilisation locale pour l’inclusion numérique principalement basé sur les recommandations de l’étude de faisabilité.</w:t>
            </w:r>
          </w:p>
          <w:p w:rsidR="004D19BE" w:rsidRPr="00CE32C6" w:rsidRDefault="004D19BE" w:rsidP="004D19BE">
            <w:pPr>
              <w:numPr>
                <w:ilvl w:val="0"/>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Soutenir l’élaboration d’une évaluation d’impact réglementaire (RIA) pour le projet de loi final.</w:t>
            </w:r>
          </w:p>
          <w:p w:rsidR="004D19BE" w:rsidRPr="00CE32C6" w:rsidRDefault="004D19BE" w:rsidP="00DD2F1F">
            <w:pPr>
              <w:widowControl w:val="0"/>
              <w:pBdr>
                <w:top w:val="nil"/>
                <w:left w:val="nil"/>
                <w:bottom w:val="nil"/>
                <w:right w:val="nil"/>
                <w:between w:val="nil"/>
              </w:pBdr>
              <w:spacing w:before="280" w:after="28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Livrables attendus :</w:t>
            </w:r>
          </w:p>
          <w:p w:rsidR="004D19BE" w:rsidRPr="00CE32C6" w:rsidRDefault="004D19BE" w:rsidP="004D19BE">
            <w:pPr>
              <w:pStyle w:val="Paragraphedeliste"/>
              <w:numPr>
                <w:ilvl w:val="0"/>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Feuille de route du cadre juridique mise à jour, alignée sur les besoins du gouvernement numérique avec des projets de modifications juridiques ou des notes de politique pour :</w:t>
            </w:r>
          </w:p>
          <w:p w:rsidR="004D19BE" w:rsidRPr="00CE32C6" w:rsidRDefault="004D19BE" w:rsidP="004D19BE">
            <w:pPr>
              <w:pStyle w:val="Paragraphedeliste"/>
              <w:numPr>
                <w:ilvl w:val="1"/>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Gouvernance des données</w:t>
            </w:r>
          </w:p>
          <w:p w:rsidR="004D19BE" w:rsidRPr="00CE32C6" w:rsidRDefault="004D19BE" w:rsidP="004D19BE">
            <w:pPr>
              <w:pStyle w:val="Paragraphedeliste"/>
              <w:numPr>
                <w:ilvl w:val="1"/>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Cadre d’interopérabilité</w:t>
            </w:r>
          </w:p>
          <w:p w:rsidR="004D19BE" w:rsidRPr="00CE32C6" w:rsidRDefault="004D19BE" w:rsidP="004D19BE">
            <w:pPr>
              <w:pStyle w:val="Paragraphedeliste"/>
              <w:numPr>
                <w:ilvl w:val="1"/>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Informatique en nuage</w:t>
            </w:r>
          </w:p>
          <w:p w:rsidR="004D19BE" w:rsidRPr="00CE32C6" w:rsidRDefault="004D19BE" w:rsidP="004D19BE">
            <w:pPr>
              <w:numPr>
                <w:ilvl w:val="1"/>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Infrastructure numérique</w:t>
            </w:r>
          </w:p>
          <w:p w:rsidR="004D19BE" w:rsidRPr="00CE32C6" w:rsidRDefault="004D19BE" w:rsidP="004D19BE">
            <w:pPr>
              <w:numPr>
                <w:ilvl w:val="1"/>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 xml:space="preserve">Services numériques </w:t>
            </w:r>
          </w:p>
          <w:p w:rsidR="004D19BE" w:rsidRPr="00CE32C6" w:rsidRDefault="004D19BE" w:rsidP="004D19BE">
            <w:pPr>
              <w:numPr>
                <w:ilvl w:val="0"/>
                <w:numId w:val="6"/>
              </w:numPr>
              <w:spacing w:before="100" w:beforeAutospacing="1" w:after="100" w:afterAutospacing="1"/>
              <w:rPr>
                <w:rFonts w:ascii="Calibri" w:eastAsia="Calibri" w:hAnsi="Calibri" w:cs="Calibri"/>
                <w:color w:val="000000"/>
                <w:sz w:val="22"/>
                <w:szCs w:val="22"/>
                <w:lang w:val="fr-FR"/>
              </w:rPr>
            </w:pPr>
            <w:proofErr w:type="spellStart"/>
            <w:r w:rsidRPr="00CE32C6">
              <w:rPr>
                <w:rFonts w:ascii="Calibri" w:eastAsia="Calibri" w:hAnsi="Calibri" w:cs="Calibri"/>
                <w:color w:val="000000"/>
                <w:sz w:val="22"/>
                <w:szCs w:val="22"/>
                <w:lang w:val="fr-FR"/>
              </w:rPr>
              <w:t>Prakas</w:t>
            </w:r>
            <w:proofErr w:type="spellEnd"/>
            <w:r w:rsidRPr="00CE32C6">
              <w:rPr>
                <w:rFonts w:ascii="Calibri" w:eastAsia="Calibri" w:hAnsi="Calibri" w:cs="Calibri"/>
                <w:color w:val="000000"/>
                <w:sz w:val="22"/>
                <w:szCs w:val="22"/>
                <w:lang w:val="fr-FR"/>
              </w:rPr>
              <w:t xml:space="preserve"> proposé.</w:t>
            </w:r>
          </w:p>
          <w:p w:rsidR="004D19BE" w:rsidRPr="00CE32C6" w:rsidRDefault="004D19BE" w:rsidP="004D19BE">
            <w:pPr>
              <w:numPr>
                <w:ilvl w:val="0"/>
                <w:numId w:val="6"/>
              </w:numPr>
              <w:spacing w:before="100" w:beforeAutospacing="1" w:after="100" w:afterAutospacing="1"/>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Rapport d’EIR provisoire et final.</w:t>
            </w:r>
          </w:p>
          <w:p w:rsidR="004D19BE" w:rsidRPr="00CE32C6" w:rsidRDefault="004D19BE" w:rsidP="00DD2F1F">
            <w:pPr>
              <w:widowControl w:val="0"/>
              <w:pBdr>
                <w:top w:val="nil"/>
                <w:left w:val="nil"/>
                <w:bottom w:val="nil"/>
                <w:right w:val="nil"/>
                <w:between w:val="nil"/>
              </w:pBdr>
              <w:spacing w:before="280" w:after="280" w:line="276" w:lineRule="auto"/>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Activité 3.2 : Echanger et partager les bonnes pratiques sur la mise en œuvre du cadre juridique, en s’appuyant sur l’expérience française et européenne.</w:t>
            </w:r>
          </w:p>
          <w:p w:rsidR="004D19BE" w:rsidRPr="00CE32C6" w:rsidRDefault="004D19BE" w:rsidP="00DD2F1F">
            <w:pPr>
              <w:widowControl w:val="0"/>
              <w:pBdr>
                <w:top w:val="nil"/>
                <w:left w:val="nil"/>
                <w:bottom w:val="nil"/>
                <w:right w:val="nil"/>
                <w:between w:val="nil"/>
              </w:pBdr>
              <w:spacing w:before="280" w:after="280" w:line="276" w:lineRule="auto"/>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Les activités suivantes seront considérées</w:t>
            </w:r>
          </w:p>
          <w:p w:rsidR="004D19BE" w:rsidRPr="00CE32C6" w:rsidRDefault="004D19BE" w:rsidP="004D19BE">
            <w:pPr>
              <w:pStyle w:val="Paragraphedeliste"/>
              <w:numPr>
                <w:ilvl w:val="0"/>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Identifier et documenter les études de cas françaises et européennes liées à la mise en œuvre du gouvernement numérique.</w:t>
            </w:r>
          </w:p>
          <w:p w:rsidR="004D19BE" w:rsidRPr="00CE32C6" w:rsidRDefault="004D19BE" w:rsidP="004D19BE">
            <w:pPr>
              <w:pStyle w:val="Paragraphedeliste"/>
              <w:numPr>
                <w:ilvl w:val="0"/>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Organiser des webinaires de partage d’expérience, des ateliers et une visite d’étude impliquant des experts juridiques/techniques français.</w:t>
            </w:r>
          </w:p>
          <w:p w:rsidR="004D19BE" w:rsidRPr="00CE32C6" w:rsidRDefault="004D19BE" w:rsidP="004D19BE">
            <w:pPr>
              <w:pStyle w:val="Paragraphedeliste"/>
              <w:numPr>
                <w:ilvl w:val="0"/>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Faciliter l’apprentissage entre pairs avec les acteurs nationaux du gouvernement numérique (par exemple, les ministères techniques, les régulateurs et les équipes juridiques).</w:t>
            </w:r>
          </w:p>
          <w:p w:rsidR="004D19BE" w:rsidRPr="00CE32C6" w:rsidRDefault="004D19BE" w:rsidP="004D19BE">
            <w:pPr>
              <w:pStyle w:val="Paragraphedeliste"/>
              <w:numPr>
                <w:ilvl w:val="0"/>
                <w:numId w:val="6"/>
              </w:numPr>
              <w:spacing w:after="0"/>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Produire une synthèse des leçons apprises et leur applicabilité au contexte local.</w:t>
            </w:r>
          </w:p>
          <w:p w:rsidR="004D19BE" w:rsidRPr="00CE32C6" w:rsidRDefault="004D19BE" w:rsidP="00DD2F1F">
            <w:pPr>
              <w:widowControl w:val="0"/>
              <w:pBdr>
                <w:top w:val="nil"/>
                <w:left w:val="nil"/>
                <w:bottom w:val="nil"/>
                <w:right w:val="nil"/>
                <w:between w:val="nil"/>
              </w:pBdr>
              <w:spacing w:before="280" w:after="28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Livrables attendus :</w:t>
            </w:r>
          </w:p>
          <w:p w:rsidR="004D19BE" w:rsidRPr="00CE32C6" w:rsidRDefault="004D19BE" w:rsidP="004D19BE">
            <w:pPr>
              <w:pStyle w:val="Paragraphedeliste"/>
              <w:numPr>
                <w:ilvl w:val="0"/>
                <w:numId w:val="6"/>
              </w:numPr>
              <w:pBdr>
                <w:top w:val="nil"/>
                <w:left w:val="nil"/>
                <w:bottom w:val="nil"/>
                <w:right w:val="nil"/>
                <w:between w:val="nil"/>
              </w:pBd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Boîtes à outils / outils sur les meilleures pratiques françaises et européennes en matière de mise en œuvre juridique pour le gouvernement numérique ;</w:t>
            </w:r>
          </w:p>
          <w:p w:rsidR="004D19BE" w:rsidRPr="00CE32C6" w:rsidRDefault="004D19BE" w:rsidP="004D19BE">
            <w:pPr>
              <w:pStyle w:val="Paragraphedeliste"/>
              <w:numPr>
                <w:ilvl w:val="0"/>
                <w:numId w:val="6"/>
              </w:numPr>
              <w:pBdr>
                <w:top w:val="nil"/>
                <w:left w:val="nil"/>
                <w:bottom w:val="nil"/>
                <w:right w:val="nil"/>
                <w:between w:val="nil"/>
              </w:pBd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Rapport sur l’adaptation des bonnes pratiques françaises et européennes aux priorités juridiques et stratégiques nationales.</w:t>
            </w:r>
          </w:p>
          <w:p w:rsidR="004D19BE" w:rsidRPr="00CE32C6" w:rsidRDefault="004D19BE" w:rsidP="00DD2F1F">
            <w:pPr>
              <w:widowControl w:val="0"/>
              <w:pBdr>
                <w:top w:val="nil"/>
                <w:left w:val="nil"/>
                <w:bottom w:val="nil"/>
                <w:right w:val="nil"/>
                <w:between w:val="nil"/>
              </w:pBdr>
              <w:spacing w:before="280" w:after="280" w:line="276" w:lineRule="auto"/>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Activité 3.3 : Donner une formation à l’équipe juridique du MPTC pour appuyer les efforts d’élaboration et de mise en œuvre du cadre juridique.</w:t>
            </w:r>
          </w:p>
          <w:p w:rsidR="004D19BE" w:rsidRPr="00CE32C6" w:rsidRDefault="004D19BE" w:rsidP="00DD2F1F">
            <w:pPr>
              <w:widowControl w:val="0"/>
              <w:pBdr>
                <w:top w:val="nil"/>
                <w:left w:val="nil"/>
                <w:bottom w:val="nil"/>
                <w:right w:val="nil"/>
                <w:between w:val="nil"/>
              </w:pBdr>
              <w:spacing w:before="280" w:after="280" w:line="276" w:lineRule="auto"/>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Les activités suivantes seront considérées</w:t>
            </w:r>
          </w:p>
          <w:p w:rsidR="004D19BE" w:rsidRPr="00CE32C6" w:rsidRDefault="004D19BE" w:rsidP="004D19BE">
            <w:pPr>
              <w:pStyle w:val="Paragraphedeliste"/>
              <w:numPr>
                <w:ilvl w:val="0"/>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Effectuer/Adapter une évaluation des besoins de formation avec le service juridique de MPTC.</w:t>
            </w:r>
          </w:p>
          <w:p w:rsidR="004D19BE" w:rsidRPr="00CE32C6" w:rsidRDefault="004D19BE" w:rsidP="004D19BE">
            <w:pPr>
              <w:pStyle w:val="Paragraphedeliste"/>
              <w:numPr>
                <w:ilvl w:val="0"/>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Développer un programme de formation sur mesure couvrant :</w:t>
            </w:r>
          </w:p>
          <w:p w:rsidR="004D19BE" w:rsidRPr="00CE32C6" w:rsidRDefault="004D19BE" w:rsidP="004D19BE">
            <w:pPr>
              <w:pStyle w:val="Paragraphedeliste"/>
              <w:numPr>
                <w:ilvl w:val="1"/>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Rédaction juridique pour le gouvernement numérique</w:t>
            </w:r>
          </w:p>
          <w:p w:rsidR="004D19BE" w:rsidRPr="00CE32C6" w:rsidRDefault="004D19BE" w:rsidP="004D19BE">
            <w:pPr>
              <w:pStyle w:val="Paragraphedeliste"/>
              <w:numPr>
                <w:ilvl w:val="1"/>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 xml:space="preserve">Tendances du droit numérique international (ex. IA, </w:t>
            </w:r>
            <w:proofErr w:type="spellStart"/>
            <w:r w:rsidRPr="00CE32C6">
              <w:rPr>
                <w:rFonts w:ascii="Calibri" w:eastAsia="Calibri" w:hAnsi="Calibri" w:cs="Calibri"/>
                <w:color w:val="000000"/>
                <w:sz w:val="22"/>
                <w:szCs w:val="22"/>
                <w:lang w:val="fr-FR"/>
              </w:rPr>
              <w:t>cybersécurité</w:t>
            </w:r>
            <w:proofErr w:type="spellEnd"/>
            <w:r w:rsidRPr="00CE32C6">
              <w:rPr>
                <w:rFonts w:ascii="Calibri" w:eastAsia="Calibri" w:hAnsi="Calibri" w:cs="Calibri"/>
                <w:color w:val="000000"/>
                <w:sz w:val="22"/>
                <w:szCs w:val="22"/>
                <w:lang w:val="fr-FR"/>
              </w:rPr>
              <w:t>, gouvernance des données publiques)</w:t>
            </w:r>
          </w:p>
          <w:p w:rsidR="004D19BE" w:rsidRPr="00CE32C6" w:rsidRDefault="004D19BE" w:rsidP="004D19BE">
            <w:pPr>
              <w:pStyle w:val="Paragraphedeliste"/>
              <w:numPr>
                <w:ilvl w:val="1"/>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Mécanismes de mise en œuvre et d’application</w:t>
            </w:r>
          </w:p>
          <w:p w:rsidR="004D19BE" w:rsidRPr="00CE32C6" w:rsidRDefault="004D19BE" w:rsidP="004D19BE">
            <w:pPr>
              <w:pStyle w:val="Paragraphedeliste"/>
              <w:numPr>
                <w:ilvl w:val="0"/>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Délivrer des formations hybrides avec des experts juridiques (y compris des contributeurs français si possible).</w:t>
            </w:r>
          </w:p>
          <w:p w:rsidR="004D19BE" w:rsidRPr="00CE32C6" w:rsidRDefault="004D19BE" w:rsidP="004D19BE">
            <w:pPr>
              <w:pStyle w:val="Paragraphedeliste"/>
              <w:numPr>
                <w:ilvl w:val="0"/>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Fournir du matériel de soutien pour le suivi (guides, matériel de formation, modèles, trousses d’outils).</w:t>
            </w:r>
          </w:p>
          <w:p w:rsidR="004D19BE" w:rsidRPr="00CE32C6" w:rsidRDefault="004D19BE" w:rsidP="00DD2F1F">
            <w:pPr>
              <w:widowControl w:val="0"/>
              <w:pBdr>
                <w:top w:val="nil"/>
                <w:left w:val="nil"/>
                <w:bottom w:val="nil"/>
                <w:right w:val="nil"/>
                <w:between w:val="nil"/>
              </w:pBdr>
              <w:spacing w:before="280" w:after="28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Livrables attendus :</w:t>
            </w:r>
          </w:p>
          <w:p w:rsidR="004D19BE" w:rsidRPr="00CE32C6" w:rsidRDefault="004D19BE" w:rsidP="004D19BE">
            <w:pPr>
              <w:pStyle w:val="Paragraphedeliste"/>
              <w:numPr>
                <w:ilvl w:val="0"/>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Rapport d’évaluation des besoins en formation.</w:t>
            </w:r>
          </w:p>
          <w:p w:rsidR="004D19BE" w:rsidRPr="00CE32C6" w:rsidRDefault="004D19BE" w:rsidP="004D19BE">
            <w:pPr>
              <w:pStyle w:val="Paragraphedeliste"/>
              <w:numPr>
                <w:ilvl w:val="0"/>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Programme de formation et matériel de session (diapositives, études de cas, exercices).</w:t>
            </w:r>
          </w:p>
          <w:p w:rsidR="004D19BE" w:rsidRPr="00CE32C6" w:rsidRDefault="004D19BE" w:rsidP="004D19BE">
            <w:pPr>
              <w:pStyle w:val="Paragraphedeliste"/>
              <w:numPr>
                <w:ilvl w:val="0"/>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Rapport de livraison de la formation avec résultats d’évaluation.</w:t>
            </w:r>
          </w:p>
          <w:p w:rsidR="004D19BE" w:rsidRPr="00CE32C6" w:rsidRDefault="004D19BE" w:rsidP="004D19BE">
            <w:pPr>
              <w:pStyle w:val="Paragraphedeliste"/>
              <w:numPr>
                <w:ilvl w:val="0"/>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Boîte à outils juridique pour les avocats MPTC (y compris des modèles, des clauses types, des documents de référence).</w:t>
            </w:r>
          </w:p>
          <w:p w:rsidR="004D19BE" w:rsidRPr="00CE32C6" w:rsidRDefault="004D19BE" w:rsidP="00DD2F1F">
            <w:pPr>
              <w:spacing w:after="0"/>
              <w:jc w:val="both"/>
              <w:rPr>
                <w:rFonts w:ascii="Calibri" w:eastAsia="Calibri" w:hAnsi="Calibri" w:cs="Calibri"/>
                <w:color w:val="000000"/>
                <w:sz w:val="22"/>
                <w:szCs w:val="22"/>
                <w:lang w:val="fr-FR"/>
              </w:rPr>
            </w:pPr>
          </w:p>
          <w:p w:rsidR="004D19BE" w:rsidRPr="00CE32C6" w:rsidRDefault="004D19BE" w:rsidP="00DD2F1F">
            <w:pPr>
              <w:autoSpaceDE w:val="0"/>
              <w:autoSpaceDN w:val="0"/>
              <w:adjustRightInd w:val="0"/>
              <w:spacing w:after="0"/>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 xml:space="preserve">Activité 3.4 : Améliorer/Mettre en œuvre et déployer une stratégie de gouvernance des données tenant compte du genre. </w:t>
            </w:r>
          </w:p>
          <w:p w:rsidR="004D19BE" w:rsidRPr="00CE32C6" w:rsidRDefault="004D19BE" w:rsidP="00DD2F1F">
            <w:pPr>
              <w:widowControl w:val="0"/>
              <w:pBdr>
                <w:top w:val="nil"/>
                <w:left w:val="nil"/>
                <w:bottom w:val="nil"/>
                <w:right w:val="nil"/>
                <w:between w:val="nil"/>
              </w:pBdr>
              <w:spacing w:before="280" w:after="280" w:line="276" w:lineRule="auto"/>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Les activités suivantes seront considérées</w:t>
            </w:r>
          </w:p>
          <w:p w:rsidR="004D19BE" w:rsidRPr="00CE32C6" w:rsidRDefault="004D19BE" w:rsidP="004D19BE">
            <w:pPr>
              <w:pStyle w:val="Paragraphedeliste"/>
              <w:numPr>
                <w:ilvl w:val="0"/>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Établir/améliorer un cadre de gouvernance pour les données, qui inclut des protocoles clairs pour la protection et la circulation des données afin d’assurer le respect des normes juridiques et de sécurité sur la base du projet de stratégie existant sur la gouvernance des données.</w:t>
            </w:r>
          </w:p>
          <w:p w:rsidR="004D19BE" w:rsidRPr="00CE32C6" w:rsidRDefault="004D19BE" w:rsidP="004D19BE">
            <w:pPr>
              <w:pStyle w:val="Paragraphedeliste"/>
              <w:numPr>
                <w:ilvl w:val="0"/>
                <w:numId w:val="6"/>
              </w:numP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Élaborer/améliorer des lignes directrices pour normaliser les pratiques de gestion des données au sein des institutions gouvernementales, ce qui permettra d’assurer l’uniformité et l’efficacité dans l’utilisation des données du secteur public en fonction de la stratégie provisoire existante sur la gouvernance des données.</w:t>
            </w:r>
          </w:p>
          <w:p w:rsidR="004D19BE" w:rsidRPr="00CE32C6" w:rsidRDefault="004D19BE" w:rsidP="004D19BE">
            <w:pPr>
              <w:pStyle w:val="Paragraphedeliste"/>
              <w:widowControl w:val="0"/>
              <w:numPr>
                <w:ilvl w:val="0"/>
                <w:numId w:val="6"/>
              </w:numPr>
              <w:pBdr>
                <w:top w:val="nil"/>
                <w:left w:val="nil"/>
                <w:bottom w:val="nil"/>
                <w:right w:val="nil"/>
                <w:between w:val="nil"/>
              </w:pBdr>
              <w:autoSpaceDE w:val="0"/>
              <w:autoSpaceDN w:val="0"/>
              <w:adjustRightInd w:val="0"/>
              <w:spacing w:before="280" w:after="0" w:line="276" w:lineRule="auto"/>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Développer/piloter l’utilisation des outils nécessaires pour mettre en œuvre et déployer la stratégie basée sur l’expérience française.</w:t>
            </w:r>
          </w:p>
          <w:p w:rsidR="004D19BE" w:rsidRPr="00CE32C6" w:rsidRDefault="004D19BE" w:rsidP="00DD2F1F">
            <w:pPr>
              <w:widowControl w:val="0"/>
              <w:pBdr>
                <w:top w:val="nil"/>
                <w:left w:val="nil"/>
                <w:bottom w:val="nil"/>
                <w:right w:val="nil"/>
                <w:between w:val="nil"/>
              </w:pBdr>
              <w:spacing w:before="280" w:after="280"/>
              <w:ind w:right="142"/>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Livrables attendus :</w:t>
            </w:r>
          </w:p>
          <w:p w:rsidR="004D19BE" w:rsidRPr="00CE32C6" w:rsidRDefault="004D19BE" w:rsidP="004D19BE">
            <w:pPr>
              <w:pStyle w:val="Paragraphedeliste"/>
              <w:numPr>
                <w:ilvl w:val="0"/>
                <w:numId w:val="6"/>
              </w:numPr>
              <w:pBdr>
                <w:top w:val="nil"/>
                <w:left w:val="nil"/>
                <w:bottom w:val="nil"/>
                <w:right w:val="nil"/>
                <w:between w:val="nil"/>
              </w:pBdr>
              <w:spacing w:after="0"/>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Stratégie de gouvernance des données mise à jour avec directives associées et outils ou boîtes à outils pilotes.</w:t>
            </w:r>
          </w:p>
          <w:p w:rsidR="004D19BE" w:rsidRPr="00CE32C6" w:rsidRDefault="004D19BE" w:rsidP="004D19BE">
            <w:pPr>
              <w:widowControl w:val="0"/>
              <w:numPr>
                <w:ilvl w:val="0"/>
                <w:numId w:val="6"/>
              </w:numPr>
              <w:spacing w:after="0"/>
              <w:ind w:right="142"/>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Manuel d’utilisation ou guide pratique pour chaque outil.</w:t>
            </w:r>
          </w:p>
          <w:p w:rsidR="004D19BE" w:rsidRPr="00CE32C6" w:rsidRDefault="004D19BE" w:rsidP="004D19BE">
            <w:pPr>
              <w:widowControl w:val="0"/>
              <w:pBdr>
                <w:top w:val="nil"/>
                <w:left w:val="nil"/>
                <w:bottom w:val="nil"/>
                <w:right w:val="nil"/>
                <w:between w:val="nil"/>
              </w:pBdr>
              <w:spacing w:before="280" w:after="280" w:line="276" w:lineRule="auto"/>
              <w:ind w:right="4150"/>
              <w:jc w:val="both"/>
              <w:rPr>
                <w:rFonts w:ascii="Calibri" w:eastAsia="Calibri" w:hAnsi="Calibri" w:cs="Calibri"/>
                <w:b/>
                <w:color w:val="000000"/>
                <w:sz w:val="22"/>
                <w:szCs w:val="22"/>
                <w:u w:val="single"/>
                <w:lang w:val="fr-FR"/>
              </w:rPr>
            </w:pPr>
            <w:r w:rsidRPr="00CE32C6">
              <w:rPr>
                <w:rFonts w:ascii="Calibri" w:eastAsia="Calibri" w:hAnsi="Calibri" w:cs="Calibri"/>
                <w:b/>
                <w:color w:val="000000"/>
                <w:sz w:val="22"/>
                <w:szCs w:val="22"/>
                <w:u w:val="single"/>
                <w:lang w:val="fr-FR"/>
              </w:rPr>
              <w:t>Expertise mobilisée pour toutes les activités :</w:t>
            </w:r>
          </w:p>
          <w:p w:rsidR="004D19BE" w:rsidRPr="00CE32C6" w:rsidRDefault="004D19BE" w:rsidP="00DD2F1F">
            <w:pPr>
              <w:widowControl w:val="0"/>
              <w:pBdr>
                <w:top w:val="nil"/>
                <w:left w:val="nil"/>
                <w:bottom w:val="nil"/>
                <w:right w:val="nil"/>
                <w:between w:val="nil"/>
              </w:pBdr>
              <w:spacing w:before="280" w:after="0" w:line="276" w:lineRule="auto"/>
              <w:jc w:val="both"/>
              <w:rPr>
                <w:rFonts w:ascii="Calibri" w:eastAsia="Calibri" w:hAnsi="Calibri" w:cs="Calibri"/>
                <w:color w:val="000000"/>
                <w:sz w:val="22"/>
                <w:szCs w:val="22"/>
                <w:lang w:val="fr-FR"/>
              </w:rPr>
            </w:pPr>
            <w:r w:rsidRPr="00CE32C6">
              <w:rPr>
                <w:rFonts w:ascii="Calibri" w:eastAsia="Calibri" w:hAnsi="Calibri" w:cs="Calibri"/>
                <w:color w:val="000000"/>
                <w:sz w:val="22"/>
                <w:szCs w:val="22"/>
                <w:lang w:val="fr-FR"/>
              </w:rPr>
              <w:t>L’équipe d’experts mobilisée est expérimentée sur les questions de gouvernance numérique en France, notamment dans le développement et l’élaboration du cadre juridique sur le gouvernement numérique</w:t>
            </w:r>
          </w:p>
        </w:tc>
      </w:tr>
    </w:tbl>
    <w:p w:rsidR="00C03C0E" w:rsidRDefault="004D19BE"/>
    <w:p w:rsidR="004D19BE" w:rsidRDefault="004D19BE"/>
    <w:sectPr w:rsidR="004D19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9BE" w:rsidRDefault="004D19BE" w:rsidP="004D19BE">
      <w:pPr>
        <w:spacing w:after="0"/>
      </w:pPr>
      <w:r>
        <w:separator/>
      </w:r>
    </w:p>
  </w:endnote>
  <w:endnote w:type="continuationSeparator" w:id="0">
    <w:p w:rsidR="004D19BE" w:rsidRDefault="004D19BE" w:rsidP="004D19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Noto Sans Symbols">
    <w:charset w:val="00"/>
    <w:family w:val="auto"/>
    <w:pitch w:val="variable"/>
    <w:sig w:usb0="00000003" w:usb1="0200E4B4"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9BE" w:rsidRDefault="004D19BE" w:rsidP="004D19BE">
      <w:pPr>
        <w:spacing w:after="0"/>
      </w:pPr>
      <w:r>
        <w:separator/>
      </w:r>
    </w:p>
  </w:footnote>
  <w:footnote w:type="continuationSeparator" w:id="0">
    <w:p w:rsidR="004D19BE" w:rsidRDefault="004D19BE" w:rsidP="004D19BE">
      <w:pPr>
        <w:spacing w:after="0"/>
      </w:pPr>
      <w:r>
        <w:continuationSeparator/>
      </w:r>
    </w:p>
  </w:footnote>
  <w:footnote w:id="1">
    <w:p w:rsidR="004D19BE" w:rsidRPr="00CE32C6" w:rsidRDefault="004D19BE" w:rsidP="004D19BE">
      <w:pPr>
        <w:pStyle w:val="Notedebasdepage"/>
        <w:rPr>
          <w:lang w:val="fr-FR"/>
        </w:rPr>
      </w:pPr>
      <w:r>
        <w:rPr>
          <w:rStyle w:val="Appelnotedebasdep"/>
        </w:rPr>
        <w:footnoteRef/>
      </w:r>
      <w:r w:rsidRPr="00CE32C6">
        <w:rPr>
          <w:lang w:val="fr-FR"/>
        </w:rPr>
        <w:t xml:space="preserve"> </w:t>
      </w:r>
      <w:hyperlink r:id="rId1" w:history="1">
        <w:proofErr w:type="spellStart"/>
        <w:r w:rsidRPr="00CE32C6">
          <w:rPr>
            <w:rFonts w:ascii="Calibri" w:eastAsia="Calibri" w:hAnsi="Calibri" w:cs="Calibri"/>
            <w:color w:val="000000"/>
            <w:sz w:val="16"/>
            <w:szCs w:val="16"/>
            <w:lang w:val="fr-FR"/>
          </w:rPr>
          <w:t>Prakas</w:t>
        </w:r>
        <w:proofErr w:type="spellEnd"/>
      </w:hyperlink>
      <w:r w:rsidRPr="00CE32C6">
        <w:rPr>
          <w:rFonts w:ascii="Calibri" w:eastAsia="Calibri" w:hAnsi="Calibri" w:cs="Calibri"/>
          <w:color w:val="000000"/>
          <w:sz w:val="16"/>
          <w:szCs w:val="16"/>
          <w:lang w:val="fr-FR"/>
        </w:rPr>
        <w:t xml:space="preserve"> est un terme cambodgien qui signifie proclamation officielle. C’est une décision ministérielle ou interministérielle signée par le ou les ministres concernés.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040"/>
    <w:multiLevelType w:val="multilevel"/>
    <w:tmpl w:val="432C3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E76EA"/>
    <w:multiLevelType w:val="multilevel"/>
    <w:tmpl w:val="F44E17A0"/>
    <w:lvl w:ilvl="0">
      <w:start w:val="1"/>
      <w:numFmt w:val="decimal"/>
      <w:lvlText w:val="%1."/>
      <w:lvlJc w:val="left"/>
      <w:pPr>
        <w:ind w:left="720" w:hanging="360"/>
      </w:pPr>
    </w:lvl>
    <w:lvl w:ilvl="1">
      <w:start w:val="1"/>
      <w:numFmt w:val="decimal"/>
      <w:lvlText w:val="%2."/>
      <w:lvlJc w:val="left"/>
      <w:pPr>
        <w:ind w:left="1440" w:hanging="36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45C4855"/>
    <w:multiLevelType w:val="hybridMultilevel"/>
    <w:tmpl w:val="0436C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24BF3"/>
    <w:multiLevelType w:val="multilevel"/>
    <w:tmpl w:val="C24457F2"/>
    <w:lvl w:ilvl="0">
      <w:start w:val="1"/>
      <w:numFmt w:val="bullet"/>
      <w:lvlText w:val="-"/>
      <w:lvlJc w:val="left"/>
      <w:pPr>
        <w:ind w:left="1456" w:hanging="360"/>
      </w:pPr>
      <w:rPr>
        <w:rFonts w:ascii="Calibri" w:eastAsia="Calibri" w:hAnsi="Calibri" w:cs="Calibri"/>
      </w:rPr>
    </w:lvl>
    <w:lvl w:ilvl="1">
      <w:start w:val="1"/>
      <w:numFmt w:val="bullet"/>
      <w:lvlText w:val="o"/>
      <w:lvlJc w:val="left"/>
      <w:pPr>
        <w:ind w:left="2176" w:hanging="360"/>
      </w:pPr>
      <w:rPr>
        <w:rFonts w:ascii="Courier New" w:eastAsia="Courier New" w:hAnsi="Courier New" w:cs="Courier New"/>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4" w15:restartNumberingAfterBreak="0">
    <w:nsid w:val="38472A06"/>
    <w:multiLevelType w:val="multilevel"/>
    <w:tmpl w:val="C0FAA91A"/>
    <w:lvl w:ilvl="0">
      <w:start w:val="1"/>
      <w:numFmt w:val="bullet"/>
      <w:lvlText w:val="●"/>
      <w:lvlJc w:val="left"/>
      <w:pPr>
        <w:ind w:left="895" w:hanging="360"/>
      </w:pPr>
      <w:rPr>
        <w:rFonts w:ascii="Noto Sans Symbols" w:eastAsia="Noto Sans Symbols" w:hAnsi="Noto Sans Symbols" w:cs="Noto Sans Symbols"/>
      </w:rPr>
    </w:lvl>
    <w:lvl w:ilvl="1">
      <w:start w:val="1"/>
      <w:numFmt w:val="bullet"/>
      <w:lvlText w:val="o"/>
      <w:lvlJc w:val="left"/>
      <w:pPr>
        <w:ind w:left="1615" w:hanging="360"/>
      </w:pPr>
      <w:rPr>
        <w:rFonts w:ascii="Courier New" w:eastAsia="Courier New" w:hAnsi="Courier New" w:cs="Courier New"/>
      </w:rPr>
    </w:lvl>
    <w:lvl w:ilvl="2">
      <w:start w:val="1"/>
      <w:numFmt w:val="bullet"/>
      <w:lvlText w:val="▪"/>
      <w:lvlJc w:val="left"/>
      <w:pPr>
        <w:ind w:left="2335" w:hanging="360"/>
      </w:pPr>
      <w:rPr>
        <w:rFonts w:ascii="Noto Sans Symbols" w:eastAsia="Noto Sans Symbols" w:hAnsi="Noto Sans Symbols" w:cs="Noto Sans Symbols"/>
      </w:rPr>
    </w:lvl>
    <w:lvl w:ilvl="3">
      <w:start w:val="1"/>
      <w:numFmt w:val="bullet"/>
      <w:lvlText w:val="●"/>
      <w:lvlJc w:val="left"/>
      <w:pPr>
        <w:ind w:left="3055" w:hanging="360"/>
      </w:pPr>
      <w:rPr>
        <w:rFonts w:ascii="Noto Sans Symbols" w:eastAsia="Noto Sans Symbols" w:hAnsi="Noto Sans Symbols" w:cs="Noto Sans Symbols"/>
      </w:rPr>
    </w:lvl>
    <w:lvl w:ilvl="4">
      <w:start w:val="1"/>
      <w:numFmt w:val="bullet"/>
      <w:lvlText w:val="o"/>
      <w:lvlJc w:val="left"/>
      <w:pPr>
        <w:ind w:left="3775" w:hanging="360"/>
      </w:pPr>
      <w:rPr>
        <w:rFonts w:ascii="Courier New" w:eastAsia="Courier New" w:hAnsi="Courier New" w:cs="Courier New"/>
      </w:rPr>
    </w:lvl>
    <w:lvl w:ilvl="5">
      <w:start w:val="1"/>
      <w:numFmt w:val="bullet"/>
      <w:lvlText w:val="▪"/>
      <w:lvlJc w:val="left"/>
      <w:pPr>
        <w:ind w:left="4495" w:hanging="360"/>
      </w:pPr>
      <w:rPr>
        <w:rFonts w:ascii="Noto Sans Symbols" w:eastAsia="Noto Sans Symbols" w:hAnsi="Noto Sans Symbols" w:cs="Noto Sans Symbols"/>
      </w:rPr>
    </w:lvl>
    <w:lvl w:ilvl="6">
      <w:start w:val="1"/>
      <w:numFmt w:val="bullet"/>
      <w:lvlText w:val="●"/>
      <w:lvlJc w:val="left"/>
      <w:pPr>
        <w:ind w:left="5215" w:hanging="360"/>
      </w:pPr>
      <w:rPr>
        <w:rFonts w:ascii="Noto Sans Symbols" w:eastAsia="Noto Sans Symbols" w:hAnsi="Noto Sans Symbols" w:cs="Noto Sans Symbols"/>
      </w:rPr>
    </w:lvl>
    <w:lvl w:ilvl="7">
      <w:start w:val="1"/>
      <w:numFmt w:val="bullet"/>
      <w:lvlText w:val="o"/>
      <w:lvlJc w:val="left"/>
      <w:pPr>
        <w:ind w:left="5935" w:hanging="360"/>
      </w:pPr>
      <w:rPr>
        <w:rFonts w:ascii="Courier New" w:eastAsia="Courier New" w:hAnsi="Courier New" w:cs="Courier New"/>
      </w:rPr>
    </w:lvl>
    <w:lvl w:ilvl="8">
      <w:start w:val="1"/>
      <w:numFmt w:val="bullet"/>
      <w:lvlText w:val="▪"/>
      <w:lvlJc w:val="left"/>
      <w:pPr>
        <w:ind w:left="6655" w:hanging="360"/>
      </w:pPr>
      <w:rPr>
        <w:rFonts w:ascii="Noto Sans Symbols" w:eastAsia="Noto Sans Symbols" w:hAnsi="Noto Sans Symbols" w:cs="Noto Sans Symbols"/>
      </w:rPr>
    </w:lvl>
  </w:abstractNum>
  <w:abstractNum w:abstractNumId="5" w15:restartNumberingAfterBreak="0">
    <w:nsid w:val="79CE1A67"/>
    <w:multiLevelType w:val="multilevel"/>
    <w:tmpl w:val="48CE8802"/>
    <w:lvl w:ilvl="0">
      <w:start w:val="1"/>
      <w:numFmt w:val="bullet"/>
      <w:pStyle w:val="BTCbulletsCTB"/>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BE"/>
    <w:rsid w:val="00134B1B"/>
    <w:rsid w:val="004D19BE"/>
    <w:rsid w:val="009F68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3C08"/>
  <w15:chartTrackingRefBased/>
  <w15:docId w15:val="{13499281-7673-4C36-9A2B-1CAADB48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9BE"/>
    <w:pPr>
      <w:spacing w:after="200" w:line="240" w:lineRule="auto"/>
    </w:pPr>
    <w:rPr>
      <w:rFonts w:ascii="Cambria" w:eastAsia="Cambria" w:hAnsi="Cambria" w:cs="Times New Roman"/>
      <w:sz w:val="24"/>
      <w:szCs w:val="24"/>
      <w:lang w:val="fr" w:eastAsia="fr"/>
    </w:rPr>
  </w:style>
  <w:style w:type="paragraph" w:styleId="Titre1">
    <w:name w:val="heading 1"/>
    <w:basedOn w:val="Normal"/>
    <w:next w:val="Normal"/>
    <w:link w:val="Titre1Car"/>
    <w:uiPriority w:val="9"/>
    <w:qFormat/>
    <w:rsid w:val="004D19BE"/>
    <w:pPr>
      <w:tabs>
        <w:tab w:val="right" w:leader="dot" w:pos="9923"/>
      </w:tabs>
      <w:spacing w:after="240" w:line="276" w:lineRule="auto"/>
      <w:ind w:left="360"/>
      <w:jc w:val="both"/>
      <w:outlineLvl w:val="0"/>
    </w:pPr>
    <w:rPr>
      <w:rFonts w:ascii="Calibri" w:hAnsi="Calibri" w:cs="Calibri"/>
      <w:caps/>
      <w:color w:val="FFFFFF"/>
      <w:sz w:val="32"/>
      <w:szCs w:val="32"/>
      <w:shd w:val="clear" w:color="auto" w:fill="004979"/>
      <w:lang w:val="en-US"/>
    </w:rPr>
  </w:style>
  <w:style w:type="paragraph" w:styleId="Titre2">
    <w:name w:val="heading 2"/>
    <w:basedOn w:val="Normal"/>
    <w:next w:val="Normal"/>
    <w:link w:val="Titre2Car"/>
    <w:uiPriority w:val="9"/>
    <w:unhideWhenUsed/>
    <w:qFormat/>
    <w:rsid w:val="004D19BE"/>
    <w:pPr>
      <w:keepNext/>
      <w:keepLines/>
      <w:tabs>
        <w:tab w:val="right" w:leader="dot" w:pos="9923"/>
      </w:tabs>
      <w:spacing w:before="40" w:after="0" w:line="300" w:lineRule="atLeast"/>
      <w:outlineLvl w:val="1"/>
    </w:pPr>
    <w:rPr>
      <w:rFonts w:ascii="Calibri" w:eastAsia="Times New Roman" w:hAnsi="Calibri" w:cs="Arial"/>
      <w:color w:val="365F91"/>
      <w:sz w:val="26"/>
      <w:szCs w:val="26"/>
      <w:shd w:val="clear" w:color="auto" w:fill="68B1E6"/>
    </w:rPr>
  </w:style>
  <w:style w:type="paragraph" w:styleId="Titre3">
    <w:name w:val="heading 3"/>
    <w:basedOn w:val="EXP-Titre3"/>
    <w:next w:val="Normal"/>
    <w:link w:val="Titre3Car"/>
    <w:uiPriority w:val="9"/>
    <w:unhideWhenUsed/>
    <w:qFormat/>
    <w:rsid w:val="004D19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9BE"/>
    <w:rPr>
      <w:rFonts w:ascii="Calibri" w:eastAsia="Cambria" w:hAnsi="Calibri" w:cs="Calibri"/>
      <w:caps/>
      <w:color w:val="FFFFFF"/>
      <w:sz w:val="32"/>
      <w:szCs w:val="32"/>
      <w:lang w:val="en-US" w:eastAsia="fr"/>
    </w:rPr>
  </w:style>
  <w:style w:type="character" w:customStyle="1" w:styleId="Titre2Car">
    <w:name w:val="Titre 2 Car"/>
    <w:basedOn w:val="Policepardfaut"/>
    <w:link w:val="Titre2"/>
    <w:uiPriority w:val="9"/>
    <w:rsid w:val="004D19BE"/>
    <w:rPr>
      <w:rFonts w:ascii="Calibri" w:eastAsia="Times New Roman" w:hAnsi="Calibri" w:cs="Arial"/>
      <w:color w:val="365F91"/>
      <w:sz w:val="26"/>
      <w:szCs w:val="26"/>
      <w:lang w:val="fr" w:eastAsia="fr"/>
    </w:rPr>
  </w:style>
  <w:style w:type="character" w:customStyle="1" w:styleId="Titre3Car">
    <w:name w:val="Titre 3 Car"/>
    <w:basedOn w:val="Policepardfaut"/>
    <w:link w:val="Titre3"/>
    <w:uiPriority w:val="9"/>
    <w:rsid w:val="004D19BE"/>
    <w:rPr>
      <w:rFonts w:ascii="Calibri" w:eastAsia="Times New Roman" w:hAnsi="Calibri" w:cs="Times New Roman"/>
      <w:b/>
      <w:color w:val="243F60"/>
      <w:sz w:val="24"/>
      <w:lang w:val="en-US" w:eastAsia="fr"/>
    </w:rPr>
  </w:style>
  <w:style w:type="paragraph" w:styleId="Paragraphedeliste">
    <w:name w:val="List Paragraph"/>
    <w:aliases w:val="Table/Figure Heading,Listeafsnit,Paragraphe de liste1,Bullets,List Paragraph1,Numbered list,Paragraphe de liste (sdt),Paragraphe de liste du rapport,List ParagraphCxSpLast,List ParagraphCxSpLastCxSpLast,References,inspringtekst,séga"/>
    <w:basedOn w:val="Normal"/>
    <w:link w:val="ParagraphedelisteCar"/>
    <w:uiPriority w:val="34"/>
    <w:qFormat/>
    <w:rsid w:val="004D19BE"/>
    <w:pPr>
      <w:ind w:left="720"/>
      <w:contextualSpacing/>
    </w:pPr>
  </w:style>
  <w:style w:type="character" w:customStyle="1" w:styleId="ParagraphedelisteCar">
    <w:name w:val="Paragraphe de liste Car"/>
    <w:aliases w:val="Table/Figure Heading Car,Listeafsnit Car,Paragraphe de liste1 Car,Bullets Car,List Paragraph1 Car,Numbered list Car,Paragraphe de liste (sdt) Car,Paragraphe de liste du rapport Car,List ParagraphCxSpLast Car,References Car"/>
    <w:link w:val="Paragraphedeliste"/>
    <w:uiPriority w:val="34"/>
    <w:qFormat/>
    <w:rsid w:val="004D19BE"/>
    <w:rPr>
      <w:rFonts w:ascii="Cambria" w:eastAsia="Cambria" w:hAnsi="Cambria" w:cs="Times New Roman"/>
      <w:sz w:val="24"/>
      <w:szCs w:val="24"/>
      <w:lang w:val="fr" w:eastAsia="fr"/>
    </w:rPr>
  </w:style>
  <w:style w:type="paragraph" w:customStyle="1" w:styleId="EXP-Titre3">
    <w:name w:val="EXP - Titre 3"/>
    <w:basedOn w:val="Normal"/>
    <w:link w:val="EXP-Titre3Car"/>
    <w:qFormat/>
    <w:rsid w:val="004D19BE"/>
    <w:pPr>
      <w:keepNext/>
      <w:keepLines/>
      <w:spacing w:before="40" w:after="0"/>
      <w:ind w:left="709"/>
      <w:jc w:val="both"/>
      <w:outlineLvl w:val="2"/>
    </w:pPr>
    <w:rPr>
      <w:rFonts w:ascii="Calibri" w:eastAsia="Times New Roman" w:hAnsi="Calibri"/>
      <w:b/>
      <w:color w:val="243F60"/>
      <w:szCs w:val="22"/>
      <w:shd w:val="clear" w:color="auto" w:fill="E9E4DE"/>
      <w:lang w:val="en-US"/>
    </w:rPr>
  </w:style>
  <w:style w:type="character" w:customStyle="1" w:styleId="EXP-Titre3Car">
    <w:name w:val="EXP - Titre 3 Car"/>
    <w:link w:val="EXP-Titre3"/>
    <w:rsid w:val="004D19BE"/>
    <w:rPr>
      <w:rFonts w:ascii="Calibri" w:eastAsia="Times New Roman" w:hAnsi="Calibri" w:cs="Times New Roman"/>
      <w:b/>
      <w:color w:val="243F60"/>
      <w:sz w:val="24"/>
      <w:lang w:val="en-US" w:eastAsia="fr"/>
    </w:rPr>
  </w:style>
  <w:style w:type="paragraph" w:styleId="Notedebasdepage">
    <w:name w:val="footnote text"/>
    <w:basedOn w:val="Normal"/>
    <w:link w:val="NotedebasdepageCar"/>
    <w:uiPriority w:val="99"/>
    <w:semiHidden/>
    <w:unhideWhenUsed/>
    <w:rsid w:val="004D19BE"/>
    <w:pPr>
      <w:spacing w:after="0"/>
    </w:pPr>
    <w:rPr>
      <w:sz w:val="20"/>
      <w:szCs w:val="20"/>
    </w:rPr>
  </w:style>
  <w:style w:type="character" w:customStyle="1" w:styleId="NotedebasdepageCar">
    <w:name w:val="Note de bas de page Car"/>
    <w:basedOn w:val="Policepardfaut"/>
    <w:link w:val="Notedebasdepage"/>
    <w:uiPriority w:val="99"/>
    <w:semiHidden/>
    <w:rsid w:val="004D19BE"/>
    <w:rPr>
      <w:rFonts w:ascii="Cambria" w:eastAsia="Cambria" w:hAnsi="Cambria" w:cs="Times New Roman"/>
      <w:sz w:val="20"/>
      <w:szCs w:val="20"/>
      <w:lang w:val="fr" w:eastAsia="fr"/>
    </w:rPr>
  </w:style>
  <w:style w:type="character" w:styleId="Appelnotedebasdep">
    <w:name w:val="footnote reference"/>
    <w:aliases w:val="ftref,16 Point,Superscript 6 Point,(NECG) Footnote Reference,Footnote number,BVI fnr,Comment Text Char1,Footnote Reference1,Footnotes refss,Fus note,4_G,Footnote Reference Char Char Char Char Char Char Char Char Car Car,fr"/>
    <w:link w:val="16PointCar"/>
    <w:uiPriority w:val="99"/>
    <w:unhideWhenUsed/>
    <w:qFormat/>
    <w:rsid w:val="004D19BE"/>
    <w:rPr>
      <w:vertAlign w:val="superscript"/>
    </w:rPr>
  </w:style>
  <w:style w:type="paragraph" w:customStyle="1" w:styleId="BTCbulletsCTB">
    <w:name w:val="BTC bullets CTB"/>
    <w:basedOn w:val="Normal"/>
    <w:autoRedefine/>
    <w:rsid w:val="004D19BE"/>
    <w:pPr>
      <w:numPr>
        <w:numId w:val="2"/>
      </w:numPr>
      <w:tabs>
        <w:tab w:val="num" w:pos="540"/>
      </w:tabs>
      <w:spacing w:after="160" w:line="276" w:lineRule="auto"/>
      <w:ind w:left="900" w:hanging="540"/>
    </w:pPr>
    <w:rPr>
      <w:rFonts w:ascii="Times New Roman" w:eastAsia="Calibri" w:hAnsi="Times New Roman"/>
      <w:snapToGrid w:val="0"/>
      <w:color w:val="585756"/>
      <w:sz w:val="22"/>
      <w:szCs w:val="22"/>
      <w:lang w:val="en-US" w:eastAsia="en-US"/>
    </w:rPr>
  </w:style>
  <w:style w:type="paragraph" w:customStyle="1" w:styleId="16PointCar">
    <w:name w:val="16 Point Car"/>
    <w:aliases w:val="Superscript 6 Point Car,Error-Fußnotenzeichen5 Car,Error-Fußnotenzeichen6 Car,Error-Fußnotenzeichen3 Car,ftref Car,Car Car Char Car Char Car Car Char Car Char Char Car,SUPERS Car"/>
    <w:basedOn w:val="Normal"/>
    <w:link w:val="Appelnotedebasdep"/>
    <w:uiPriority w:val="99"/>
    <w:rsid w:val="004D19BE"/>
    <w:pPr>
      <w:spacing w:after="160" w:line="240" w:lineRule="exact"/>
    </w:pPr>
    <w:rPr>
      <w:rFonts w:asciiTheme="minorHAnsi" w:eastAsiaTheme="minorHAnsi" w:hAnsiTheme="minorHAnsi" w:cstheme="minorBidi"/>
      <w:sz w:val="22"/>
      <w:szCs w:val="22"/>
      <w:vertAlign w:val="superscript"/>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lawinsider.com/dictionary/praka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3749</Words>
  <Characters>20625</Characters>
  <Application>Microsoft Office Word</Application>
  <DocSecurity>0</DocSecurity>
  <Lines>171</Lines>
  <Paragraphs>48</Paragraphs>
  <ScaleCrop>false</ScaleCrop>
  <HeadingPairs>
    <vt:vector size="4" baseType="variant">
      <vt:variant>
        <vt:lpstr>Titre</vt:lpstr>
      </vt:variant>
      <vt:variant>
        <vt:i4>1</vt:i4>
      </vt:variant>
      <vt:variant>
        <vt:lpstr>Titres</vt:lpstr>
      </vt:variant>
      <vt:variant>
        <vt:i4>12</vt:i4>
      </vt:variant>
    </vt:vector>
  </HeadingPairs>
  <TitlesOfParts>
    <vt:vector size="13" baseType="lpstr">
      <vt:lpstr/>
      <vt:lpstr>Description du projet d’appui à l’e-gouvernement</vt:lpstr>
      <vt:lpstr>    Objectifs du projet </vt:lpstr>
      <vt:lpstr>        Objectif global </vt:lpstr>
      <vt:lpstr>        Objectifs spécifiques</vt:lpstr>
      <vt:lpstr>        </vt:lpstr>
      <vt:lpstr>        Composantes/Extrants du projet</vt:lpstr>
      <vt:lpstr>    Bénéficiaires du projet</vt:lpstr>
      <vt:lpstr>    Phase de lancement</vt:lpstr>
      <vt:lpstr>    Processus d’assistance technique</vt:lpstr>
      <vt:lpstr>        Composante 1 : Finalisation et mise en œuvre de la loi sur la protection des don</vt:lpstr>
      <vt:lpstr>        Composante 2 : Rédaction du projet, des décrets, des textes spécifiques et des é</vt:lpstr>
      <vt:lpstr>        Composante 3 : Élaboration et opérationnalisation du cadre juridique et stratégi</vt:lpstr>
    </vt:vector>
  </TitlesOfParts>
  <Company>Expertise France</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LOISEAU</dc:creator>
  <cp:keywords/>
  <dc:description/>
  <cp:lastModifiedBy>Antoine LOISEAU</cp:lastModifiedBy>
  <cp:revision>1</cp:revision>
  <dcterms:created xsi:type="dcterms:W3CDTF">2026-01-13T16:56:00Z</dcterms:created>
  <dcterms:modified xsi:type="dcterms:W3CDTF">2026-01-13T16:57:00Z</dcterms:modified>
</cp:coreProperties>
</file>