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77969F33"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to </w:t>
      </w:r>
      <w:r w:rsidR="00547DF6">
        <w:rPr>
          <w:rFonts w:asciiTheme="minorHAnsi" w:hAnsiTheme="minorHAnsi" w:cs="Arial"/>
          <w:sz w:val="22"/>
          <w:lang w:val="en-GB"/>
        </w:rPr>
        <w:t xml:space="preserve">“joint </w:t>
      </w:r>
      <w:r w:rsidR="00547DF6" w:rsidRPr="00547DF6">
        <w:rPr>
          <w:rFonts w:asciiTheme="minorHAnsi" w:hAnsiTheme="minorHAnsi" w:cs="Arial"/>
          <w:sz w:val="22"/>
          <w:lang w:val="en-GB"/>
        </w:rPr>
        <w:t xml:space="preserve">consultancy services </w:t>
      </w:r>
      <w:r w:rsidR="00547DF6">
        <w:rPr>
          <w:rFonts w:asciiTheme="minorHAnsi" w:hAnsiTheme="minorHAnsi" w:cs="Arial"/>
          <w:sz w:val="22"/>
          <w:lang w:val="en-GB"/>
        </w:rPr>
        <w:t xml:space="preserve">(2 experts) </w:t>
      </w:r>
      <w:r w:rsidR="00547DF6" w:rsidRPr="00547DF6">
        <w:rPr>
          <w:rFonts w:asciiTheme="minorHAnsi" w:hAnsiTheme="minorHAnsi" w:cs="Arial"/>
          <w:sz w:val="22"/>
          <w:lang w:val="en-GB"/>
        </w:rPr>
        <w:t>for the development of a Guideline for elaboration of the feasibility study for disconnection of the thermal energy user installation from the district heating system in areas other than unitary heat supply systems</w:t>
      </w:r>
      <w:r w:rsidR="00547DF6">
        <w:rPr>
          <w:rFonts w:asciiTheme="minorHAnsi" w:hAnsiTheme="minorHAnsi" w:cs="Arial"/>
          <w:sz w:val="22"/>
          <w:lang w:val="en-GB"/>
        </w:rPr>
        <w:t>”.</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2EE444DD" w:rsidR="0094346F" w:rsidRDefault="0094346F" w:rsidP="00891B43">
      <w:pPr>
        <w:spacing w:before="120" w:line="240" w:lineRule="auto"/>
        <w:jc w:val="both"/>
        <w:rPr>
          <w:rFonts w:asciiTheme="minorHAnsi" w:hAnsiTheme="minorHAnsi" w:cs="Arial"/>
          <w:sz w:val="22"/>
          <w:lang w:val="en-GB"/>
        </w:rPr>
      </w:pPr>
      <w:proofErr w:type="gramStart"/>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547DF6" w:rsidRPr="00547DF6">
        <w:rPr>
          <w:rFonts w:asciiTheme="minorHAnsi" w:hAnsiTheme="minorHAnsi" w:cs="Arial"/>
          <w:sz w:val="22"/>
          <w:lang w:val="en-GB"/>
        </w:rPr>
        <w:t>“</w:t>
      </w:r>
      <w:r w:rsidR="00547DF6">
        <w:rPr>
          <w:rFonts w:asciiTheme="minorHAnsi" w:hAnsiTheme="minorHAnsi" w:cs="Arial"/>
          <w:sz w:val="22"/>
          <w:lang w:val="en-GB"/>
        </w:rPr>
        <w:t xml:space="preserve">joint </w:t>
      </w:r>
      <w:r w:rsidR="00547DF6" w:rsidRPr="00547DF6">
        <w:rPr>
          <w:rFonts w:asciiTheme="minorHAnsi" w:hAnsiTheme="minorHAnsi" w:cs="Arial"/>
          <w:sz w:val="22"/>
          <w:lang w:val="en-GB"/>
        </w:rPr>
        <w:t>consultancy services for the development of a Guideline for elaboration of the feasibility study for disconnection of the thermal energy user installation from the district heating system in areas other than unitary heat su</w:t>
      </w:r>
      <w:r w:rsidR="00547DF6">
        <w:rPr>
          <w:rFonts w:asciiTheme="minorHAnsi" w:hAnsiTheme="minorHAnsi" w:cs="Arial"/>
          <w:sz w:val="22"/>
          <w:lang w:val="en-GB"/>
        </w:rPr>
        <w:t xml:space="preserve">pply systems”, as consultant in team with </w:t>
      </w:r>
      <w:commentRangeStart w:id="0"/>
      <w:r w:rsidR="00547DF6">
        <w:rPr>
          <w:rFonts w:asciiTheme="minorHAnsi" w:hAnsiTheme="minorHAnsi" w:cs="Arial"/>
          <w:sz w:val="22"/>
          <w:lang w:val="en-GB"/>
        </w:rPr>
        <w:t xml:space="preserve">Mr/Mrs XXXXX </w:t>
      </w:r>
      <w:commentRangeEnd w:id="0"/>
      <w:r w:rsidR="00547DF6">
        <w:rPr>
          <w:rStyle w:val="Marquedecommentaire"/>
        </w:rPr>
        <w:commentReference w:id="0"/>
      </w:r>
      <w:r w:rsidR="00547DF6">
        <w:rPr>
          <w:rFonts w:asciiTheme="minorHAnsi" w:hAnsiTheme="minorHAnsi" w:cs="Arial"/>
          <w:sz w:val="22"/>
          <w:lang w:val="en-GB"/>
        </w:rPr>
        <w:t>and to implement the following related assignment(s):</w:t>
      </w:r>
      <w:proofErr w:type="gramEnd"/>
    </w:p>
    <w:p w14:paraId="086EEA2E" w14:textId="77777777" w:rsidR="00547DF6" w:rsidRPr="00547DF6" w:rsidRDefault="00547DF6" w:rsidP="00547DF6">
      <w:pPr>
        <w:spacing w:before="120" w:line="240" w:lineRule="auto"/>
        <w:jc w:val="both"/>
        <w:rPr>
          <w:rFonts w:asciiTheme="minorHAnsi" w:hAnsiTheme="minorHAnsi" w:cs="Arial"/>
          <w:b/>
          <w:sz w:val="22"/>
          <w:u w:val="single"/>
          <w:lang w:val="en-GB"/>
        </w:rPr>
      </w:pPr>
      <w:commentRangeStart w:id="1"/>
      <w:r w:rsidRPr="00547DF6">
        <w:rPr>
          <w:rFonts w:asciiTheme="minorHAnsi" w:hAnsiTheme="minorHAnsi" w:cs="Arial"/>
          <w:b/>
          <w:sz w:val="22"/>
          <w:u w:val="single"/>
          <w:lang w:val="en-GB"/>
        </w:rPr>
        <w:t>Assignment no. 1:</w:t>
      </w:r>
    </w:p>
    <w:p w14:paraId="221A9445" w14:textId="77777777" w:rsidR="00547DF6" w:rsidRPr="00547DF6" w:rsidRDefault="00547DF6" w:rsidP="00547DF6">
      <w:pPr>
        <w:pStyle w:val="Paragraphedeliste"/>
        <w:numPr>
          <w:ilvl w:val="0"/>
          <w:numId w:val="46"/>
        </w:numPr>
        <w:spacing w:before="120" w:line="240" w:lineRule="auto"/>
        <w:jc w:val="both"/>
        <w:rPr>
          <w:rFonts w:asciiTheme="minorHAnsi" w:hAnsiTheme="minorHAnsi" w:cs="Arial"/>
          <w:sz w:val="22"/>
          <w:lang w:val="en-GB"/>
        </w:rPr>
      </w:pPr>
      <w:r w:rsidRPr="00547DF6">
        <w:rPr>
          <w:rFonts w:asciiTheme="minorHAnsi" w:hAnsiTheme="minorHAnsi" w:cs="Arial"/>
          <w:sz w:val="22"/>
          <w:lang w:val="en-GB"/>
        </w:rPr>
        <w:t>The consultant will outline a clear and concise hands-on:</w:t>
      </w:r>
    </w:p>
    <w:p w14:paraId="70B6DF53"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system</w:t>
      </w:r>
      <w:proofErr w:type="gramEnd"/>
      <w:r w:rsidRPr="00547DF6">
        <w:rPr>
          <w:rFonts w:asciiTheme="minorHAnsi" w:hAnsiTheme="minorHAnsi" w:cs="Arial"/>
          <w:sz w:val="22"/>
          <w:lang w:val="en-GB"/>
        </w:rPr>
        <w:t xml:space="preserve"> analysis methodology for establishing the process boundary and geographical boundary. This structural element format will reflect a robust methodological framework for defining the system and geographical boundaries for the planned intervention. The envisaged methodological framework will be defined in a </w:t>
      </w:r>
      <w:proofErr w:type="gramStart"/>
      <w:r w:rsidRPr="00547DF6">
        <w:rPr>
          <w:rFonts w:asciiTheme="minorHAnsi" w:hAnsiTheme="minorHAnsi" w:cs="Arial"/>
          <w:sz w:val="22"/>
          <w:lang w:val="en-GB"/>
        </w:rPr>
        <w:t>step-by-step</w:t>
      </w:r>
      <w:proofErr w:type="gramEnd"/>
      <w:r w:rsidRPr="00547DF6">
        <w:rPr>
          <w:rFonts w:asciiTheme="minorHAnsi" w:hAnsiTheme="minorHAnsi" w:cs="Arial"/>
          <w:sz w:val="22"/>
          <w:lang w:val="en-GB"/>
        </w:rPr>
        <w:t xml:space="preserve"> guide on how to establish system and geographical boundaries for a given project. This could include practical tools like templates, checklists for data gathering, and real-world examples of how to define system boundaries for various scenarios;</w:t>
      </w:r>
    </w:p>
    <w:p w14:paraId="32A25F33"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framework</w:t>
      </w:r>
      <w:proofErr w:type="gramEnd"/>
      <w:r w:rsidRPr="00547DF6">
        <w:rPr>
          <w:rFonts w:asciiTheme="minorHAnsi" w:hAnsiTheme="minorHAnsi" w:cs="Arial"/>
          <w:sz w:val="22"/>
          <w:lang w:val="en-GB"/>
        </w:rPr>
        <w:t xml:space="preserve"> for identification, evaluation and comparison of different heat demand and supply options, ensuring a comprehensive and integrated approach. The respective framework will be formulated in a guideline format;</w:t>
      </w:r>
    </w:p>
    <w:p w14:paraId="1A2AFEAC"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lastRenderedPageBreak/>
        <w:t>template</w:t>
      </w:r>
      <w:proofErr w:type="gramEnd"/>
      <w:r w:rsidRPr="00547DF6">
        <w:rPr>
          <w:rFonts w:asciiTheme="minorHAnsi" w:hAnsiTheme="minorHAnsi" w:cs="Arial"/>
          <w:sz w:val="22"/>
          <w:lang w:val="en-GB"/>
        </w:rPr>
        <w:t xml:space="preserve"> for the baseline section of a feasibility study. This shall consider the district heating system as the reference scenario. The template could include a checklist of all required data points and specific instructions on how to collect information from various sources. This section shall provide a clear and objective framework for documenting the existing situation;</w:t>
      </w:r>
    </w:p>
    <w:p w14:paraId="7E78C979"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methodology</w:t>
      </w:r>
      <w:proofErr w:type="gramEnd"/>
      <w:r w:rsidRPr="00547DF6">
        <w:rPr>
          <w:rFonts w:asciiTheme="minorHAnsi" w:hAnsiTheme="minorHAnsi" w:cs="Arial"/>
          <w:sz w:val="22"/>
          <w:lang w:val="en-GB"/>
        </w:rPr>
        <w:t xml:space="preserve"> to identify, describe and justify alternative heat supply scenarios based on a defined set of criteria and calculation assumptions, provided explicitly in this section upon preliminary coordination with NCSE.</w:t>
      </w:r>
    </w:p>
    <w:p w14:paraId="4FA22CE6" w14:textId="77777777" w:rsidR="00547DF6" w:rsidRDefault="00547DF6" w:rsidP="00547DF6">
      <w:pPr>
        <w:pStyle w:val="Paragraphedeliste"/>
        <w:spacing w:before="120" w:line="240" w:lineRule="auto"/>
        <w:jc w:val="both"/>
        <w:rPr>
          <w:rFonts w:asciiTheme="minorHAnsi" w:hAnsiTheme="minorHAnsi" w:cs="Arial"/>
          <w:sz w:val="22"/>
          <w:lang w:val="en-GB"/>
        </w:rPr>
      </w:pPr>
    </w:p>
    <w:p w14:paraId="0721D51B" w14:textId="214ADA37" w:rsidR="00547DF6" w:rsidRPr="00547DF6" w:rsidRDefault="00547DF6" w:rsidP="00547DF6">
      <w:pPr>
        <w:spacing w:before="120" w:line="240" w:lineRule="auto"/>
        <w:jc w:val="both"/>
        <w:rPr>
          <w:rFonts w:asciiTheme="minorHAnsi" w:hAnsiTheme="minorHAnsi" w:cs="Arial"/>
          <w:b/>
          <w:sz w:val="22"/>
          <w:u w:val="single"/>
          <w:lang w:val="en-GB"/>
        </w:rPr>
      </w:pPr>
      <w:r w:rsidRPr="00547DF6">
        <w:rPr>
          <w:rFonts w:asciiTheme="minorHAnsi" w:hAnsiTheme="minorHAnsi" w:cs="Arial"/>
          <w:b/>
          <w:sz w:val="22"/>
          <w:u w:val="single"/>
          <w:lang w:val="en-GB"/>
        </w:rPr>
        <w:t>Assignment no. 2:</w:t>
      </w:r>
    </w:p>
    <w:p w14:paraId="37F92229" w14:textId="77777777" w:rsidR="00547DF6" w:rsidRPr="00547DF6" w:rsidRDefault="00547DF6" w:rsidP="00547DF6">
      <w:pPr>
        <w:pStyle w:val="Paragraphedeliste"/>
        <w:numPr>
          <w:ilvl w:val="0"/>
          <w:numId w:val="46"/>
        </w:numPr>
        <w:spacing w:before="120" w:line="240" w:lineRule="auto"/>
        <w:jc w:val="both"/>
        <w:rPr>
          <w:rFonts w:asciiTheme="minorHAnsi" w:hAnsiTheme="minorHAnsi" w:cs="Arial"/>
          <w:sz w:val="22"/>
          <w:lang w:val="en-GB"/>
        </w:rPr>
      </w:pPr>
      <w:r w:rsidRPr="00547DF6">
        <w:rPr>
          <w:rFonts w:asciiTheme="minorHAnsi" w:hAnsiTheme="minorHAnsi" w:cs="Arial"/>
          <w:sz w:val="22"/>
          <w:lang w:val="en-GB"/>
        </w:rPr>
        <w:t>The consultant will outline a clear and concise hands-on:</w:t>
      </w:r>
    </w:p>
    <w:p w14:paraId="6BA03EF5"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method</w:t>
      </w:r>
      <w:proofErr w:type="gramEnd"/>
      <w:r w:rsidRPr="00547DF6">
        <w:rPr>
          <w:rFonts w:asciiTheme="minorHAnsi" w:hAnsiTheme="minorHAnsi" w:cs="Arial"/>
          <w:sz w:val="22"/>
          <w:lang w:val="en-GB"/>
        </w:rPr>
        <w:t xml:space="preserve"> for calculating the economic viability of different heat supply scenarios, based on the Net Present Value (NPV) method. The guideline will define all relevant economic variables, such as capital expenditure (CAPEX), operational expenditure (OPEX), and discount rates and will propose a detailed, </w:t>
      </w:r>
      <w:proofErr w:type="gramStart"/>
      <w:r w:rsidRPr="00547DF6">
        <w:rPr>
          <w:rFonts w:asciiTheme="minorHAnsi" w:hAnsiTheme="minorHAnsi" w:cs="Arial"/>
          <w:sz w:val="22"/>
          <w:lang w:val="en-GB"/>
        </w:rPr>
        <w:t>step-by-step</w:t>
      </w:r>
      <w:proofErr w:type="gramEnd"/>
      <w:r w:rsidRPr="00547DF6">
        <w:rPr>
          <w:rFonts w:asciiTheme="minorHAnsi" w:hAnsiTheme="minorHAnsi" w:cs="Arial"/>
          <w:sz w:val="22"/>
          <w:lang w:val="en-GB"/>
        </w:rPr>
        <w:t xml:space="preserve"> procedure for performing the NPV calculation. This could include a template spreadsheet with clear formulas and data input fields. This structural element should provide a practical tool that allows users to perform a reliable economic analysis of possible heat supply scenarios, without needing a deep background in finance;</w:t>
      </w:r>
    </w:p>
    <w:p w14:paraId="7D9C2274"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method</w:t>
      </w:r>
      <w:proofErr w:type="gramEnd"/>
      <w:r w:rsidRPr="00547DF6">
        <w:rPr>
          <w:rFonts w:asciiTheme="minorHAnsi" w:hAnsiTheme="minorHAnsi" w:cs="Arial"/>
          <w:sz w:val="22"/>
          <w:lang w:val="en-GB"/>
        </w:rPr>
        <w:t xml:space="preserve"> for evaluating all potential outcomes—both positive and negative—of each heat supply scenario. It </w:t>
      </w:r>
      <w:proofErr w:type="gramStart"/>
      <w:r w:rsidRPr="00547DF6">
        <w:rPr>
          <w:rFonts w:asciiTheme="minorHAnsi" w:hAnsiTheme="minorHAnsi" w:cs="Arial"/>
          <w:sz w:val="22"/>
          <w:lang w:val="en-GB"/>
        </w:rPr>
        <w:t>could be based</w:t>
      </w:r>
      <w:proofErr w:type="gramEnd"/>
      <w:r w:rsidRPr="00547DF6">
        <w:rPr>
          <w:rFonts w:asciiTheme="minorHAnsi" w:hAnsiTheme="minorHAnsi" w:cs="Arial"/>
          <w:sz w:val="22"/>
          <w:lang w:val="en-GB"/>
        </w:rPr>
        <w:t xml:space="preserve"> on a multi-criteria analysis (MCA) framework. The guide will propose methods and examples on how to identify and explain both tangible effects (e.g., on energy bills, property value, maintenance costs) and intangible ones (e.g., air quality, energy supply reliability), aiming at ensuring a balanced and holistic evaluation that accounts for social, environmental, and economic factors. The method should propose a comparative table or matrix template (based on a checklist to avoid common omissions/errors in evaluation) that lists all scenarios and their associated benefits and negative effects;</w:t>
      </w:r>
    </w:p>
    <w:p w14:paraId="69E2BA3E" w14:textId="77777777" w:rsidR="00547DF6" w:rsidRPr="00547DF6" w:rsidRDefault="00547DF6" w:rsidP="00547DF6">
      <w:pPr>
        <w:pStyle w:val="Paragraphedeliste"/>
        <w:numPr>
          <w:ilvl w:val="1"/>
          <w:numId w:val="46"/>
        </w:numPr>
        <w:spacing w:before="120" w:line="240" w:lineRule="auto"/>
        <w:jc w:val="both"/>
        <w:rPr>
          <w:rFonts w:asciiTheme="minorHAnsi" w:hAnsiTheme="minorHAnsi" w:cs="Arial"/>
          <w:sz w:val="22"/>
          <w:lang w:val="en-GB"/>
        </w:rPr>
      </w:pPr>
      <w:proofErr w:type="gramStart"/>
      <w:r w:rsidRPr="00547DF6">
        <w:rPr>
          <w:rFonts w:asciiTheme="minorHAnsi" w:hAnsiTheme="minorHAnsi" w:cs="Arial"/>
          <w:sz w:val="22"/>
          <w:lang w:val="en-GB"/>
        </w:rPr>
        <w:t>procedural</w:t>
      </w:r>
      <w:proofErr w:type="gramEnd"/>
      <w:r w:rsidRPr="00547DF6">
        <w:rPr>
          <w:rFonts w:asciiTheme="minorHAnsi" w:hAnsiTheme="minorHAnsi" w:cs="Arial"/>
          <w:sz w:val="22"/>
          <w:lang w:val="en-GB"/>
        </w:rPr>
        <w:t xml:space="preserve"> framework of conducting a feasibility study, which will account for all necessary collaborative aspects and consider the application of project management and stakeholder coordination principles. This structural element shall outline the importance of </w:t>
      </w:r>
      <w:proofErr w:type="gramStart"/>
      <w:r w:rsidRPr="00547DF6">
        <w:rPr>
          <w:rFonts w:asciiTheme="minorHAnsi" w:hAnsiTheme="minorHAnsi" w:cs="Arial"/>
          <w:sz w:val="22"/>
          <w:lang w:val="en-GB"/>
        </w:rPr>
        <w:t>a transparent process and how to document every step to maintain the integrity of the study</w:t>
      </w:r>
      <w:proofErr w:type="gramEnd"/>
      <w:r w:rsidRPr="00547DF6">
        <w:rPr>
          <w:rFonts w:asciiTheme="minorHAnsi" w:hAnsiTheme="minorHAnsi" w:cs="Arial"/>
          <w:sz w:val="22"/>
          <w:lang w:val="en-GB"/>
        </w:rPr>
        <w:t xml:space="preserve">. One should consider developing a </w:t>
      </w:r>
      <w:proofErr w:type="gramStart"/>
      <w:r w:rsidRPr="00547DF6">
        <w:rPr>
          <w:rFonts w:asciiTheme="minorHAnsi" w:hAnsiTheme="minorHAnsi" w:cs="Arial"/>
          <w:sz w:val="22"/>
          <w:lang w:val="en-GB"/>
        </w:rPr>
        <w:t>step-by-step</w:t>
      </w:r>
      <w:proofErr w:type="gramEnd"/>
      <w:r w:rsidRPr="00547DF6">
        <w:rPr>
          <w:rFonts w:asciiTheme="minorHAnsi" w:hAnsiTheme="minorHAnsi" w:cs="Arial"/>
          <w:sz w:val="22"/>
          <w:lang w:val="en-GB"/>
        </w:rPr>
        <w:t xml:space="preserve"> procedural guide for coordinating the feasibility study, including a template for a coordination plan that outlines how to engage with key stakeholders.</w:t>
      </w:r>
    </w:p>
    <w:commentRangeEnd w:id="1"/>
    <w:p w14:paraId="24E40585" w14:textId="2CDFA19D" w:rsidR="00547DF6" w:rsidRPr="00547DF6" w:rsidRDefault="00547DF6" w:rsidP="00547DF6">
      <w:pPr>
        <w:spacing w:before="120" w:line="240" w:lineRule="auto"/>
        <w:jc w:val="both"/>
        <w:rPr>
          <w:rFonts w:asciiTheme="minorHAnsi" w:hAnsiTheme="minorHAnsi" w:cs="Arial"/>
          <w:sz w:val="22"/>
          <w:lang w:val="en-GB"/>
        </w:rPr>
      </w:pPr>
      <w:r>
        <w:rPr>
          <w:rStyle w:val="Marquedecommentaire"/>
        </w:rPr>
        <w:commentReference w:id="1"/>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01C71930"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w:t>
      </w:r>
      <w:proofErr w:type="gramStart"/>
      <w:r>
        <w:rPr>
          <w:rFonts w:asciiTheme="minorHAnsi" w:hAnsiTheme="minorHAnsi" w:cs="Arial"/>
          <w:sz w:val="22"/>
          <w:lang w:val="en-GB"/>
        </w:rPr>
        <w:t>is registered</w:t>
      </w:r>
      <w:proofErr w:type="gramEnd"/>
      <w:r>
        <w:rPr>
          <w:rFonts w:asciiTheme="minorHAnsi" w:hAnsiTheme="minorHAnsi" w:cs="Arial"/>
          <w:sz w:val="22"/>
          <w:lang w:val="en-GB"/>
        </w:rPr>
        <w:t xml:space="preserve">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w:t>
      </w:r>
      <w:r w:rsidR="00547DF6">
        <w:rPr>
          <w:rFonts w:asciiTheme="minorHAnsi" w:hAnsiTheme="minorHAnsi" w:cs="Arial"/>
          <w:sz w:val="22"/>
          <w:lang w:val="en-GB"/>
        </w:rPr>
        <w:t>ance or an equivalent document) or allowed to be considered as an individual consultant in Moldova, based on the Moldovan law.</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3B7C7878" w:rsidR="00C43FF9" w:rsidRPr="00167803" w:rsidRDefault="00547DF6"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 xml:space="preserve"> </w:t>
      </w:r>
      <w:r w:rsidR="003930DF">
        <w:rPr>
          <w:rFonts w:asciiTheme="minorHAnsi" w:hAnsiTheme="minorHAnsi" w:cs="Arial"/>
          <w:i/>
          <w:iCs/>
          <w:sz w:val="22"/>
          <w:lang w:val="en-GB"/>
        </w:rPr>
        <w:t>Not applicable</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4306EDFD" w14:textId="3FC28F9A" w:rsidR="00F57CF9" w:rsidRDefault="00547DF6"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 </w:t>
      </w:r>
      <w:r w:rsidR="003930DF">
        <w:rPr>
          <w:rFonts w:asciiTheme="minorHAnsi" w:hAnsiTheme="minorHAnsi" w:cs="Arial"/>
          <w:i/>
          <w:iCs/>
          <w:sz w:val="22"/>
          <w:lang w:val="en-GB"/>
        </w:rPr>
        <w:t>Not applicable</w:t>
      </w:r>
      <w:r w:rsidR="00F57CF9">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w:t>
      </w:r>
      <w:proofErr w:type="gramStart"/>
      <w:r>
        <w:rPr>
          <w:rFonts w:asciiTheme="minorHAnsi" w:hAnsiTheme="minorHAnsi" w:cs="Arial"/>
          <w:sz w:val="22"/>
          <w:lang w:val="en-GB"/>
        </w:rPr>
        <w:t>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547DF6"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commentRangeStart w:id="2"/>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commentRangeEnd w:id="2"/>
      <w:r w:rsidR="00547DF6">
        <w:rPr>
          <w:rStyle w:val="Marquedecommentaire"/>
        </w:rPr>
        <w:commentReference w:id="2"/>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7558A129"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547DF6" w:rsidRPr="00547DF6">
        <w:rPr>
          <w:rFonts w:ascii="Calibri" w:hAnsi="Calibri"/>
          <w:sz w:val="22"/>
          <w:szCs w:val="22"/>
          <w:lang w:val="en-GB"/>
        </w:rPr>
        <w:t>joint consultancy services for the development of a Guideline for elaboration of the feasibility study for disconnection of the thermal energy user installation from the district heating system in areas other than unitary heat supply systems</w:t>
      </w:r>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proofErr w:type="gramStart"/>
      <w:r w:rsidRPr="008F53EE">
        <w:rPr>
          <w:rFonts w:ascii="Calibri" w:hAnsi="Calibri"/>
          <w:sz w:val="22"/>
          <w:szCs w:val="22"/>
          <w:lang w:val="en-GB"/>
        </w:rPr>
        <w:t>acknowledges</w:t>
      </w:r>
      <w:proofErr w:type="gramEnd"/>
      <w:r w:rsidRPr="008F53EE">
        <w:rPr>
          <w:rFonts w:ascii="Calibri" w:hAnsi="Calibri"/>
          <w:sz w:val="22"/>
          <w:szCs w:val="22"/>
          <w:lang w:val="en-GB"/>
        </w:rPr>
        <w:t xml:space="preserve">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6"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7"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8"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9"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subject to a World Bank exclusion order and are not on the list published by the World Bank. For information, the list can be consulted at the following address: </w:t>
      </w:r>
      <w:hyperlink r:id="rId20"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acknowledge</w:t>
      </w:r>
      <w:proofErr w:type="gramEnd"/>
      <w:r w:rsidRPr="008F53EE">
        <w:rPr>
          <w:rFonts w:ascii="Calibri" w:hAnsi="Calibri"/>
          <w:sz w:val="22"/>
          <w:lang w:val="en-GB"/>
        </w:rPr>
        <w:t xml:space="preserv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undertake</w:t>
      </w:r>
      <w:proofErr w:type="gramEnd"/>
      <w:r w:rsidRPr="008F53EE">
        <w:rPr>
          <w:rFonts w:ascii="Calibri" w:hAnsi="Calibri"/>
          <w:sz w:val="22"/>
          <w:lang w:val="en-GB"/>
        </w:rPr>
        <w:t xml:space="preserv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proofErr w:type="gramStart"/>
      <w:r w:rsidRPr="008F53EE">
        <w:rPr>
          <w:rFonts w:ascii="Calibri" w:hAnsi="Calibri"/>
          <w:sz w:val="22"/>
          <w:szCs w:val="22"/>
          <w:lang w:val="en-GB"/>
        </w:rPr>
        <w:t>declares</w:t>
      </w:r>
      <w:proofErr w:type="gramEnd"/>
      <w:r w:rsidRPr="008F53EE">
        <w:rPr>
          <w:rFonts w:ascii="Calibri" w:hAnsi="Calibri"/>
          <w:sz w:val="22"/>
          <w:szCs w:val="22"/>
          <w:lang w:val="en-GB"/>
        </w:rPr>
        <w:t xml:space="preserve">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547DF6"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21"/>
          <w:headerReference w:type="first" r:id="rId22"/>
          <w:footerReference w:type="first" r:id="rId23"/>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4">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5">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3" w:name="_GoBack"/>
      <w:bookmarkStart w:id="4" w:name="_MON_1582458567"/>
      <w:bookmarkEnd w:id="4"/>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26" o:title=""/>
          </v:shape>
          <o:OLEObject Type="Embed" ProgID="Excel.Sheet.12" ShapeID="_x0000_i1025" DrawAspect="Content" ObjectID="_1820907478" r:id="rId27"/>
        </w:object>
      </w:r>
      <w:bookmarkEnd w:id="3"/>
    </w:p>
    <w:sectPr w:rsidR="00B76D6F" w:rsidRPr="00432FF8" w:rsidSect="005E2CD1">
      <w:headerReference w:type="default" r:id="rId28"/>
      <w:headerReference w:type="first" r:id="rId29"/>
      <w:footerReference w:type="first" r:id="rId30"/>
      <w:pgSz w:w="11906" w:h="16838" w:code="9"/>
      <w:pgMar w:top="1417" w:right="1417" w:bottom="851" w:left="1417" w:header="431" w:footer="65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érénice GUERIN" w:date="2025-09-30T15:46:00Z" w:initials="BG">
    <w:p w14:paraId="60EA1F12" w14:textId="7DE6D702" w:rsidR="00547DF6" w:rsidRDefault="00547DF6">
      <w:pPr>
        <w:pStyle w:val="Commentaire"/>
      </w:pPr>
      <w:r>
        <w:rPr>
          <w:rStyle w:val="Marquedecommentaire"/>
        </w:rPr>
        <w:annotationRef/>
      </w:r>
      <w:proofErr w:type="spellStart"/>
      <w:r>
        <w:t>Please</w:t>
      </w:r>
      <w:proofErr w:type="spellEnd"/>
      <w:r>
        <w:t xml:space="preserve">, </w:t>
      </w:r>
      <w:proofErr w:type="spellStart"/>
      <w:r>
        <w:t>complete</w:t>
      </w:r>
      <w:proofErr w:type="spellEnd"/>
    </w:p>
  </w:comment>
  <w:comment w:id="1" w:author="Bérénice GUERIN" w:date="2025-09-30T15:43:00Z" w:initials="BG">
    <w:p w14:paraId="5633817F" w14:textId="57989D07" w:rsidR="00547DF6" w:rsidRPr="00547DF6" w:rsidRDefault="00547DF6">
      <w:pPr>
        <w:pStyle w:val="Commentaire"/>
        <w:rPr>
          <w:lang w:val="en-GB"/>
        </w:rPr>
      </w:pPr>
      <w:r>
        <w:rPr>
          <w:rStyle w:val="Marquedecommentaire"/>
        </w:rPr>
        <w:annotationRef/>
      </w:r>
      <w:r w:rsidRPr="00547DF6">
        <w:rPr>
          <w:lang w:val="en-GB"/>
        </w:rPr>
        <w:t>Please delete the tasks you are not going to do</w:t>
      </w:r>
      <w:r w:rsidR="0035465E">
        <w:rPr>
          <w:lang w:val="en-GB"/>
        </w:rPr>
        <w:t xml:space="preserve"> personally</w:t>
      </w:r>
      <w:r>
        <w:rPr>
          <w:lang w:val="en-GB"/>
        </w:rPr>
        <w:t>, based on the offer you’ve sent with your co-expert.</w:t>
      </w:r>
    </w:p>
  </w:comment>
  <w:comment w:id="2" w:author="Bérénice GUERIN" w:date="2025-09-30T15:48:00Z" w:initials="BG">
    <w:p w14:paraId="331DD9E5" w14:textId="4B4B0A2C" w:rsidR="00547DF6" w:rsidRPr="00547DF6" w:rsidRDefault="00547DF6">
      <w:pPr>
        <w:pStyle w:val="Commentaire"/>
        <w:rPr>
          <w:lang w:val="en-GB"/>
        </w:rPr>
      </w:pPr>
      <w:r>
        <w:rPr>
          <w:rStyle w:val="Marquedecommentaire"/>
        </w:rPr>
        <w:annotationRef/>
      </w:r>
      <w:r w:rsidRPr="00547DF6">
        <w:rPr>
          <w:lang w:val="en-GB"/>
        </w:rPr>
        <w:t>Please, fulfil and sign this annex too</w:t>
      </w:r>
      <w:r>
        <w:rPr>
          <w:lang w:val="en-GB"/>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EA1F12" w15:done="0"/>
  <w15:commentEx w15:paraId="5633817F" w15:done="0"/>
  <w15:commentEx w15:paraId="331DD9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76943" w14:textId="77777777" w:rsidR="00F25AEB" w:rsidRDefault="00F25AEB">
      <w:r>
        <w:separator/>
      </w:r>
    </w:p>
  </w:endnote>
  <w:endnote w:type="continuationSeparator" w:id="0">
    <w:p w14:paraId="108C2C2F" w14:textId="77777777" w:rsidR="00F25AEB" w:rsidRDefault="00F2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599AD10A"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5465E">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5465E">
              <w:rPr>
                <w:rFonts w:asciiTheme="minorHAnsi" w:hAnsiTheme="minorHAnsi"/>
                <w:b/>
                <w:bCs/>
                <w:noProof/>
                <w:sz w:val="22"/>
                <w:szCs w:val="22"/>
              </w:rPr>
              <w:t>8</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16E9A2FC"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5465E">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5465E">
                              <w:rPr>
                                <w:rFonts w:asciiTheme="minorHAnsi" w:hAnsiTheme="minorHAnsi"/>
                                <w:b/>
                                <w:bCs/>
                                <w:noProof/>
                                <w:sz w:val="22"/>
                                <w:szCs w:val="22"/>
                              </w:rPr>
                              <w:t>8</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12BD58D2"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5465E">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5465E">
                              <w:rPr>
                                <w:rFonts w:asciiTheme="minorHAnsi" w:hAnsiTheme="minorHAnsi"/>
                                <w:b/>
                                <w:bCs/>
                                <w:noProof/>
                                <w:sz w:val="22"/>
                                <w:szCs w:val="22"/>
                              </w:rPr>
                              <w:t>8</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462EC58A"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35465E">
                              <w:rPr>
                                <w:rFonts w:asciiTheme="minorHAnsi" w:hAnsiTheme="minorHAnsi"/>
                                <w:b/>
                                <w:bCs/>
                                <w:noProof/>
                                <w:sz w:val="22"/>
                                <w:szCs w:val="22"/>
                              </w:rPr>
                              <w:t>8</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35465E">
                              <w:rPr>
                                <w:rFonts w:asciiTheme="minorHAnsi" w:hAnsiTheme="minorHAnsi"/>
                                <w:b/>
                                <w:bCs/>
                                <w:noProof/>
                                <w:sz w:val="22"/>
                                <w:szCs w:val="22"/>
                              </w:rPr>
                              <w:t>8</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35C8" w14:textId="77777777" w:rsidR="00F25AEB" w:rsidRDefault="00F25AEB">
      <w:r>
        <w:separator/>
      </w:r>
    </w:p>
  </w:footnote>
  <w:footnote w:type="continuationSeparator" w:id="0">
    <w:p w14:paraId="3F5AC6F6" w14:textId="77777777" w:rsidR="00F25AEB" w:rsidRDefault="00F25AEB">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750DA"/>
    <w:multiLevelType w:val="hybridMultilevel"/>
    <w:tmpl w:val="072A59AE"/>
    <w:lvl w:ilvl="0" w:tplc="A4501648">
      <w:numFmt w:val="bullet"/>
      <w:lvlText w:val="-"/>
      <w:lvlJc w:val="left"/>
      <w:pPr>
        <w:ind w:left="720" w:hanging="360"/>
      </w:pPr>
      <w:rPr>
        <w:rFonts w:ascii="Calibri" w:eastAsia="Time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2"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5"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7"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6"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9"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7"/>
  </w:num>
  <w:num w:numId="4">
    <w:abstractNumId w:val="5"/>
  </w:num>
  <w:num w:numId="5">
    <w:abstractNumId w:val="22"/>
  </w:num>
  <w:num w:numId="6">
    <w:abstractNumId w:val="10"/>
  </w:num>
  <w:num w:numId="7">
    <w:abstractNumId w:val="20"/>
  </w:num>
  <w:num w:numId="8">
    <w:abstractNumId w:val="28"/>
  </w:num>
  <w:num w:numId="9">
    <w:abstractNumId w:val="16"/>
  </w:num>
  <w:num w:numId="10">
    <w:abstractNumId w:val="33"/>
  </w:num>
  <w:num w:numId="11">
    <w:abstractNumId w:val="3"/>
  </w:num>
  <w:num w:numId="12">
    <w:abstractNumId w:val="15"/>
  </w:num>
  <w:num w:numId="13">
    <w:abstractNumId w:val="31"/>
  </w:num>
  <w:num w:numId="14">
    <w:abstractNumId w:val="26"/>
  </w:num>
  <w:num w:numId="15">
    <w:abstractNumId w:val="37"/>
  </w:num>
  <w:num w:numId="16">
    <w:abstractNumId w:val="4"/>
  </w:num>
  <w:num w:numId="17">
    <w:abstractNumId w:val="24"/>
  </w:num>
  <w:num w:numId="18">
    <w:abstractNumId w:val="21"/>
  </w:num>
  <w:num w:numId="19">
    <w:abstractNumId w:val="17"/>
  </w:num>
  <w:num w:numId="20">
    <w:abstractNumId w:val="7"/>
  </w:num>
  <w:num w:numId="21">
    <w:abstractNumId w:val="6"/>
  </w:num>
  <w:num w:numId="22">
    <w:abstractNumId w:val="40"/>
  </w:num>
  <w:num w:numId="23">
    <w:abstractNumId w:val="1"/>
  </w:num>
  <w:num w:numId="24">
    <w:abstractNumId w:val="18"/>
  </w:num>
  <w:num w:numId="25">
    <w:abstractNumId w:val="38"/>
  </w:num>
  <w:num w:numId="26">
    <w:abstractNumId w:val="19"/>
  </w:num>
  <w:num w:numId="27">
    <w:abstractNumId w:val="41"/>
  </w:num>
  <w:num w:numId="28">
    <w:abstractNumId w:val="35"/>
  </w:num>
  <w:num w:numId="29">
    <w:abstractNumId w:val="39"/>
  </w:num>
  <w:num w:numId="30">
    <w:abstractNumId w:val="12"/>
  </w:num>
  <w:num w:numId="31">
    <w:abstractNumId w:val="25"/>
  </w:num>
  <w:num w:numId="32">
    <w:abstractNumId w:val="30"/>
  </w:num>
  <w:num w:numId="33">
    <w:abstractNumId w:val="36"/>
  </w:num>
  <w:num w:numId="34">
    <w:abstractNumId w:val="34"/>
  </w:num>
  <w:num w:numId="35">
    <w:abstractNumId w:val="14"/>
  </w:num>
  <w:num w:numId="36">
    <w:abstractNumId w:val="41"/>
  </w:num>
  <w:num w:numId="37">
    <w:abstractNumId w:val="32"/>
    <w:lvlOverride w:ilvl="0">
      <w:startOverride w:val="1"/>
    </w:lvlOverride>
    <w:lvlOverride w:ilvl="1"/>
    <w:lvlOverride w:ilvl="2"/>
    <w:lvlOverride w:ilvl="3"/>
    <w:lvlOverride w:ilvl="4"/>
    <w:lvlOverride w:ilvl="5"/>
    <w:lvlOverride w:ilvl="6"/>
    <w:lvlOverride w:ilvl="7"/>
    <w:lvlOverride w:ilvl="8"/>
  </w:num>
  <w:num w:numId="38">
    <w:abstractNumId w:val="11"/>
  </w:num>
  <w:num w:numId="39">
    <w:abstractNumId w:val="38"/>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lvlOverride w:ilvl="2"/>
    <w:lvlOverride w:ilvl="3"/>
    <w:lvlOverride w:ilvl="4"/>
    <w:lvlOverride w:ilvl="5"/>
    <w:lvlOverride w:ilvl="6"/>
    <w:lvlOverride w:ilvl="7"/>
    <w:lvlOverride w:ilvl="8"/>
  </w:num>
  <w:num w:numId="42">
    <w:abstractNumId w:val="13"/>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lvlOverride w:ilvl="2"/>
    <w:lvlOverride w:ilvl="3"/>
    <w:lvlOverride w:ilvl="4"/>
    <w:lvlOverride w:ilvl="5"/>
    <w:lvlOverride w:ilvl="6"/>
    <w:lvlOverride w:ilvl="7"/>
    <w:lvlOverride w:ilvl="8"/>
  </w:num>
  <w:num w:numId="44">
    <w:abstractNumId w:val="11"/>
  </w:num>
  <w:num w:numId="45">
    <w:abstractNumId w:val="29"/>
  </w:num>
  <w:num w:numId="46">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érénice GUERIN">
    <w15:presenceInfo w15:providerId="AD" w15:userId="S-1-5-21-3406572209-2354835200-999462638-6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465E"/>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47DF6"/>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5AEB"/>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gels-avoirs.dgtresor.gouv.fr/List"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anctionsmap.eu" TargetMode="External"/><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org/securitycouncil/content/un-sc-consolidated-list" TargetMode="External"/><Relationship Id="rId20" Type="http://schemas.openxmlformats.org/officeDocument/2006/relationships/hyperlink" Target="https://www.worldbank.org/en/projects-operations/procurement/debarred-firms"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home.treasury.gov/policy-issues/financial-sanctions/sanctions-programs-and-country-information"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package" Target="embeddings/Feuille_de_calcul_Microsoft_Excel.xlsx"/><Relationship Id="rId30" Type="http://schemas.openxmlformats.org/officeDocument/2006/relationships/footer" Target="footer5.xml"/><Relationship Id="rId8" Type="http://schemas.openxmlformats.org/officeDocument/2006/relationships/comments" Target="commen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AA0DC-7FAB-4FE2-B17F-89B15391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31</TotalTime>
  <Pages>8</Pages>
  <Words>1907</Words>
  <Characters>11020</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12902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Bérénice GUERIN</cp:lastModifiedBy>
  <cp:revision>7</cp:revision>
  <cp:lastPrinted>2016-03-24T23:23:00Z</cp:lastPrinted>
  <dcterms:created xsi:type="dcterms:W3CDTF">2023-02-01T09:42:00Z</dcterms:created>
  <dcterms:modified xsi:type="dcterms:W3CDTF">2025-10-02T08:52:00Z</dcterms:modified>
</cp:coreProperties>
</file>