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0438B" w14:textId="77777777" w:rsidR="007B6F61" w:rsidRPr="0067016D" w:rsidRDefault="007B6F61" w:rsidP="007B6F61">
      <w:pPr>
        <w:spacing w:after="120" w:line="240" w:lineRule="auto"/>
        <w:rPr>
          <w:rFonts w:ascii="Arial" w:eastAsia="Times New Roman" w:hAnsi="Arial" w:cs="Arial"/>
          <w:sz w:val="20"/>
          <w:szCs w:val="20"/>
        </w:rPr>
      </w:pPr>
      <w:bookmarkStart w:id="0" w:name="_GoBack"/>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7B6F61" w:rsidRPr="0067016D" w14:paraId="41FD0710" w14:textId="77777777" w:rsidTr="00516E07">
        <w:tc>
          <w:tcPr>
            <w:tcW w:w="9062" w:type="dxa"/>
          </w:tcPr>
          <w:p w14:paraId="3C4C08B5" w14:textId="77777777" w:rsidR="007B6F61" w:rsidRPr="0067016D" w:rsidRDefault="007B6F61" w:rsidP="00516E07">
            <w:pPr>
              <w:jc w:val="center"/>
              <w:rPr>
                <w:rFonts w:ascii="Arial" w:eastAsia="Times New Roman" w:hAnsi="Arial" w:cs="Arial"/>
                <w:b/>
                <w:sz w:val="24"/>
                <w:szCs w:val="20"/>
              </w:rPr>
            </w:pPr>
            <w:r w:rsidRPr="0067016D">
              <w:rPr>
                <w:rFonts w:ascii="Arial" w:eastAsia="Times New Roman" w:hAnsi="Arial" w:cs="Arial"/>
                <w:b/>
                <w:sz w:val="24"/>
                <w:szCs w:val="20"/>
              </w:rPr>
              <w:t>Cahier des charges</w:t>
            </w:r>
          </w:p>
          <w:p w14:paraId="4BF6E018" w14:textId="77777777" w:rsidR="007B6F61" w:rsidRPr="0067016D" w:rsidRDefault="007B6F61" w:rsidP="00516E07">
            <w:pPr>
              <w:jc w:val="center"/>
              <w:rPr>
                <w:rFonts w:ascii="Arial" w:eastAsia="Times New Roman" w:hAnsi="Arial" w:cs="Arial"/>
                <w:b/>
                <w:sz w:val="20"/>
                <w:szCs w:val="20"/>
              </w:rPr>
            </w:pPr>
          </w:p>
          <w:tbl>
            <w:tblPr>
              <w:tblStyle w:val="Grilledutableau"/>
              <w:tblW w:w="0" w:type="auto"/>
              <w:tblLook w:val="04A0" w:firstRow="1" w:lastRow="0" w:firstColumn="1" w:lastColumn="0" w:noHBand="0" w:noVBand="1"/>
            </w:tblPr>
            <w:tblGrid>
              <w:gridCol w:w="2862"/>
              <w:gridCol w:w="5974"/>
            </w:tblGrid>
            <w:tr w:rsidR="007B6F61" w:rsidRPr="0067016D" w14:paraId="00901F85" w14:textId="77777777" w:rsidTr="00516E07">
              <w:tc>
                <w:tcPr>
                  <w:tcW w:w="2862" w:type="dxa"/>
                </w:tcPr>
                <w:p w14:paraId="58FFD87A" w14:textId="77777777" w:rsidR="007B6F61" w:rsidRPr="0067016D" w:rsidRDefault="007B6F61" w:rsidP="00516E07">
                  <w:pPr>
                    <w:rPr>
                      <w:rFonts w:ascii="Arial" w:eastAsia="Times New Roman" w:hAnsi="Arial" w:cs="Arial"/>
                      <w:b/>
                      <w:sz w:val="20"/>
                      <w:szCs w:val="20"/>
                    </w:rPr>
                  </w:pPr>
                  <w:r>
                    <w:rPr>
                      <w:rFonts w:ascii="Arial" w:eastAsia="Times New Roman" w:hAnsi="Arial" w:cs="Arial"/>
                      <w:sz w:val="20"/>
                      <w:szCs w:val="20"/>
                    </w:rPr>
                    <w:t>Intitulé de la mission</w:t>
                  </w:r>
                </w:p>
              </w:tc>
              <w:tc>
                <w:tcPr>
                  <w:tcW w:w="5974" w:type="dxa"/>
                </w:tcPr>
                <w:p w14:paraId="6A209F67" w14:textId="2F985660" w:rsidR="007B6F61" w:rsidRPr="00A834ED" w:rsidRDefault="00B10411" w:rsidP="00516E07">
                  <w:pPr>
                    <w:jc w:val="both"/>
                    <w:rPr>
                      <w:rFonts w:ascii="Arial" w:eastAsia="Times New Roman" w:hAnsi="Arial" w:cs="Arial"/>
                      <w:sz w:val="16"/>
                      <w:szCs w:val="20"/>
                    </w:rPr>
                  </w:pPr>
                  <w:r>
                    <w:rPr>
                      <w:rFonts w:ascii="Arial" w:eastAsia="Times New Roman" w:hAnsi="Arial" w:cs="Arial"/>
                      <w:sz w:val="16"/>
                      <w:szCs w:val="20"/>
                    </w:rPr>
                    <w:t>MISSION D’EXPERTISE</w:t>
                  </w:r>
                  <w:r w:rsidR="002F5730">
                    <w:rPr>
                      <w:rFonts w:ascii="Arial" w:eastAsia="Times New Roman" w:hAnsi="Arial" w:cs="Arial"/>
                      <w:sz w:val="16"/>
                      <w:szCs w:val="20"/>
                    </w:rPr>
                    <w:t xml:space="preserve"> POUR LE DEPLOIEMENT D’UNE TAXE CARBONE EN TUNISIE</w:t>
                  </w:r>
                  <w:r w:rsidR="008B0277">
                    <w:rPr>
                      <w:rFonts w:ascii="Arial" w:eastAsia="Times New Roman" w:hAnsi="Arial" w:cs="Arial"/>
                      <w:sz w:val="16"/>
                      <w:szCs w:val="20"/>
                    </w:rPr>
                    <w:t xml:space="preserve"> A DESTINATION DE LA DGELF (Direction Générale des Etudes et de la Législation Fiscales) DU MINISTERE DES FINANCES</w:t>
                  </w:r>
                  <w:r w:rsidR="004D3B63">
                    <w:rPr>
                      <w:rFonts w:ascii="Arial" w:eastAsia="Times New Roman" w:hAnsi="Arial" w:cs="Arial"/>
                      <w:sz w:val="16"/>
                      <w:szCs w:val="20"/>
                    </w:rPr>
                    <w:t xml:space="preserve"> TUNISIEN</w:t>
                  </w:r>
                </w:p>
              </w:tc>
            </w:tr>
            <w:tr w:rsidR="007B6F61" w:rsidRPr="0067016D" w14:paraId="64939880" w14:textId="77777777" w:rsidTr="00516E07">
              <w:tc>
                <w:tcPr>
                  <w:tcW w:w="2862" w:type="dxa"/>
                </w:tcPr>
                <w:p w14:paraId="3415D06A" w14:textId="77777777" w:rsidR="007B6F61" w:rsidRPr="0067016D" w:rsidRDefault="007B6F61" w:rsidP="00516E07">
                  <w:pPr>
                    <w:rPr>
                      <w:rFonts w:ascii="Arial" w:eastAsia="Times New Roman" w:hAnsi="Arial" w:cs="Arial"/>
                      <w:sz w:val="20"/>
                      <w:szCs w:val="20"/>
                    </w:rPr>
                  </w:pPr>
                  <w:r>
                    <w:rPr>
                      <w:rFonts w:ascii="Arial" w:eastAsia="Times New Roman" w:hAnsi="Arial" w:cs="Arial"/>
                      <w:sz w:val="20"/>
                      <w:szCs w:val="20"/>
                    </w:rPr>
                    <w:t>Composante </w:t>
                  </w:r>
                </w:p>
              </w:tc>
              <w:tc>
                <w:tcPr>
                  <w:tcW w:w="5974" w:type="dxa"/>
                </w:tcPr>
                <w:p w14:paraId="43E93499" w14:textId="77777777" w:rsidR="007B6F61" w:rsidRPr="00A834ED" w:rsidRDefault="007B6F61" w:rsidP="00516E07">
                  <w:pPr>
                    <w:jc w:val="both"/>
                    <w:rPr>
                      <w:rFonts w:ascii="Arial" w:eastAsia="Times New Roman" w:hAnsi="Arial" w:cs="Arial"/>
                      <w:sz w:val="16"/>
                      <w:szCs w:val="20"/>
                    </w:rPr>
                  </w:pPr>
                  <w:r w:rsidRPr="00A834ED">
                    <w:rPr>
                      <w:rFonts w:ascii="Arial" w:eastAsia="Times New Roman" w:hAnsi="Arial" w:cs="Arial"/>
                      <w:sz w:val="16"/>
                      <w:szCs w:val="20"/>
                    </w:rPr>
                    <w:t>COMPOSANTE 1</w:t>
                  </w:r>
                  <w:r>
                    <w:rPr>
                      <w:rFonts w:ascii="Arial" w:eastAsia="Times New Roman" w:hAnsi="Arial" w:cs="Arial"/>
                      <w:sz w:val="16"/>
                      <w:szCs w:val="20"/>
                    </w:rPr>
                    <w:t xml:space="preserve"> (Activité 3)</w:t>
                  </w:r>
                </w:p>
              </w:tc>
            </w:tr>
            <w:tr w:rsidR="007B6F61" w:rsidRPr="0067016D" w14:paraId="3B5E0E75" w14:textId="77777777" w:rsidTr="00516E07">
              <w:tc>
                <w:tcPr>
                  <w:tcW w:w="2862" w:type="dxa"/>
                </w:tcPr>
                <w:p w14:paraId="0D4E509A" w14:textId="77777777" w:rsidR="007B6F61" w:rsidRPr="0067016D" w:rsidRDefault="007B6F61" w:rsidP="00516E07">
                  <w:pPr>
                    <w:rPr>
                      <w:rFonts w:ascii="Arial" w:eastAsia="Times New Roman" w:hAnsi="Arial" w:cs="Arial"/>
                      <w:sz w:val="20"/>
                      <w:szCs w:val="20"/>
                    </w:rPr>
                  </w:pPr>
                  <w:r w:rsidRPr="0067016D">
                    <w:rPr>
                      <w:rFonts w:ascii="Arial" w:eastAsia="Times New Roman" w:hAnsi="Arial" w:cs="Arial"/>
                      <w:sz w:val="20"/>
                      <w:szCs w:val="20"/>
                    </w:rPr>
                    <w:t xml:space="preserve">Dates indicatives  </w:t>
                  </w:r>
                </w:p>
              </w:tc>
              <w:tc>
                <w:tcPr>
                  <w:tcW w:w="5974" w:type="dxa"/>
                </w:tcPr>
                <w:p w14:paraId="1076DF38" w14:textId="1FB85309" w:rsidR="007B6F61" w:rsidRPr="00A834ED" w:rsidRDefault="00A47FDA" w:rsidP="00A47FDA">
                  <w:pPr>
                    <w:jc w:val="both"/>
                    <w:rPr>
                      <w:rFonts w:ascii="Arial" w:eastAsia="Times New Roman" w:hAnsi="Arial" w:cs="Arial"/>
                      <w:sz w:val="16"/>
                      <w:szCs w:val="20"/>
                    </w:rPr>
                  </w:pPr>
                  <w:r>
                    <w:rPr>
                      <w:rFonts w:ascii="Arial" w:eastAsia="Times New Roman" w:hAnsi="Arial" w:cs="Arial"/>
                      <w:sz w:val="16"/>
                      <w:szCs w:val="20"/>
                    </w:rPr>
                    <w:t>SEPTEMBRE/OCTOBRE 2025</w:t>
                  </w:r>
                  <w:r w:rsidR="002F5730">
                    <w:rPr>
                      <w:rFonts w:ascii="Arial" w:eastAsia="Times New Roman" w:hAnsi="Arial" w:cs="Arial"/>
                      <w:sz w:val="16"/>
                      <w:szCs w:val="20"/>
                    </w:rPr>
                    <w:t xml:space="preserve"> – </w:t>
                  </w:r>
                  <w:r>
                    <w:rPr>
                      <w:rFonts w:ascii="Arial" w:eastAsia="Times New Roman" w:hAnsi="Arial" w:cs="Arial"/>
                      <w:sz w:val="16"/>
                      <w:szCs w:val="20"/>
                    </w:rPr>
                    <w:t>DECEMBRE</w:t>
                  </w:r>
                  <w:r w:rsidR="002F5730">
                    <w:rPr>
                      <w:rFonts w:ascii="Arial" w:eastAsia="Times New Roman" w:hAnsi="Arial" w:cs="Arial"/>
                      <w:sz w:val="16"/>
                      <w:szCs w:val="20"/>
                    </w:rPr>
                    <w:t xml:space="preserve"> 2025</w:t>
                  </w:r>
                  <w:r>
                    <w:rPr>
                      <w:rFonts w:ascii="Arial" w:eastAsia="Times New Roman" w:hAnsi="Arial" w:cs="Arial"/>
                      <w:sz w:val="16"/>
                      <w:szCs w:val="20"/>
                    </w:rPr>
                    <w:t>/JANVIER 2026</w:t>
                  </w:r>
                </w:p>
              </w:tc>
            </w:tr>
            <w:tr w:rsidR="007B6F61" w:rsidRPr="0067016D" w14:paraId="56DE203F" w14:textId="77777777" w:rsidTr="00516E07">
              <w:tc>
                <w:tcPr>
                  <w:tcW w:w="2862" w:type="dxa"/>
                </w:tcPr>
                <w:p w14:paraId="225D714D" w14:textId="77777777" w:rsidR="007B6F61" w:rsidRPr="0067016D" w:rsidRDefault="007B6F61" w:rsidP="00516E07">
                  <w:pPr>
                    <w:rPr>
                      <w:rFonts w:ascii="Arial" w:eastAsia="Times New Roman" w:hAnsi="Arial" w:cs="Arial"/>
                      <w:sz w:val="20"/>
                      <w:szCs w:val="20"/>
                    </w:rPr>
                  </w:pPr>
                  <w:r>
                    <w:rPr>
                      <w:rFonts w:ascii="Arial" w:eastAsia="Times New Roman" w:hAnsi="Arial" w:cs="Arial"/>
                      <w:sz w:val="20"/>
                      <w:szCs w:val="20"/>
                    </w:rPr>
                    <w:t>Budget indicatif</w:t>
                  </w:r>
                </w:p>
              </w:tc>
              <w:tc>
                <w:tcPr>
                  <w:tcW w:w="5974" w:type="dxa"/>
                </w:tcPr>
                <w:p w14:paraId="75D065CB" w14:textId="3A203EB6" w:rsidR="007B6F61" w:rsidRPr="008B0277" w:rsidRDefault="00227038" w:rsidP="00227038">
                  <w:pPr>
                    <w:jc w:val="both"/>
                    <w:rPr>
                      <w:rFonts w:ascii="Arial" w:eastAsia="Times New Roman" w:hAnsi="Arial" w:cs="Arial"/>
                      <w:sz w:val="16"/>
                      <w:szCs w:val="20"/>
                      <w:highlight w:val="yellow"/>
                    </w:rPr>
                  </w:pPr>
                  <w:r>
                    <w:rPr>
                      <w:rFonts w:ascii="Arial" w:eastAsia="Times New Roman" w:hAnsi="Arial" w:cs="Arial"/>
                      <w:sz w:val="16"/>
                      <w:szCs w:val="20"/>
                    </w:rPr>
                    <w:t>50</w:t>
                  </w:r>
                  <w:r w:rsidR="00131F81" w:rsidRPr="00131F81">
                    <w:rPr>
                      <w:rFonts w:ascii="Arial" w:eastAsia="Times New Roman" w:hAnsi="Arial" w:cs="Arial"/>
                      <w:sz w:val="16"/>
                      <w:szCs w:val="20"/>
                    </w:rPr>
                    <w:t xml:space="preserve"> JH environ</w:t>
                  </w:r>
                  <w:r w:rsidR="00F11A14">
                    <w:rPr>
                      <w:rFonts w:ascii="Arial" w:eastAsia="Times New Roman" w:hAnsi="Arial" w:cs="Arial"/>
                      <w:sz w:val="16"/>
                      <w:szCs w:val="20"/>
                    </w:rPr>
                    <w:t xml:space="preserve"> (</w:t>
                  </w:r>
                  <w:r>
                    <w:rPr>
                      <w:rFonts w:ascii="Arial" w:eastAsia="Times New Roman" w:hAnsi="Arial" w:cs="Arial"/>
                      <w:sz w:val="16"/>
                      <w:szCs w:val="20"/>
                    </w:rPr>
                    <w:t xml:space="preserve">25 </w:t>
                  </w:r>
                  <w:r w:rsidR="00131F81">
                    <w:rPr>
                      <w:rFonts w:ascii="Arial" w:eastAsia="Times New Roman" w:hAnsi="Arial" w:cs="Arial"/>
                      <w:sz w:val="16"/>
                      <w:szCs w:val="20"/>
                    </w:rPr>
                    <w:t>JH/EXPERT.E ENVIRON)</w:t>
                  </w:r>
                </w:p>
              </w:tc>
            </w:tr>
            <w:tr w:rsidR="007B6F61" w:rsidRPr="0067016D" w14:paraId="4ECED728" w14:textId="77777777" w:rsidTr="00516E07">
              <w:tc>
                <w:tcPr>
                  <w:tcW w:w="2862" w:type="dxa"/>
                </w:tcPr>
                <w:p w14:paraId="2287E256" w14:textId="77777777" w:rsidR="007B6F61" w:rsidRPr="0067016D" w:rsidRDefault="007B6F61" w:rsidP="00516E07">
                  <w:pPr>
                    <w:rPr>
                      <w:rFonts w:ascii="Arial" w:eastAsia="Times New Roman" w:hAnsi="Arial" w:cs="Arial"/>
                      <w:sz w:val="20"/>
                      <w:szCs w:val="20"/>
                    </w:rPr>
                  </w:pPr>
                  <w:r w:rsidRPr="0067016D">
                    <w:rPr>
                      <w:rFonts w:ascii="Arial" w:eastAsia="Times New Roman" w:hAnsi="Arial" w:cs="Arial"/>
                      <w:sz w:val="20"/>
                      <w:szCs w:val="20"/>
                    </w:rPr>
                    <w:t xml:space="preserve">Type d’expertise </w:t>
                  </w:r>
                </w:p>
              </w:tc>
              <w:tc>
                <w:tcPr>
                  <w:tcW w:w="5974" w:type="dxa"/>
                </w:tcPr>
                <w:p w14:paraId="5202C1BA" w14:textId="6814B570" w:rsidR="007B6F61" w:rsidRPr="0067016D" w:rsidRDefault="007B6F61" w:rsidP="00516E07">
                  <w:pPr>
                    <w:jc w:val="both"/>
                    <w:rPr>
                      <w:rFonts w:ascii="Arial" w:eastAsia="Times New Roman" w:hAnsi="Arial" w:cs="Arial"/>
                      <w:sz w:val="16"/>
                      <w:szCs w:val="20"/>
                    </w:rPr>
                  </w:pPr>
                  <w:r w:rsidRPr="0067016D">
                    <w:rPr>
                      <w:rFonts w:ascii="Arial" w:eastAsia="Times New Roman" w:hAnsi="Arial" w:cs="Arial"/>
                      <w:sz w:val="16"/>
                      <w:szCs w:val="20"/>
                    </w:rPr>
                    <w:t>EXPERTISE INTERNATIONALE ET</w:t>
                  </w:r>
                  <w:r w:rsidR="00A47FDA">
                    <w:rPr>
                      <w:rFonts w:ascii="Arial" w:eastAsia="Times New Roman" w:hAnsi="Arial" w:cs="Arial"/>
                      <w:sz w:val="16"/>
                      <w:szCs w:val="20"/>
                    </w:rPr>
                    <w:t>/OU</w:t>
                  </w:r>
                  <w:r w:rsidRPr="0067016D">
                    <w:rPr>
                      <w:rFonts w:ascii="Arial" w:eastAsia="Times New Roman" w:hAnsi="Arial" w:cs="Arial"/>
                      <w:sz w:val="16"/>
                      <w:szCs w:val="20"/>
                    </w:rPr>
                    <w:t xml:space="preserve"> NATIONALE</w:t>
                  </w:r>
                </w:p>
              </w:tc>
            </w:tr>
            <w:tr w:rsidR="00670B66" w:rsidRPr="0067016D" w14:paraId="11D7DB99" w14:textId="77777777" w:rsidTr="00516E07">
              <w:tc>
                <w:tcPr>
                  <w:tcW w:w="2862" w:type="dxa"/>
                </w:tcPr>
                <w:p w14:paraId="20E64756" w14:textId="765442C7" w:rsidR="00670B66" w:rsidRPr="00E924EA" w:rsidRDefault="00670B66" w:rsidP="00516E07">
                  <w:pPr>
                    <w:rPr>
                      <w:rFonts w:ascii="Arial" w:eastAsia="Times New Roman" w:hAnsi="Arial" w:cs="Arial"/>
                      <w:sz w:val="20"/>
                      <w:szCs w:val="20"/>
                    </w:rPr>
                  </w:pPr>
                  <w:r w:rsidRPr="00FA4604">
                    <w:rPr>
                      <w:rFonts w:ascii="Arial" w:eastAsia="Times New Roman" w:hAnsi="Arial" w:cs="Arial"/>
                      <w:sz w:val="20"/>
                      <w:szCs w:val="20"/>
                    </w:rPr>
                    <w:t>Forme de candidature</w:t>
                  </w:r>
                </w:p>
              </w:tc>
              <w:tc>
                <w:tcPr>
                  <w:tcW w:w="5974" w:type="dxa"/>
                </w:tcPr>
                <w:p w14:paraId="3D4B6E6B" w14:textId="7B79B62F" w:rsidR="00670B66" w:rsidRPr="00FA4604" w:rsidRDefault="00A47FDA" w:rsidP="00516E07">
                  <w:pPr>
                    <w:jc w:val="both"/>
                    <w:rPr>
                      <w:rFonts w:ascii="Arial" w:eastAsia="Times New Roman" w:hAnsi="Arial" w:cs="Arial"/>
                      <w:sz w:val="16"/>
                      <w:szCs w:val="20"/>
                    </w:rPr>
                  </w:pPr>
                  <w:r w:rsidRPr="00A47FDA">
                    <w:rPr>
                      <w:rFonts w:ascii="Arial" w:eastAsia="Times New Roman" w:hAnsi="Arial" w:cs="Arial"/>
                      <w:sz w:val="16"/>
                      <w:szCs w:val="20"/>
                    </w:rPr>
                    <w:t xml:space="preserve">Un groupement de deux </w:t>
                  </w:r>
                  <w:proofErr w:type="spellStart"/>
                  <w:r w:rsidRPr="00A47FDA">
                    <w:rPr>
                      <w:rFonts w:ascii="Arial" w:eastAsia="Times New Roman" w:hAnsi="Arial" w:cs="Arial"/>
                      <w:sz w:val="16"/>
                      <w:szCs w:val="20"/>
                    </w:rPr>
                    <w:t>expert·es</w:t>
                  </w:r>
                  <w:proofErr w:type="spellEnd"/>
                  <w:r w:rsidRPr="00A47FDA">
                    <w:rPr>
                      <w:rFonts w:ascii="Arial" w:eastAsia="Times New Roman" w:hAnsi="Arial" w:cs="Arial"/>
                      <w:sz w:val="16"/>
                      <w:szCs w:val="20"/>
                    </w:rPr>
                    <w:t xml:space="preserve"> est préférable pour la réalisation de cette mission. Les soumissionnaires sont </w:t>
                  </w:r>
                  <w:proofErr w:type="spellStart"/>
                  <w:r w:rsidRPr="00A47FDA">
                    <w:rPr>
                      <w:rFonts w:ascii="Arial" w:eastAsia="Times New Roman" w:hAnsi="Arial" w:cs="Arial"/>
                      <w:sz w:val="16"/>
                      <w:szCs w:val="20"/>
                    </w:rPr>
                    <w:t>invité·es</w:t>
                  </w:r>
                  <w:proofErr w:type="spellEnd"/>
                  <w:r w:rsidRPr="00A47FDA">
                    <w:rPr>
                      <w:rFonts w:ascii="Arial" w:eastAsia="Times New Roman" w:hAnsi="Arial" w:cs="Arial"/>
                      <w:sz w:val="16"/>
                      <w:szCs w:val="20"/>
                    </w:rPr>
                    <w:t xml:space="preserve"> à proposer eux-mêmes un binôme en soumettant deux CV, ou à candidater individuellement, en laissant alors au projet le soin de sélectionner </w:t>
                  </w:r>
                  <w:proofErr w:type="spellStart"/>
                  <w:r w:rsidRPr="00A47FDA">
                    <w:rPr>
                      <w:rFonts w:ascii="Arial" w:eastAsia="Times New Roman" w:hAnsi="Arial" w:cs="Arial"/>
                      <w:sz w:val="16"/>
                      <w:szCs w:val="20"/>
                    </w:rPr>
                    <w:t>un·e</w:t>
                  </w:r>
                  <w:proofErr w:type="spellEnd"/>
                  <w:r w:rsidRPr="00A47FDA">
                    <w:rPr>
                      <w:rFonts w:ascii="Arial" w:eastAsia="Times New Roman" w:hAnsi="Arial" w:cs="Arial"/>
                      <w:sz w:val="16"/>
                      <w:szCs w:val="20"/>
                    </w:rPr>
                    <w:t xml:space="preserve"> deuxième </w:t>
                  </w:r>
                  <w:proofErr w:type="spellStart"/>
                  <w:r w:rsidRPr="00A47FDA">
                    <w:rPr>
                      <w:rFonts w:ascii="Arial" w:eastAsia="Times New Roman" w:hAnsi="Arial" w:cs="Arial"/>
                      <w:sz w:val="16"/>
                      <w:szCs w:val="20"/>
                    </w:rPr>
                    <w:t>expert·e</w:t>
                  </w:r>
                  <w:proofErr w:type="spellEnd"/>
                  <w:r w:rsidRPr="00A47FDA">
                    <w:rPr>
                      <w:rFonts w:ascii="Arial" w:eastAsia="Times New Roman" w:hAnsi="Arial" w:cs="Arial"/>
                      <w:sz w:val="16"/>
                      <w:szCs w:val="20"/>
                    </w:rPr>
                    <w:t>.</w:t>
                  </w:r>
                </w:p>
              </w:tc>
            </w:tr>
          </w:tbl>
          <w:p w14:paraId="671692B6" w14:textId="68073E42" w:rsidR="00ED6EFA" w:rsidRPr="00DE1572" w:rsidRDefault="00ED6EFA" w:rsidP="00516E07">
            <w:pPr>
              <w:rPr>
                <w:rFonts w:ascii="Arial" w:eastAsia="Times New Roman" w:hAnsi="Arial" w:cs="Arial"/>
                <w:b/>
                <w:sz w:val="20"/>
                <w:szCs w:val="20"/>
              </w:rPr>
            </w:pPr>
          </w:p>
          <w:p w14:paraId="3D3F95C1" w14:textId="77777777" w:rsidR="007B6F61" w:rsidRPr="00433B7A" w:rsidRDefault="007B6F61" w:rsidP="00516E07">
            <w:pPr>
              <w:pStyle w:val="Paragraphedeliste"/>
              <w:numPr>
                <w:ilvl w:val="0"/>
                <w:numId w:val="2"/>
              </w:numPr>
              <w:rPr>
                <w:rFonts w:ascii="Arial" w:eastAsia="Times New Roman" w:hAnsi="Arial" w:cs="Arial"/>
                <w:b/>
                <w:color w:val="009CA6"/>
              </w:rPr>
            </w:pPr>
            <w:r w:rsidRPr="00433B7A">
              <w:rPr>
                <w:rFonts w:ascii="Arial" w:eastAsia="Times New Roman" w:hAnsi="Arial" w:cs="Arial"/>
                <w:b/>
                <w:color w:val="009CA6"/>
              </w:rPr>
              <w:t xml:space="preserve">Présentation du projet </w:t>
            </w:r>
            <w:proofErr w:type="spellStart"/>
            <w:r w:rsidRPr="00433B7A">
              <w:rPr>
                <w:rFonts w:ascii="Arial" w:eastAsia="Times New Roman" w:hAnsi="Arial" w:cs="Arial"/>
                <w:b/>
                <w:color w:val="009CA6"/>
              </w:rPr>
              <w:t>Greenov’i</w:t>
            </w:r>
            <w:proofErr w:type="spellEnd"/>
            <w:r w:rsidRPr="00433B7A">
              <w:rPr>
                <w:rFonts w:ascii="Arial" w:eastAsia="Times New Roman" w:hAnsi="Arial" w:cs="Arial"/>
                <w:b/>
                <w:color w:val="009CA6"/>
              </w:rPr>
              <w:t xml:space="preserve"> </w:t>
            </w:r>
          </w:p>
          <w:p w14:paraId="4B60E2FB" w14:textId="77777777" w:rsidR="007B6F61" w:rsidRPr="0067016D" w:rsidRDefault="007B6F61" w:rsidP="00516E07">
            <w:pPr>
              <w:jc w:val="both"/>
              <w:outlineLvl w:val="1"/>
              <w:rPr>
                <w:rFonts w:ascii="Arial" w:eastAsia="Times New Roman" w:hAnsi="Arial" w:cs="Arial"/>
                <w:sz w:val="20"/>
                <w:szCs w:val="20"/>
              </w:rPr>
            </w:pPr>
          </w:p>
          <w:p w14:paraId="5EF0972A" w14:textId="77777777" w:rsidR="007B6F61" w:rsidRPr="0067016D" w:rsidRDefault="007B6F61" w:rsidP="00516E07">
            <w:pPr>
              <w:jc w:val="both"/>
              <w:outlineLvl w:val="1"/>
              <w:rPr>
                <w:rFonts w:ascii="Arial" w:eastAsia="Times New Roman" w:hAnsi="Arial" w:cs="Arial"/>
                <w:sz w:val="20"/>
                <w:szCs w:val="20"/>
              </w:rPr>
            </w:pPr>
            <w:proofErr w:type="spellStart"/>
            <w:r w:rsidRPr="0067016D">
              <w:rPr>
                <w:rFonts w:ascii="Arial" w:eastAsia="Times New Roman" w:hAnsi="Arial" w:cs="Arial"/>
                <w:sz w:val="20"/>
                <w:szCs w:val="20"/>
              </w:rPr>
              <w:t>Greenov’i</w:t>
            </w:r>
            <w:proofErr w:type="spellEnd"/>
            <w:r w:rsidRPr="0067016D">
              <w:rPr>
                <w:rFonts w:ascii="Arial" w:eastAsia="Times New Roman" w:hAnsi="Arial" w:cs="Arial"/>
                <w:sz w:val="20"/>
                <w:szCs w:val="20"/>
              </w:rPr>
              <w:t xml:space="preserve"> est le projet d’appui au secteur privé de la programmation d’appui à l’action environnementale en Tunisie. Financé par l’Union Européenne et mis en œuvre par Expertise France en étroite collaboration avec le Ministère de l’Environnement, le CITET et le Ministère de l’Economie et de la Planification, il se donne pour objectif de contribuer à la transition écologique de l'économie tunisienne à travers des modes de consommation et de production plus sobres, en phase avec l’économie verte. Il s’articule autour de deux composantes, définies par la nature des entreprises ciblées : </w:t>
            </w:r>
          </w:p>
          <w:p w14:paraId="4EE41A3F" w14:textId="77777777" w:rsidR="007B6F61" w:rsidRPr="0067016D" w:rsidRDefault="007B6F61" w:rsidP="00516E07">
            <w:pPr>
              <w:jc w:val="both"/>
              <w:outlineLvl w:val="1"/>
              <w:rPr>
                <w:rFonts w:ascii="Arial" w:eastAsia="Times New Roman" w:hAnsi="Arial" w:cs="Arial"/>
                <w:sz w:val="20"/>
                <w:szCs w:val="20"/>
              </w:rPr>
            </w:pPr>
          </w:p>
          <w:p w14:paraId="1FCFC39F" w14:textId="77777777" w:rsidR="007B6F61" w:rsidRPr="0067016D" w:rsidRDefault="007B6F61" w:rsidP="007B6F61">
            <w:pPr>
              <w:pStyle w:val="Paragraphedeliste"/>
              <w:numPr>
                <w:ilvl w:val="0"/>
                <w:numId w:val="11"/>
              </w:numPr>
              <w:jc w:val="both"/>
              <w:outlineLvl w:val="1"/>
              <w:rPr>
                <w:rFonts w:ascii="Arial" w:eastAsia="Times New Roman" w:hAnsi="Arial" w:cs="Arial"/>
                <w:sz w:val="20"/>
                <w:szCs w:val="20"/>
              </w:rPr>
            </w:pPr>
            <w:r w:rsidRPr="0067016D">
              <w:rPr>
                <w:rFonts w:ascii="Arial" w:eastAsia="Times New Roman" w:hAnsi="Arial" w:cs="Arial"/>
                <w:b/>
                <w:sz w:val="20"/>
                <w:szCs w:val="20"/>
              </w:rPr>
              <w:t>Composante 1 :</w:t>
            </w:r>
            <w:r w:rsidRPr="0067016D">
              <w:rPr>
                <w:rFonts w:ascii="Arial" w:eastAsia="Times New Roman" w:hAnsi="Arial" w:cs="Arial"/>
                <w:sz w:val="20"/>
                <w:szCs w:val="20"/>
              </w:rPr>
              <w:t xml:space="preserve"> Appui à l'émergence et à la création d’entreprises de biens et services verts qui intègrent la justice sociale et de genre ;</w:t>
            </w:r>
          </w:p>
          <w:p w14:paraId="00907159" w14:textId="77777777" w:rsidR="007B6F61" w:rsidRPr="0067016D" w:rsidRDefault="007B6F61" w:rsidP="007B6F61">
            <w:pPr>
              <w:pStyle w:val="Paragraphedeliste"/>
              <w:numPr>
                <w:ilvl w:val="0"/>
                <w:numId w:val="11"/>
              </w:numPr>
              <w:jc w:val="both"/>
              <w:outlineLvl w:val="1"/>
              <w:rPr>
                <w:rFonts w:ascii="Arial" w:eastAsia="Times New Roman" w:hAnsi="Arial" w:cs="Arial"/>
                <w:sz w:val="20"/>
                <w:szCs w:val="20"/>
              </w:rPr>
            </w:pPr>
            <w:r w:rsidRPr="0067016D">
              <w:rPr>
                <w:rFonts w:ascii="Arial" w:eastAsia="Times New Roman" w:hAnsi="Arial" w:cs="Arial"/>
                <w:b/>
                <w:sz w:val="20"/>
                <w:szCs w:val="20"/>
              </w:rPr>
              <w:t>Composante 2 :</w:t>
            </w:r>
            <w:r w:rsidRPr="0067016D">
              <w:rPr>
                <w:rFonts w:ascii="Arial" w:eastAsia="Times New Roman" w:hAnsi="Arial" w:cs="Arial"/>
                <w:sz w:val="20"/>
                <w:szCs w:val="20"/>
              </w:rPr>
              <w:t xml:space="preserve"> Appui à la transition écologique des entreprises vers des modes de production sobres, équitables et durables.</w:t>
            </w:r>
          </w:p>
          <w:p w14:paraId="40591ADB" w14:textId="77777777" w:rsidR="007B6F61" w:rsidRPr="0067016D" w:rsidRDefault="007B6F61" w:rsidP="00516E07">
            <w:pPr>
              <w:jc w:val="both"/>
              <w:outlineLvl w:val="1"/>
              <w:rPr>
                <w:rFonts w:ascii="Arial" w:eastAsia="Times New Roman" w:hAnsi="Arial" w:cs="Arial"/>
                <w:sz w:val="20"/>
                <w:szCs w:val="20"/>
              </w:rPr>
            </w:pPr>
          </w:p>
          <w:p w14:paraId="35680DE4" w14:textId="77777777" w:rsidR="007B6F61" w:rsidRPr="0067016D" w:rsidRDefault="007B6F61" w:rsidP="00516E07">
            <w:pPr>
              <w:jc w:val="both"/>
              <w:rPr>
                <w:rFonts w:ascii="Arial" w:eastAsia="Times New Roman" w:hAnsi="Arial" w:cs="Arial"/>
                <w:sz w:val="20"/>
                <w:szCs w:val="20"/>
              </w:rPr>
            </w:pPr>
            <w:r w:rsidRPr="0067016D">
              <w:rPr>
                <w:rFonts w:ascii="Arial" w:hAnsi="Arial" w:cs="Arial"/>
                <w:sz w:val="20"/>
                <w:szCs w:val="20"/>
              </w:rPr>
              <w:t xml:space="preserve">Afin de cadrer ses activités, le projet </w:t>
            </w:r>
            <w:proofErr w:type="spellStart"/>
            <w:r w:rsidRPr="0067016D">
              <w:rPr>
                <w:rFonts w:ascii="Arial" w:hAnsi="Arial" w:cs="Arial"/>
                <w:sz w:val="20"/>
                <w:szCs w:val="20"/>
              </w:rPr>
              <w:t>Greenov’i</w:t>
            </w:r>
            <w:proofErr w:type="spellEnd"/>
            <w:r w:rsidRPr="0067016D">
              <w:rPr>
                <w:rFonts w:ascii="Arial" w:hAnsi="Arial" w:cs="Arial"/>
                <w:sz w:val="20"/>
                <w:szCs w:val="20"/>
              </w:rPr>
              <w:t xml:space="preserve"> a construit </w:t>
            </w:r>
            <w:r>
              <w:rPr>
                <w:rFonts w:ascii="Arial" w:hAnsi="Arial" w:cs="Arial"/>
                <w:sz w:val="20"/>
                <w:szCs w:val="20"/>
              </w:rPr>
              <w:t>trois</w:t>
            </w:r>
            <w:r w:rsidRPr="0067016D">
              <w:rPr>
                <w:rFonts w:ascii="Arial" w:hAnsi="Arial" w:cs="Arial"/>
                <w:sz w:val="20"/>
                <w:szCs w:val="20"/>
              </w:rPr>
              <w:t xml:space="preserve"> documents clefs </w:t>
            </w:r>
            <w:r>
              <w:rPr>
                <w:rFonts w:ascii="Arial" w:hAnsi="Arial" w:cs="Arial"/>
                <w:sz w:val="20"/>
                <w:szCs w:val="20"/>
              </w:rPr>
              <w:t>décrits en détail ci-après</w:t>
            </w:r>
            <w:r w:rsidRPr="0067016D">
              <w:rPr>
                <w:rFonts w:ascii="Arial" w:hAnsi="Arial" w:cs="Arial"/>
                <w:sz w:val="20"/>
                <w:szCs w:val="20"/>
              </w:rPr>
              <w:t xml:space="preserve"> – la </w:t>
            </w:r>
            <w:r w:rsidRPr="00527289">
              <w:rPr>
                <w:rFonts w:ascii="Arial" w:hAnsi="Arial" w:cs="Arial"/>
                <w:b/>
                <w:sz w:val="20"/>
                <w:szCs w:val="20"/>
              </w:rPr>
              <w:t>Charte Verte</w:t>
            </w:r>
            <w:r w:rsidRPr="0067016D">
              <w:rPr>
                <w:rFonts w:ascii="Arial" w:hAnsi="Arial" w:cs="Arial"/>
                <w:sz w:val="20"/>
                <w:szCs w:val="20"/>
              </w:rPr>
              <w:t xml:space="preserve">, qui </w:t>
            </w:r>
            <w:r w:rsidRPr="0067016D">
              <w:rPr>
                <w:rFonts w:ascii="Arial" w:eastAsia="Times New Roman" w:hAnsi="Arial" w:cs="Arial"/>
                <w:sz w:val="20"/>
                <w:szCs w:val="20"/>
              </w:rPr>
              <w:t>définit les principes du projet, les critères à respecter durant sa mise en œuvre et l’engagement de l’ens</w:t>
            </w:r>
            <w:r>
              <w:rPr>
                <w:rFonts w:ascii="Arial" w:eastAsia="Times New Roman" w:hAnsi="Arial" w:cs="Arial"/>
                <w:sz w:val="20"/>
                <w:szCs w:val="20"/>
              </w:rPr>
              <w:t xml:space="preserve">emble des parties prenantes, </w:t>
            </w:r>
            <w:r w:rsidRPr="0067016D">
              <w:rPr>
                <w:rFonts w:ascii="Arial" w:eastAsia="Times New Roman" w:hAnsi="Arial" w:cs="Arial"/>
                <w:sz w:val="20"/>
                <w:szCs w:val="20"/>
              </w:rPr>
              <w:t xml:space="preserve">le </w:t>
            </w:r>
            <w:r w:rsidRPr="00527289">
              <w:rPr>
                <w:rFonts w:ascii="Arial" w:eastAsia="Times New Roman" w:hAnsi="Arial" w:cs="Arial"/>
                <w:b/>
                <w:sz w:val="20"/>
                <w:szCs w:val="20"/>
              </w:rPr>
              <w:t>Glossaire</w:t>
            </w:r>
            <w:r w:rsidRPr="0067016D">
              <w:rPr>
                <w:rFonts w:ascii="Arial" w:eastAsia="Times New Roman" w:hAnsi="Arial" w:cs="Arial"/>
                <w:sz w:val="20"/>
                <w:szCs w:val="20"/>
              </w:rPr>
              <w:t xml:space="preserve"> qui explicite et o</w:t>
            </w:r>
            <w:r>
              <w:rPr>
                <w:rFonts w:ascii="Arial" w:eastAsia="Times New Roman" w:hAnsi="Arial" w:cs="Arial"/>
                <w:sz w:val="20"/>
                <w:szCs w:val="20"/>
              </w:rPr>
              <w:t xml:space="preserve">pérationnalise ce cadre général et le </w:t>
            </w:r>
            <w:r w:rsidRPr="00527289">
              <w:rPr>
                <w:rFonts w:ascii="Arial" w:eastAsia="Times New Roman" w:hAnsi="Arial" w:cs="Arial"/>
                <w:b/>
                <w:sz w:val="20"/>
                <w:szCs w:val="20"/>
              </w:rPr>
              <w:t>Plan d’Action Genre</w:t>
            </w:r>
            <w:r>
              <w:rPr>
                <w:rFonts w:ascii="Arial" w:eastAsia="Times New Roman" w:hAnsi="Arial" w:cs="Arial"/>
                <w:sz w:val="20"/>
                <w:szCs w:val="20"/>
              </w:rPr>
              <w:t xml:space="preserve"> qui formule des recommandations opérationnelles pour l’intégration effective de la dimension genre dans toutes les activités du projet. </w:t>
            </w:r>
          </w:p>
          <w:p w14:paraId="73E9A9F5" w14:textId="77777777" w:rsidR="007B6F61" w:rsidRPr="0067016D" w:rsidRDefault="007B6F61" w:rsidP="00516E07">
            <w:pPr>
              <w:jc w:val="both"/>
              <w:rPr>
                <w:rFonts w:ascii="Arial" w:eastAsia="Times New Roman" w:hAnsi="Arial" w:cs="Arial"/>
                <w:sz w:val="20"/>
                <w:szCs w:val="20"/>
              </w:rPr>
            </w:pPr>
          </w:p>
          <w:p w14:paraId="662A1CCE" w14:textId="77777777" w:rsidR="007B6F61" w:rsidRPr="00433B7A" w:rsidRDefault="007B6F61" w:rsidP="007B6F61">
            <w:pPr>
              <w:pStyle w:val="Paragraphedeliste"/>
              <w:numPr>
                <w:ilvl w:val="0"/>
                <w:numId w:val="18"/>
              </w:numPr>
              <w:jc w:val="both"/>
              <w:rPr>
                <w:rFonts w:ascii="Arial" w:eastAsia="Times New Roman" w:hAnsi="Arial" w:cs="Arial"/>
                <w:b/>
                <w:color w:val="6E6E6E"/>
                <w:sz w:val="20"/>
                <w:szCs w:val="20"/>
              </w:rPr>
            </w:pPr>
            <w:r w:rsidRPr="00433B7A">
              <w:rPr>
                <w:rFonts w:ascii="Arial" w:eastAsia="Times New Roman" w:hAnsi="Arial" w:cs="Arial"/>
                <w:b/>
                <w:color w:val="6E6E6E"/>
                <w:sz w:val="20"/>
                <w:szCs w:val="20"/>
              </w:rPr>
              <w:t xml:space="preserve">Charte Verte </w:t>
            </w:r>
          </w:p>
          <w:p w14:paraId="789FEDF7" w14:textId="77777777" w:rsidR="007B6F61" w:rsidRPr="0067016D" w:rsidRDefault="007B6F61" w:rsidP="00516E07">
            <w:pPr>
              <w:jc w:val="both"/>
              <w:rPr>
                <w:rFonts w:ascii="Arial" w:hAnsi="Arial" w:cs="Arial"/>
                <w:sz w:val="20"/>
                <w:szCs w:val="20"/>
              </w:rPr>
            </w:pPr>
          </w:p>
          <w:p w14:paraId="2A79027C" w14:textId="77777777" w:rsidR="007B6F61" w:rsidRPr="0067016D" w:rsidRDefault="007B6F61" w:rsidP="00516E07">
            <w:pPr>
              <w:jc w:val="both"/>
              <w:rPr>
                <w:rFonts w:ascii="Arial" w:hAnsi="Arial" w:cs="Arial"/>
                <w:sz w:val="20"/>
                <w:szCs w:val="20"/>
              </w:rPr>
            </w:pPr>
            <w:r w:rsidRPr="0067016D">
              <w:rPr>
                <w:rFonts w:ascii="Arial" w:hAnsi="Arial" w:cs="Arial"/>
                <w:sz w:val="20"/>
                <w:szCs w:val="20"/>
              </w:rPr>
              <w:t xml:space="preserve">La </w:t>
            </w:r>
            <w:hyperlink r:id="rId8" w:history="1">
              <w:r w:rsidRPr="0067016D">
                <w:rPr>
                  <w:rStyle w:val="Lienhypertexte"/>
                  <w:rFonts w:ascii="Arial" w:hAnsi="Arial" w:cs="Arial"/>
                  <w:sz w:val="20"/>
                  <w:szCs w:val="20"/>
                </w:rPr>
                <w:t>Charte Verte</w:t>
              </w:r>
            </w:hyperlink>
            <w:r w:rsidRPr="0067016D">
              <w:rPr>
                <w:rFonts w:ascii="Arial" w:hAnsi="Arial" w:cs="Arial"/>
                <w:sz w:val="20"/>
                <w:szCs w:val="20"/>
              </w:rPr>
              <w:t xml:space="preserve"> définit les principes du projet, les critères à respecter durant son implémentation, et les engagements de l’ensemble de ses parties prenantes. </w:t>
            </w:r>
          </w:p>
          <w:p w14:paraId="7F611C4B" w14:textId="77777777" w:rsidR="007B6F61" w:rsidRPr="0067016D" w:rsidRDefault="007B6F61" w:rsidP="00516E07">
            <w:pPr>
              <w:jc w:val="both"/>
              <w:rPr>
                <w:rFonts w:ascii="Arial" w:hAnsi="Arial" w:cs="Arial"/>
                <w:sz w:val="20"/>
                <w:szCs w:val="20"/>
              </w:rPr>
            </w:pPr>
          </w:p>
          <w:p w14:paraId="4B8773DD" w14:textId="77777777" w:rsidR="007B6F61" w:rsidRPr="0067016D" w:rsidRDefault="007B6F61" w:rsidP="00516E07">
            <w:pPr>
              <w:jc w:val="both"/>
              <w:rPr>
                <w:rFonts w:ascii="Arial" w:hAnsi="Arial" w:cs="Arial"/>
                <w:sz w:val="20"/>
                <w:szCs w:val="20"/>
              </w:rPr>
            </w:pPr>
            <w:r w:rsidRPr="0067016D">
              <w:rPr>
                <w:rFonts w:ascii="Arial" w:hAnsi="Arial" w:cs="Arial"/>
                <w:sz w:val="20"/>
                <w:szCs w:val="20"/>
              </w:rPr>
              <w:t xml:space="preserve">La Charte Verte s’articule autour de cinq axes fondamentaux : </w:t>
            </w:r>
          </w:p>
          <w:p w14:paraId="2674C0A0" w14:textId="77777777" w:rsidR="007B6F61" w:rsidRPr="0067016D" w:rsidRDefault="007B6F61" w:rsidP="007B6F61">
            <w:pPr>
              <w:pStyle w:val="Paragraphedeliste"/>
              <w:numPr>
                <w:ilvl w:val="0"/>
                <w:numId w:val="13"/>
              </w:numPr>
              <w:jc w:val="both"/>
              <w:rPr>
                <w:rFonts w:ascii="Arial" w:hAnsi="Arial" w:cs="Arial"/>
                <w:sz w:val="20"/>
                <w:szCs w:val="20"/>
              </w:rPr>
            </w:pPr>
            <w:r w:rsidRPr="0067016D">
              <w:rPr>
                <w:rFonts w:ascii="Arial" w:hAnsi="Arial" w:cs="Arial"/>
                <w:sz w:val="20"/>
                <w:szCs w:val="20"/>
              </w:rPr>
              <w:t>La création d’impacts environnementaux, sociaux et économiques positifs ;</w:t>
            </w:r>
          </w:p>
          <w:p w14:paraId="680E7DB5" w14:textId="77777777" w:rsidR="007B6F61" w:rsidRPr="0067016D" w:rsidRDefault="007B6F61" w:rsidP="007B6F61">
            <w:pPr>
              <w:pStyle w:val="Paragraphedeliste"/>
              <w:numPr>
                <w:ilvl w:val="0"/>
                <w:numId w:val="13"/>
              </w:numPr>
              <w:jc w:val="both"/>
              <w:rPr>
                <w:rFonts w:ascii="Arial" w:hAnsi="Arial" w:cs="Arial"/>
                <w:sz w:val="20"/>
                <w:szCs w:val="20"/>
              </w:rPr>
            </w:pPr>
            <w:r w:rsidRPr="0067016D">
              <w:rPr>
                <w:rFonts w:ascii="Arial" w:hAnsi="Arial" w:cs="Arial"/>
                <w:sz w:val="20"/>
                <w:szCs w:val="20"/>
              </w:rPr>
              <w:t>Le respect et la promotion des principes clefs du projet ;</w:t>
            </w:r>
          </w:p>
          <w:p w14:paraId="0EF982D1" w14:textId="77777777" w:rsidR="007B6F61" w:rsidRPr="0067016D" w:rsidRDefault="007B6F61" w:rsidP="007B6F61">
            <w:pPr>
              <w:pStyle w:val="Paragraphedeliste"/>
              <w:numPr>
                <w:ilvl w:val="0"/>
                <w:numId w:val="13"/>
              </w:numPr>
              <w:jc w:val="both"/>
              <w:rPr>
                <w:rFonts w:ascii="Arial" w:hAnsi="Arial" w:cs="Arial"/>
                <w:sz w:val="20"/>
                <w:szCs w:val="20"/>
              </w:rPr>
            </w:pPr>
            <w:r w:rsidRPr="0067016D">
              <w:rPr>
                <w:rFonts w:ascii="Arial" w:hAnsi="Arial" w:cs="Arial"/>
                <w:sz w:val="20"/>
                <w:szCs w:val="20"/>
              </w:rPr>
              <w:t>La conformité avec des prérequis essentiels du projet ;</w:t>
            </w:r>
          </w:p>
          <w:p w14:paraId="151C3B49" w14:textId="77777777" w:rsidR="007B6F61" w:rsidRPr="0067016D" w:rsidRDefault="007B6F61" w:rsidP="007B6F61">
            <w:pPr>
              <w:pStyle w:val="Paragraphedeliste"/>
              <w:numPr>
                <w:ilvl w:val="0"/>
                <w:numId w:val="13"/>
              </w:numPr>
              <w:jc w:val="both"/>
              <w:rPr>
                <w:rFonts w:ascii="Arial" w:hAnsi="Arial" w:cs="Arial"/>
                <w:sz w:val="20"/>
                <w:szCs w:val="20"/>
              </w:rPr>
            </w:pPr>
            <w:r w:rsidRPr="0067016D">
              <w:rPr>
                <w:rFonts w:ascii="Arial" w:hAnsi="Arial" w:cs="Arial"/>
                <w:sz w:val="20"/>
                <w:szCs w:val="20"/>
              </w:rPr>
              <w:t xml:space="preserve">L’application du principe de transparence, favorisant l’inclusion et luttant contre le </w:t>
            </w:r>
            <w:proofErr w:type="spellStart"/>
            <w:r w:rsidRPr="0067016D">
              <w:rPr>
                <w:rFonts w:ascii="Arial" w:hAnsi="Arial" w:cs="Arial"/>
                <w:i/>
                <w:sz w:val="20"/>
                <w:szCs w:val="20"/>
              </w:rPr>
              <w:t>greenwashing</w:t>
            </w:r>
            <w:proofErr w:type="spellEnd"/>
            <w:r w:rsidRPr="0067016D">
              <w:rPr>
                <w:rFonts w:ascii="Arial" w:hAnsi="Arial" w:cs="Arial"/>
                <w:sz w:val="20"/>
                <w:szCs w:val="20"/>
              </w:rPr>
              <w:t> ;</w:t>
            </w:r>
          </w:p>
          <w:p w14:paraId="771B0B33" w14:textId="77777777" w:rsidR="007B6F61" w:rsidRPr="0067016D" w:rsidRDefault="007B6F61" w:rsidP="007B6F61">
            <w:pPr>
              <w:pStyle w:val="Paragraphedeliste"/>
              <w:numPr>
                <w:ilvl w:val="0"/>
                <w:numId w:val="13"/>
              </w:numPr>
              <w:jc w:val="both"/>
              <w:rPr>
                <w:rFonts w:ascii="Arial" w:hAnsi="Arial" w:cs="Arial"/>
                <w:sz w:val="20"/>
                <w:szCs w:val="20"/>
              </w:rPr>
            </w:pPr>
            <w:r w:rsidRPr="0067016D">
              <w:rPr>
                <w:rFonts w:ascii="Arial" w:hAnsi="Arial" w:cs="Arial"/>
                <w:sz w:val="20"/>
                <w:szCs w:val="20"/>
              </w:rPr>
              <w:t>La participation active et continue de l’ensemble des parties prenantes.</w:t>
            </w:r>
          </w:p>
          <w:p w14:paraId="63899FC2" w14:textId="77777777" w:rsidR="007B6F61" w:rsidRPr="0067016D" w:rsidRDefault="007B6F61" w:rsidP="00516E07">
            <w:pPr>
              <w:jc w:val="both"/>
              <w:rPr>
                <w:rFonts w:ascii="Arial" w:eastAsia="Times New Roman" w:hAnsi="Arial" w:cs="Arial"/>
                <w:sz w:val="20"/>
                <w:szCs w:val="20"/>
              </w:rPr>
            </w:pPr>
          </w:p>
          <w:p w14:paraId="31C2B59C" w14:textId="77777777" w:rsidR="007B6F61" w:rsidRPr="00433B7A" w:rsidRDefault="007B6F61" w:rsidP="007B6F61">
            <w:pPr>
              <w:pStyle w:val="Paragraphedeliste"/>
              <w:numPr>
                <w:ilvl w:val="0"/>
                <w:numId w:val="18"/>
              </w:numPr>
              <w:jc w:val="both"/>
              <w:rPr>
                <w:rFonts w:ascii="Arial" w:eastAsia="Times New Roman" w:hAnsi="Arial" w:cs="Arial"/>
                <w:b/>
                <w:color w:val="6E6E6E"/>
                <w:sz w:val="20"/>
                <w:szCs w:val="20"/>
              </w:rPr>
            </w:pPr>
            <w:r w:rsidRPr="00433B7A">
              <w:rPr>
                <w:rFonts w:ascii="Arial" w:eastAsia="Times New Roman" w:hAnsi="Arial" w:cs="Arial"/>
                <w:b/>
                <w:color w:val="6E6E6E"/>
                <w:sz w:val="20"/>
                <w:szCs w:val="20"/>
              </w:rPr>
              <w:t xml:space="preserve">Glossaire </w:t>
            </w:r>
          </w:p>
          <w:p w14:paraId="15BDFD3D" w14:textId="77777777" w:rsidR="007B6F61" w:rsidRPr="0067016D" w:rsidRDefault="007B6F61" w:rsidP="00516E07">
            <w:pPr>
              <w:jc w:val="both"/>
              <w:rPr>
                <w:rFonts w:ascii="Arial" w:eastAsia="Times New Roman" w:hAnsi="Arial" w:cs="Arial"/>
                <w:sz w:val="20"/>
                <w:szCs w:val="20"/>
              </w:rPr>
            </w:pPr>
          </w:p>
          <w:p w14:paraId="34A8BF4A" w14:textId="77777777" w:rsidR="007B6F61" w:rsidRPr="0067016D" w:rsidRDefault="007B6F61" w:rsidP="00516E07">
            <w:pPr>
              <w:jc w:val="both"/>
              <w:rPr>
                <w:rFonts w:ascii="Arial" w:eastAsia="Times New Roman" w:hAnsi="Arial" w:cs="Arial"/>
                <w:sz w:val="20"/>
                <w:szCs w:val="20"/>
              </w:rPr>
            </w:pPr>
            <w:r w:rsidRPr="0067016D">
              <w:rPr>
                <w:rFonts w:ascii="Arial" w:eastAsia="Times New Roman" w:hAnsi="Arial" w:cs="Arial"/>
                <w:sz w:val="20"/>
                <w:szCs w:val="20"/>
              </w:rPr>
              <w:t xml:space="preserve">Le </w:t>
            </w:r>
            <w:hyperlink r:id="rId9" w:history="1">
              <w:r w:rsidRPr="0067016D">
                <w:rPr>
                  <w:rStyle w:val="Lienhypertexte"/>
                  <w:rFonts w:ascii="Arial" w:eastAsia="Times New Roman" w:hAnsi="Arial" w:cs="Arial"/>
                  <w:sz w:val="20"/>
                  <w:szCs w:val="20"/>
                </w:rPr>
                <w:t>Glossaire</w:t>
              </w:r>
            </w:hyperlink>
            <w:r w:rsidRPr="0067016D">
              <w:rPr>
                <w:rFonts w:ascii="Arial" w:eastAsia="Times New Roman" w:hAnsi="Arial" w:cs="Arial"/>
                <w:sz w:val="20"/>
                <w:szCs w:val="20"/>
              </w:rPr>
              <w:t xml:space="preserve"> est un outil d’aide à la mise en œuvre du projet. Recensant un ensemble de définitions opérationnelles, il a été conçu afin d’apporter une clarification et une compréhension commune des termes mobilisés.</w:t>
            </w:r>
          </w:p>
          <w:p w14:paraId="48BF4137" w14:textId="77777777" w:rsidR="007B6F61" w:rsidRPr="0067016D" w:rsidRDefault="007B6F61" w:rsidP="00516E07">
            <w:pPr>
              <w:jc w:val="both"/>
              <w:rPr>
                <w:rFonts w:ascii="Arial" w:eastAsia="Times New Roman" w:hAnsi="Arial" w:cs="Arial"/>
                <w:sz w:val="20"/>
                <w:szCs w:val="20"/>
              </w:rPr>
            </w:pPr>
          </w:p>
          <w:p w14:paraId="6C35B1D2" w14:textId="77777777" w:rsidR="007B6F61" w:rsidRPr="0067016D" w:rsidRDefault="007B6F61" w:rsidP="00516E07">
            <w:pPr>
              <w:jc w:val="both"/>
              <w:rPr>
                <w:rFonts w:ascii="Arial" w:hAnsi="Arial" w:cs="Arial"/>
                <w:sz w:val="20"/>
                <w:szCs w:val="20"/>
              </w:rPr>
            </w:pPr>
            <w:r w:rsidRPr="0067016D">
              <w:rPr>
                <w:rFonts w:ascii="Arial" w:eastAsia="Times New Roman" w:hAnsi="Arial" w:cs="Arial"/>
                <w:sz w:val="20"/>
                <w:szCs w:val="20"/>
              </w:rPr>
              <w:t xml:space="preserve">Dans le cadre du projet </w:t>
            </w:r>
            <w:proofErr w:type="spellStart"/>
            <w:r w:rsidRPr="0067016D">
              <w:rPr>
                <w:rFonts w:ascii="Arial" w:eastAsia="Times New Roman" w:hAnsi="Arial" w:cs="Arial"/>
                <w:sz w:val="20"/>
                <w:szCs w:val="20"/>
              </w:rPr>
              <w:t>Greenov’i</w:t>
            </w:r>
            <w:proofErr w:type="spellEnd"/>
            <w:r w:rsidRPr="0067016D">
              <w:rPr>
                <w:rFonts w:ascii="Arial" w:eastAsia="Times New Roman" w:hAnsi="Arial" w:cs="Arial"/>
                <w:sz w:val="20"/>
                <w:szCs w:val="20"/>
              </w:rPr>
              <w:t xml:space="preserve"> et tel qu’indiqué dans le Glossaire, </w:t>
            </w:r>
            <w:r w:rsidRPr="0067016D">
              <w:rPr>
                <w:rFonts w:ascii="Arial" w:hAnsi="Arial" w:cs="Arial"/>
                <w:sz w:val="20"/>
                <w:szCs w:val="20"/>
              </w:rPr>
              <w:t xml:space="preserve">l’entrepreneuriat vert, se définit comme un processus permettant l’émergence d’entreprises créatrices de valeur qui contribuent au développement durable du système socio-écologique à l’échelle nationale. L’entrepreneuriat vert contribue ainsi à l’atténuation des défaillances du marché ayant trait à l’environnement, à travers l’exploitation de potentielles opportunités rentables. </w:t>
            </w:r>
          </w:p>
          <w:p w14:paraId="62F3B322" w14:textId="77777777" w:rsidR="007B6F61" w:rsidRPr="0067016D" w:rsidRDefault="007B6F61" w:rsidP="00516E07">
            <w:pPr>
              <w:jc w:val="both"/>
              <w:rPr>
                <w:rFonts w:ascii="Arial" w:hAnsi="Arial" w:cs="Arial"/>
                <w:sz w:val="20"/>
                <w:szCs w:val="20"/>
              </w:rPr>
            </w:pPr>
          </w:p>
          <w:p w14:paraId="3A2C0448" w14:textId="1ACC28F6" w:rsidR="007B6F61" w:rsidRPr="0067016D" w:rsidRDefault="007B6F61" w:rsidP="00516E07">
            <w:pPr>
              <w:jc w:val="both"/>
              <w:rPr>
                <w:rFonts w:ascii="Arial" w:hAnsi="Arial" w:cs="Arial"/>
                <w:sz w:val="20"/>
                <w:szCs w:val="20"/>
              </w:rPr>
            </w:pPr>
            <w:r w:rsidRPr="0067016D">
              <w:rPr>
                <w:rFonts w:ascii="Arial" w:hAnsi="Arial" w:cs="Arial"/>
                <w:sz w:val="20"/>
                <w:szCs w:val="20"/>
              </w:rPr>
              <w:t xml:space="preserve">Il englobe les activités économiques, technologies, produits et services moins polluants qui visent à réduire durablement les émissions de gaz à effet de serre et l’empreinte écologique, minimiser la </w:t>
            </w:r>
            <w:r w:rsidR="00007484">
              <w:rPr>
                <w:rFonts w:ascii="Arial" w:hAnsi="Arial" w:cs="Arial"/>
                <w:sz w:val="20"/>
                <w:szCs w:val="20"/>
              </w:rPr>
              <w:t xml:space="preserve">pollution </w:t>
            </w:r>
            <w:r w:rsidRPr="0067016D">
              <w:rPr>
                <w:rFonts w:ascii="Arial" w:hAnsi="Arial" w:cs="Arial"/>
                <w:sz w:val="20"/>
                <w:szCs w:val="20"/>
              </w:rPr>
              <w:t>et économiser les ressources. La clé de l’entrepreneuriat vert est la capacité d’une entreprise à innover et à développer des biens et des services sobres en ressources naturelles et à faibles impacts environnementaux et climatiques. Les opportunités de l’entrepreneuriat vert sont multiples et concernent les principaux secteurs d’activité, notamment l’agriculture, l’énergie, l’industrie, le tourisme, le transport, le bâtiment ou l’urbanisme.</w:t>
            </w:r>
          </w:p>
          <w:p w14:paraId="45AD0B55" w14:textId="77777777" w:rsidR="007B6F61" w:rsidRPr="0067016D" w:rsidRDefault="007B6F61" w:rsidP="00516E07">
            <w:pPr>
              <w:jc w:val="both"/>
              <w:rPr>
                <w:rFonts w:ascii="Arial" w:hAnsi="Arial" w:cs="Arial"/>
                <w:sz w:val="20"/>
                <w:szCs w:val="20"/>
              </w:rPr>
            </w:pPr>
          </w:p>
          <w:p w14:paraId="1A98992B" w14:textId="77777777" w:rsidR="007B6F61" w:rsidRPr="0067016D" w:rsidRDefault="007B6F61" w:rsidP="00516E07">
            <w:pPr>
              <w:jc w:val="both"/>
              <w:rPr>
                <w:rFonts w:ascii="Arial" w:hAnsi="Arial" w:cs="Arial"/>
                <w:sz w:val="20"/>
                <w:szCs w:val="20"/>
              </w:rPr>
            </w:pPr>
            <w:r w:rsidRPr="0067016D">
              <w:rPr>
                <w:rFonts w:ascii="Arial" w:hAnsi="Arial" w:cs="Arial"/>
                <w:sz w:val="20"/>
                <w:szCs w:val="20"/>
              </w:rPr>
              <w:t>L’entrepreneuriat vert permet de favoriser les circuits courts de commercialisation et les modes de production plus intégrés. Il permet, également, de valoriser les savoir-faire et les produits locaux en promouvant le développement local et la création d’emplois durables et inclusifs.</w:t>
            </w:r>
          </w:p>
          <w:p w14:paraId="6B38BF90" w14:textId="77777777" w:rsidR="007B6F61" w:rsidRPr="0067016D" w:rsidRDefault="007B6F61" w:rsidP="00516E07">
            <w:pPr>
              <w:jc w:val="both"/>
              <w:rPr>
                <w:rFonts w:ascii="Arial" w:hAnsi="Arial" w:cs="Arial"/>
                <w:sz w:val="20"/>
                <w:szCs w:val="20"/>
              </w:rPr>
            </w:pPr>
          </w:p>
          <w:p w14:paraId="7B19F94F" w14:textId="77777777" w:rsidR="007B6F61" w:rsidRPr="0067016D" w:rsidRDefault="007B6F61" w:rsidP="00516E07">
            <w:pPr>
              <w:jc w:val="both"/>
              <w:rPr>
                <w:rFonts w:ascii="Arial" w:hAnsi="Arial" w:cs="Arial"/>
                <w:sz w:val="20"/>
                <w:szCs w:val="20"/>
              </w:rPr>
            </w:pPr>
            <w:r w:rsidRPr="0067016D">
              <w:rPr>
                <w:rFonts w:ascii="Arial" w:hAnsi="Arial" w:cs="Arial"/>
                <w:sz w:val="20"/>
                <w:szCs w:val="20"/>
              </w:rPr>
              <w:t>De l’entrepreneuriat vert découle une amélioration du bien être humain et de l’équité sociale, en plus d’une réduction des risques environnementaux. Par conséquent, l’entrepreneuriat vert s’inscrit dans une démarche écologique et responsable.</w:t>
            </w:r>
          </w:p>
          <w:p w14:paraId="2E7E5199" w14:textId="77777777" w:rsidR="007B6F61" w:rsidRPr="0067016D" w:rsidRDefault="007B6F61" w:rsidP="00516E07">
            <w:pPr>
              <w:jc w:val="both"/>
              <w:rPr>
                <w:rFonts w:ascii="Arial" w:hAnsi="Arial" w:cs="Arial"/>
                <w:sz w:val="20"/>
                <w:szCs w:val="20"/>
              </w:rPr>
            </w:pPr>
          </w:p>
          <w:p w14:paraId="3F0D24D6" w14:textId="77777777" w:rsidR="007B6F61" w:rsidRPr="0067016D" w:rsidRDefault="007B6F61" w:rsidP="00516E07">
            <w:pPr>
              <w:jc w:val="both"/>
              <w:rPr>
                <w:rFonts w:ascii="Arial" w:hAnsi="Arial" w:cs="Arial"/>
                <w:sz w:val="20"/>
                <w:szCs w:val="20"/>
              </w:rPr>
            </w:pPr>
            <w:r w:rsidRPr="0067016D">
              <w:rPr>
                <w:rFonts w:ascii="Arial" w:hAnsi="Arial" w:cs="Arial"/>
                <w:sz w:val="20"/>
                <w:szCs w:val="20"/>
              </w:rPr>
              <w:t xml:space="preserve">Le projet </w:t>
            </w:r>
            <w:proofErr w:type="spellStart"/>
            <w:r w:rsidRPr="0067016D">
              <w:rPr>
                <w:rFonts w:ascii="Arial" w:hAnsi="Arial" w:cs="Arial"/>
                <w:sz w:val="20"/>
                <w:szCs w:val="20"/>
              </w:rPr>
              <w:t>Greenov’i</w:t>
            </w:r>
            <w:proofErr w:type="spellEnd"/>
            <w:r w:rsidRPr="0067016D">
              <w:rPr>
                <w:rFonts w:ascii="Arial" w:hAnsi="Arial" w:cs="Arial"/>
                <w:sz w:val="20"/>
                <w:szCs w:val="20"/>
              </w:rPr>
              <w:t xml:space="preserve"> s’appuie sur une définition à double sens de l’entrepreneuriat, basée sur deux approches définies par l’OCDE : </w:t>
            </w:r>
          </w:p>
          <w:p w14:paraId="764AFFCE" w14:textId="77777777" w:rsidR="007B6F61" w:rsidRPr="0067016D" w:rsidRDefault="007B6F61" w:rsidP="007B6F61">
            <w:pPr>
              <w:pStyle w:val="Paragraphedeliste"/>
              <w:numPr>
                <w:ilvl w:val="0"/>
                <w:numId w:val="14"/>
              </w:numPr>
              <w:jc w:val="both"/>
              <w:rPr>
                <w:rFonts w:ascii="Arial" w:hAnsi="Arial" w:cs="Arial"/>
                <w:sz w:val="20"/>
                <w:szCs w:val="20"/>
              </w:rPr>
            </w:pPr>
            <w:r w:rsidRPr="0067016D">
              <w:rPr>
                <w:rFonts w:ascii="Arial" w:hAnsi="Arial" w:cs="Arial"/>
                <w:b/>
                <w:sz w:val="20"/>
                <w:szCs w:val="20"/>
              </w:rPr>
              <w:t>Une approche par la production :</w:t>
            </w:r>
            <w:r w:rsidRPr="0067016D">
              <w:rPr>
                <w:rFonts w:ascii="Arial" w:hAnsi="Arial" w:cs="Arial"/>
                <w:sz w:val="20"/>
                <w:szCs w:val="20"/>
              </w:rPr>
              <w:t xml:space="preserve"> l’entrepreneuriat vert équivaut à lancer une activité verte, autrement dit à produire un bien ou un service écologique, qui agit en faveur de l’environnement (Composante 1).</w:t>
            </w:r>
          </w:p>
          <w:p w14:paraId="3644686A" w14:textId="77777777" w:rsidR="007B6F61" w:rsidRPr="0067016D" w:rsidRDefault="007B6F61" w:rsidP="007B6F61">
            <w:pPr>
              <w:pStyle w:val="Paragraphedeliste"/>
              <w:numPr>
                <w:ilvl w:val="0"/>
                <w:numId w:val="14"/>
              </w:numPr>
              <w:jc w:val="both"/>
              <w:rPr>
                <w:rFonts w:ascii="Arial" w:hAnsi="Arial" w:cs="Arial"/>
                <w:sz w:val="20"/>
                <w:szCs w:val="20"/>
              </w:rPr>
            </w:pPr>
            <w:r w:rsidRPr="0067016D">
              <w:rPr>
                <w:rFonts w:ascii="Arial" w:hAnsi="Arial" w:cs="Arial"/>
                <w:b/>
                <w:sz w:val="20"/>
                <w:szCs w:val="20"/>
              </w:rPr>
              <w:t>Une approche par les processus :</w:t>
            </w:r>
            <w:r w:rsidRPr="0067016D">
              <w:rPr>
                <w:rFonts w:ascii="Arial" w:hAnsi="Arial" w:cs="Arial"/>
                <w:sz w:val="20"/>
                <w:szCs w:val="20"/>
              </w:rPr>
              <w:t xml:space="preserve"> l’entrepreneuriat vert consiste à verdir le mode de production d’un bien ou d’un service (Composante 2).</w:t>
            </w:r>
          </w:p>
          <w:p w14:paraId="7966779B" w14:textId="77777777" w:rsidR="007B6F61" w:rsidRDefault="007B6F61" w:rsidP="00516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r w:rsidRPr="0067016D">
              <w:rPr>
                <w:rFonts w:ascii="Arial" w:hAnsi="Arial" w:cs="Arial"/>
                <w:sz w:val="20"/>
                <w:szCs w:val="20"/>
              </w:rPr>
              <w:t>Le projet se base sur l’approche de l’ADEME</w:t>
            </w:r>
            <w:r w:rsidRPr="0067016D">
              <w:rPr>
                <w:rStyle w:val="Appelnotedebasdep"/>
                <w:rFonts w:ascii="Arial" w:hAnsi="Arial" w:cs="Arial"/>
                <w:sz w:val="20"/>
                <w:szCs w:val="20"/>
              </w:rPr>
              <w:footnoteReference w:id="1"/>
            </w:r>
            <w:r w:rsidRPr="0067016D">
              <w:rPr>
                <w:rFonts w:ascii="Arial" w:hAnsi="Arial" w:cs="Arial"/>
                <w:sz w:val="20"/>
                <w:szCs w:val="20"/>
              </w:rPr>
              <w:t xml:space="preserve"> pour définir les éco entreprises : « </w:t>
            </w:r>
            <w:r w:rsidRPr="0067016D">
              <w:rPr>
                <w:rFonts w:ascii="Arial" w:hAnsi="Arial" w:cs="Arial"/>
                <w:i/>
                <w:sz w:val="20"/>
                <w:szCs w:val="20"/>
              </w:rPr>
              <w:t>une éco entreprise est une entreprise qui commercialise une solution (produits, services…) visant explicitement à prévenir, réduire ou mesurer les atteintes des activités humaines sur l’environnement […] Une éco entreprise se positionne du côté de l’offre de biens et services environnementaux.</w:t>
            </w:r>
            <w:r w:rsidRPr="0067016D">
              <w:rPr>
                <w:rFonts w:ascii="Arial" w:hAnsi="Arial" w:cs="Arial"/>
                <w:sz w:val="20"/>
                <w:szCs w:val="20"/>
              </w:rPr>
              <w:t> »</w:t>
            </w:r>
          </w:p>
          <w:p w14:paraId="6B0771FD" w14:textId="77777777" w:rsidR="007B6F61" w:rsidRPr="00433B7A" w:rsidRDefault="007B6F61" w:rsidP="007B6F61">
            <w:pPr>
              <w:pStyle w:val="Paragraphedeliste"/>
              <w:numPr>
                <w:ilvl w:val="0"/>
                <w:numId w:val="18"/>
              </w:numPr>
              <w:jc w:val="both"/>
              <w:rPr>
                <w:rFonts w:ascii="Arial" w:eastAsia="Times New Roman" w:hAnsi="Arial" w:cs="Arial"/>
                <w:b/>
                <w:color w:val="6E6E6E"/>
                <w:sz w:val="20"/>
                <w:szCs w:val="20"/>
              </w:rPr>
            </w:pPr>
            <w:r w:rsidRPr="00433B7A">
              <w:rPr>
                <w:rFonts w:ascii="Arial" w:eastAsia="Times New Roman" w:hAnsi="Arial" w:cs="Arial"/>
                <w:b/>
                <w:color w:val="6E6E6E"/>
                <w:sz w:val="20"/>
                <w:szCs w:val="20"/>
              </w:rPr>
              <w:t>Plan d’Action Genre</w:t>
            </w:r>
          </w:p>
          <w:p w14:paraId="17ACDA58" w14:textId="77777777" w:rsidR="007B6F61" w:rsidRPr="008F6CBC" w:rsidRDefault="007B6F61" w:rsidP="00516E07">
            <w:pPr>
              <w:jc w:val="both"/>
              <w:rPr>
                <w:rFonts w:ascii="Arial" w:eastAsia="Times New Roman" w:hAnsi="Arial" w:cs="Arial"/>
                <w:sz w:val="20"/>
                <w:szCs w:val="20"/>
                <w:u w:val="single"/>
              </w:rPr>
            </w:pPr>
          </w:p>
          <w:p w14:paraId="5D4116F1" w14:textId="77777777" w:rsidR="007B6F61" w:rsidRDefault="007B6F61" w:rsidP="00516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r>
              <w:rPr>
                <w:rFonts w:ascii="Arial" w:hAnsi="Arial" w:cs="Arial"/>
                <w:sz w:val="20"/>
                <w:szCs w:val="20"/>
              </w:rPr>
              <w:t xml:space="preserve">Le </w:t>
            </w:r>
            <w:hyperlink r:id="rId10" w:anchor=":~:text=Ce%20document%20pr%C3%A9sente%20le%20Plan%20d%27Action%20Genre%20%28PAG%29,dans%20l%E2%80%99%C3%A9conomie%20verte%20et%20l%E2%80%99entrepreneuriat%20vert%20en%20Tunisie." w:history="1">
              <w:r w:rsidRPr="006641EB">
                <w:rPr>
                  <w:rStyle w:val="Lienhypertexte"/>
                  <w:rFonts w:ascii="Arial" w:hAnsi="Arial" w:cs="Arial"/>
                  <w:sz w:val="20"/>
                  <w:szCs w:val="20"/>
                </w:rPr>
                <w:t>Plan d’Action Genre</w:t>
              </w:r>
            </w:hyperlink>
            <w:r>
              <w:rPr>
                <w:rFonts w:ascii="Arial" w:hAnsi="Arial" w:cs="Arial"/>
                <w:sz w:val="20"/>
                <w:szCs w:val="20"/>
              </w:rPr>
              <w:t xml:space="preserve"> (PAG) est le fruit d’un travail collaboratif, avec l’équipe et les partenaires de </w:t>
            </w:r>
            <w:proofErr w:type="spellStart"/>
            <w:r>
              <w:rPr>
                <w:rFonts w:ascii="Arial" w:hAnsi="Arial" w:cs="Arial"/>
                <w:sz w:val="20"/>
                <w:szCs w:val="20"/>
              </w:rPr>
              <w:t>Greenov’i</w:t>
            </w:r>
            <w:proofErr w:type="spellEnd"/>
            <w:r>
              <w:rPr>
                <w:rFonts w:ascii="Arial" w:hAnsi="Arial" w:cs="Arial"/>
                <w:sz w:val="20"/>
                <w:szCs w:val="20"/>
              </w:rPr>
              <w:t xml:space="preserve">, en vue d’opérationnaliser et renforcer le potentiel du projet en matière de réduction des inégalités femmes/hommes par des mesures simples et directement opérationnelles s’inscrivant dans le périmètre du projet </w:t>
            </w:r>
            <w:proofErr w:type="spellStart"/>
            <w:r>
              <w:rPr>
                <w:rFonts w:ascii="Arial" w:hAnsi="Arial" w:cs="Arial"/>
                <w:sz w:val="20"/>
                <w:szCs w:val="20"/>
              </w:rPr>
              <w:t>Greenov’i</w:t>
            </w:r>
            <w:proofErr w:type="spellEnd"/>
            <w:r>
              <w:rPr>
                <w:rFonts w:ascii="Arial" w:hAnsi="Arial" w:cs="Arial"/>
                <w:sz w:val="20"/>
                <w:szCs w:val="20"/>
              </w:rPr>
              <w:t xml:space="preserve"> et impactant toutes ses dimensions. </w:t>
            </w:r>
          </w:p>
          <w:p w14:paraId="251A0580" w14:textId="77777777" w:rsidR="007B6F61" w:rsidRDefault="007B6F61" w:rsidP="00516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r>
              <w:rPr>
                <w:rFonts w:ascii="Arial" w:hAnsi="Arial" w:cs="Arial"/>
                <w:sz w:val="20"/>
                <w:szCs w:val="20"/>
              </w:rPr>
              <w:t xml:space="preserve">Avec ce PAG, </w:t>
            </w:r>
            <w:proofErr w:type="spellStart"/>
            <w:r>
              <w:rPr>
                <w:rFonts w:ascii="Arial" w:hAnsi="Arial" w:cs="Arial"/>
                <w:sz w:val="20"/>
                <w:szCs w:val="20"/>
              </w:rPr>
              <w:t>Greenov’i</w:t>
            </w:r>
            <w:proofErr w:type="spellEnd"/>
            <w:r>
              <w:rPr>
                <w:rFonts w:ascii="Arial" w:hAnsi="Arial" w:cs="Arial"/>
                <w:sz w:val="20"/>
                <w:szCs w:val="20"/>
              </w:rPr>
              <w:t xml:space="preserve"> vise à renforcer l’inclusion des femmes dans l’économie verte et l’entrepreneuriat. Le plan est structuré autour des deux composantes du projet et des activités prévues dans le cadre de ces composantes. Il inclut également un troisième axe transversal, notamment relatif à toutes les activités liées à la communication et à la valorisation. </w:t>
            </w:r>
          </w:p>
          <w:p w14:paraId="7251D331" w14:textId="77777777" w:rsidR="007B6F61" w:rsidRDefault="007B6F61" w:rsidP="00516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r>
              <w:rPr>
                <w:rFonts w:ascii="Arial" w:hAnsi="Arial" w:cs="Arial"/>
                <w:sz w:val="20"/>
                <w:szCs w:val="20"/>
              </w:rPr>
              <w:t xml:space="preserve">Pour chaque objectif, une série d’actions concrètes, en phase avec les réalités opérationnelles du projet, est proposée. Bien que le suivi du PAG soit assuré par le point focal genre de </w:t>
            </w:r>
            <w:proofErr w:type="spellStart"/>
            <w:r>
              <w:rPr>
                <w:rFonts w:ascii="Arial" w:hAnsi="Arial" w:cs="Arial"/>
                <w:sz w:val="20"/>
                <w:szCs w:val="20"/>
              </w:rPr>
              <w:t>Greenov’i</w:t>
            </w:r>
            <w:proofErr w:type="spellEnd"/>
            <w:r>
              <w:rPr>
                <w:rFonts w:ascii="Arial" w:hAnsi="Arial" w:cs="Arial"/>
                <w:sz w:val="20"/>
                <w:szCs w:val="20"/>
              </w:rPr>
              <w:t xml:space="preserve">, sa mise en œuvre est une responsabilité collective : chaque membre de l’équipe </w:t>
            </w:r>
            <w:proofErr w:type="spellStart"/>
            <w:r>
              <w:rPr>
                <w:rFonts w:ascii="Arial" w:hAnsi="Arial" w:cs="Arial"/>
                <w:sz w:val="20"/>
                <w:szCs w:val="20"/>
              </w:rPr>
              <w:t>Greenov’i</w:t>
            </w:r>
            <w:proofErr w:type="spellEnd"/>
            <w:r>
              <w:rPr>
                <w:rFonts w:ascii="Arial" w:hAnsi="Arial" w:cs="Arial"/>
                <w:sz w:val="20"/>
                <w:szCs w:val="20"/>
              </w:rPr>
              <w:t xml:space="preserve"> est acteur et actrice de son déploiement, en veillant à intégrer les actions qui lui incombent dans le cadre de ses activités.</w:t>
            </w:r>
          </w:p>
          <w:p w14:paraId="481FFAE2" w14:textId="77777777" w:rsidR="007B6F61" w:rsidRDefault="007B6F61" w:rsidP="00516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p>
          <w:p w14:paraId="0DE88227" w14:textId="77777777" w:rsidR="00FD26C2" w:rsidRDefault="00FD26C2" w:rsidP="00516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p>
          <w:p w14:paraId="2BD5C1AD" w14:textId="77777777" w:rsidR="00FD26C2" w:rsidRDefault="00FD26C2" w:rsidP="00516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p>
          <w:p w14:paraId="4273C378" w14:textId="77777777" w:rsidR="00FD26C2" w:rsidRDefault="00FD26C2" w:rsidP="00516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p>
          <w:p w14:paraId="6E1EA038" w14:textId="77777777" w:rsidR="00FD26C2" w:rsidRDefault="00FD26C2" w:rsidP="00516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p>
          <w:p w14:paraId="27F56514" w14:textId="59F33A7A" w:rsidR="00FD26C2" w:rsidRDefault="00FD26C2" w:rsidP="00516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p>
          <w:p w14:paraId="631747CA" w14:textId="77777777" w:rsidR="00BB3026" w:rsidRPr="00874710" w:rsidRDefault="00BB3026" w:rsidP="00516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jc w:val="both"/>
              <w:rPr>
                <w:rFonts w:ascii="Arial" w:hAnsi="Arial" w:cs="Arial"/>
                <w:sz w:val="20"/>
                <w:szCs w:val="20"/>
              </w:rPr>
            </w:pPr>
          </w:p>
          <w:p w14:paraId="0C3376ED" w14:textId="77777777" w:rsidR="007B6F61" w:rsidRPr="00505D2A" w:rsidRDefault="007B6F61" w:rsidP="00516E07">
            <w:pPr>
              <w:pStyle w:val="Paragraphedeliste"/>
              <w:numPr>
                <w:ilvl w:val="0"/>
                <w:numId w:val="2"/>
              </w:numPr>
              <w:rPr>
                <w:rFonts w:ascii="Arial" w:eastAsia="Times New Roman" w:hAnsi="Arial" w:cs="Arial"/>
                <w:b/>
              </w:rPr>
            </w:pPr>
            <w:r w:rsidRPr="00433B7A">
              <w:rPr>
                <w:rFonts w:ascii="Arial" w:eastAsia="Times New Roman" w:hAnsi="Arial" w:cs="Arial"/>
                <w:b/>
                <w:color w:val="009CA6"/>
              </w:rPr>
              <w:t>Contexte et justification du besoin</w:t>
            </w:r>
          </w:p>
          <w:p w14:paraId="2D662097" w14:textId="77777777" w:rsidR="007B6F61" w:rsidRPr="0067016D" w:rsidRDefault="007B6F61" w:rsidP="00516E07">
            <w:pPr>
              <w:rPr>
                <w:rFonts w:ascii="Arial" w:eastAsia="Times New Roman" w:hAnsi="Arial" w:cs="Arial"/>
                <w:b/>
                <w:sz w:val="20"/>
                <w:szCs w:val="20"/>
              </w:rPr>
            </w:pPr>
          </w:p>
        </w:tc>
      </w:tr>
    </w:tbl>
    <w:p w14:paraId="2304D239" w14:textId="77777777" w:rsidR="007B6F61" w:rsidRPr="0067016D" w:rsidRDefault="007B6F61" w:rsidP="007B6F61">
      <w:pPr>
        <w:spacing w:line="240" w:lineRule="auto"/>
        <w:jc w:val="both"/>
        <w:rPr>
          <w:rFonts w:ascii="Arial" w:hAnsi="Arial" w:cs="Arial"/>
          <w:sz w:val="20"/>
          <w:szCs w:val="20"/>
        </w:rPr>
      </w:pPr>
      <w:r w:rsidRPr="0067016D">
        <w:rPr>
          <w:rFonts w:ascii="Arial" w:hAnsi="Arial" w:cs="Arial"/>
          <w:sz w:val="20"/>
          <w:szCs w:val="20"/>
        </w:rPr>
        <w:lastRenderedPageBreak/>
        <w:t xml:space="preserve">La transition écologique et climatique devient en Tunisie une réelle obligation. Le capital naturel, élément fondamental du développement à travers les ressources naturelles, et les écosystèmes continentaux et marins subit, en effet, de plus en plus des pressions et des formes de surexploitation inquiétantes auxquelles viennent s’ajouter les aléas </w:t>
      </w:r>
      <w:r>
        <w:rPr>
          <w:rFonts w:ascii="Arial" w:hAnsi="Arial" w:cs="Arial"/>
          <w:sz w:val="20"/>
          <w:szCs w:val="20"/>
        </w:rPr>
        <w:t xml:space="preserve">du changement climatique </w:t>
      </w:r>
      <w:r w:rsidRPr="0067016D">
        <w:rPr>
          <w:rFonts w:ascii="Arial" w:hAnsi="Arial" w:cs="Arial"/>
          <w:sz w:val="20"/>
          <w:szCs w:val="20"/>
        </w:rPr>
        <w:t>qui rendent les défis du développement encore plus complexes et plus difficiles à surmonter.</w:t>
      </w:r>
    </w:p>
    <w:p w14:paraId="0B018D48" w14:textId="77777777" w:rsidR="007B6F61" w:rsidRPr="0067016D" w:rsidRDefault="007B6F61" w:rsidP="007B6F61">
      <w:pPr>
        <w:spacing w:line="240" w:lineRule="auto"/>
        <w:jc w:val="both"/>
        <w:rPr>
          <w:rFonts w:ascii="Arial" w:hAnsi="Arial" w:cs="Arial"/>
          <w:sz w:val="20"/>
          <w:szCs w:val="20"/>
        </w:rPr>
      </w:pPr>
      <w:r w:rsidRPr="0067016D">
        <w:rPr>
          <w:rFonts w:ascii="Arial" w:hAnsi="Arial" w:cs="Arial"/>
          <w:sz w:val="20"/>
          <w:szCs w:val="20"/>
        </w:rPr>
        <w:t xml:space="preserve">L’économie verte à l’intérieur des terres, l’économie bleue sur le littoral et dans la mer, ainsi que toutes les formes d’économie circulaire deviennent des pratiques indispensables et obligatoires en vue de l’instauration de nouveaux modes de production et de consommation qui soient plus durables, plus efficients et plus respectueux des équilibres écologiques dont le développement socioéconomique a fortement besoin. </w:t>
      </w:r>
    </w:p>
    <w:p w14:paraId="5595BBF3" w14:textId="77777777" w:rsidR="007B6F61" w:rsidRPr="0067016D" w:rsidRDefault="007B6F61" w:rsidP="007B6F61">
      <w:pPr>
        <w:spacing w:line="240" w:lineRule="auto"/>
        <w:jc w:val="both"/>
        <w:rPr>
          <w:rFonts w:ascii="Arial" w:hAnsi="Arial" w:cs="Arial"/>
          <w:sz w:val="20"/>
          <w:szCs w:val="20"/>
        </w:rPr>
      </w:pPr>
      <w:r w:rsidRPr="0067016D">
        <w:rPr>
          <w:rFonts w:ascii="Arial" w:hAnsi="Arial" w:cs="Arial"/>
          <w:sz w:val="20"/>
          <w:szCs w:val="20"/>
        </w:rPr>
        <w:t xml:space="preserve">Toutes ces nouvelles pratiques, qui sont en grande partie innovantes et nouvelles nécessitent un appui et un encadrement adéquats à plusieurs dimensions techniques, juridiques, organisationnelles et financières. </w:t>
      </w:r>
    </w:p>
    <w:p w14:paraId="6C584D57" w14:textId="77777777" w:rsidR="007B6F61" w:rsidRPr="0067016D" w:rsidRDefault="007B6F61" w:rsidP="007B6F61">
      <w:pPr>
        <w:spacing w:line="240" w:lineRule="auto"/>
        <w:jc w:val="both"/>
        <w:rPr>
          <w:rFonts w:ascii="Arial" w:hAnsi="Arial" w:cs="Arial"/>
          <w:sz w:val="20"/>
          <w:szCs w:val="20"/>
        </w:rPr>
      </w:pPr>
      <w:r w:rsidRPr="0067016D">
        <w:rPr>
          <w:rFonts w:ascii="Arial" w:hAnsi="Arial" w:cs="Arial"/>
          <w:sz w:val="20"/>
          <w:szCs w:val="20"/>
        </w:rPr>
        <w:t xml:space="preserve">Le projet </w:t>
      </w:r>
      <w:proofErr w:type="spellStart"/>
      <w:r w:rsidRPr="0067016D">
        <w:rPr>
          <w:rFonts w:ascii="Arial" w:hAnsi="Arial" w:cs="Arial"/>
          <w:sz w:val="20"/>
          <w:szCs w:val="20"/>
        </w:rPr>
        <w:t>Greenov’i</w:t>
      </w:r>
      <w:proofErr w:type="spellEnd"/>
      <w:r w:rsidRPr="0067016D">
        <w:rPr>
          <w:rFonts w:ascii="Arial" w:hAnsi="Arial" w:cs="Arial"/>
          <w:sz w:val="20"/>
          <w:szCs w:val="20"/>
        </w:rPr>
        <w:t xml:space="preserve">, composante du programme d’appui à l’action environnementale en Tunisie, a pour objectif essentiel d’accompagner la Tunisie dans sa transition écologique et plus particulièrement au niveau de son économie afin qu’elle y intègre les exigences écologiques et climatiques et qu’elle soit plus verte, plus efficiente écologiquement et plus respectueuse des limites environnementales. </w:t>
      </w:r>
    </w:p>
    <w:p w14:paraId="129BEA4F" w14:textId="77777777" w:rsidR="007B6F61" w:rsidRDefault="007B6F61" w:rsidP="007B6F61">
      <w:pPr>
        <w:spacing w:line="240" w:lineRule="auto"/>
        <w:jc w:val="both"/>
        <w:rPr>
          <w:rFonts w:ascii="Arial" w:hAnsi="Arial" w:cs="Arial"/>
          <w:sz w:val="20"/>
          <w:szCs w:val="20"/>
        </w:rPr>
      </w:pPr>
      <w:r w:rsidRPr="0067016D">
        <w:rPr>
          <w:rFonts w:ascii="Arial" w:hAnsi="Arial" w:cs="Arial"/>
          <w:sz w:val="20"/>
          <w:szCs w:val="20"/>
        </w:rPr>
        <w:t xml:space="preserve">Seulement, et comme déjà annoncé dans la stratégie nationale de la transition écologique, </w:t>
      </w:r>
      <w:proofErr w:type="spellStart"/>
      <w:r w:rsidRPr="0067016D">
        <w:rPr>
          <w:rFonts w:ascii="Arial" w:hAnsi="Arial" w:cs="Arial"/>
          <w:sz w:val="20"/>
          <w:szCs w:val="20"/>
        </w:rPr>
        <w:t>Greenov’i</w:t>
      </w:r>
      <w:proofErr w:type="spellEnd"/>
      <w:r w:rsidRPr="0067016D">
        <w:rPr>
          <w:rFonts w:ascii="Arial" w:hAnsi="Arial" w:cs="Arial"/>
          <w:sz w:val="20"/>
          <w:szCs w:val="20"/>
        </w:rPr>
        <w:t xml:space="preserve"> fait du financement de </w:t>
      </w:r>
      <w:r>
        <w:rPr>
          <w:rFonts w:ascii="Arial" w:hAnsi="Arial" w:cs="Arial"/>
          <w:sz w:val="20"/>
          <w:szCs w:val="20"/>
        </w:rPr>
        <w:t>l’entrepreneuriat</w:t>
      </w:r>
      <w:r w:rsidRPr="0067016D">
        <w:rPr>
          <w:rFonts w:ascii="Arial" w:hAnsi="Arial" w:cs="Arial"/>
          <w:sz w:val="20"/>
          <w:szCs w:val="20"/>
        </w:rPr>
        <w:t xml:space="preserve"> vert, d’une manière générale, une condition </w:t>
      </w:r>
      <w:r w:rsidRPr="00D03827">
        <w:rPr>
          <w:rFonts w:ascii="Arial" w:hAnsi="Arial" w:cs="Arial"/>
          <w:i/>
          <w:sz w:val="20"/>
          <w:szCs w:val="20"/>
        </w:rPr>
        <w:t>sine qua non</w:t>
      </w:r>
      <w:r w:rsidRPr="0067016D">
        <w:rPr>
          <w:rFonts w:ascii="Arial" w:hAnsi="Arial" w:cs="Arial"/>
          <w:sz w:val="20"/>
          <w:szCs w:val="20"/>
        </w:rPr>
        <w:t xml:space="preserve"> pour la promotion de l’économie verte. </w:t>
      </w:r>
      <w:r w:rsidRPr="00D03827">
        <w:rPr>
          <w:rFonts w:ascii="Arial" w:hAnsi="Arial" w:cs="Arial"/>
          <w:b/>
          <w:sz w:val="20"/>
          <w:szCs w:val="20"/>
        </w:rPr>
        <w:t>Le financement de l’économie verte demeure en effet assez en retard en Tunisie</w:t>
      </w:r>
      <w:r w:rsidRPr="0067016D">
        <w:rPr>
          <w:rFonts w:ascii="Arial" w:hAnsi="Arial" w:cs="Arial"/>
          <w:sz w:val="20"/>
          <w:szCs w:val="20"/>
        </w:rPr>
        <w:t xml:space="preserve"> par rapport aux enjeux et aux défis du développement et apparait même comme une entrave sérieuse pour la promotion de l’économie verte et l’accomplissement de la transition écologique et climatique tant souhaitée. </w:t>
      </w:r>
    </w:p>
    <w:p w14:paraId="02789B2A" w14:textId="77777777" w:rsidR="007B6F61" w:rsidRPr="00433B7A" w:rsidRDefault="007B6F61" w:rsidP="007B6F61">
      <w:pPr>
        <w:pStyle w:val="Paragraphedeliste"/>
        <w:numPr>
          <w:ilvl w:val="0"/>
          <w:numId w:val="18"/>
        </w:numPr>
        <w:jc w:val="both"/>
        <w:rPr>
          <w:rFonts w:ascii="Arial" w:eastAsia="Times New Roman" w:hAnsi="Arial" w:cs="Arial"/>
          <w:b/>
          <w:color w:val="6E6E6E"/>
          <w:sz w:val="20"/>
          <w:szCs w:val="20"/>
        </w:rPr>
      </w:pPr>
      <w:r w:rsidRPr="00433B7A">
        <w:rPr>
          <w:rFonts w:ascii="Arial" w:eastAsia="Times New Roman" w:hAnsi="Arial" w:cs="Arial"/>
          <w:b/>
          <w:color w:val="6E6E6E"/>
          <w:sz w:val="20"/>
          <w:szCs w:val="20"/>
        </w:rPr>
        <w:t>Présentation du programme d’assistance technique</w:t>
      </w:r>
    </w:p>
    <w:p w14:paraId="67E55227" w14:textId="77777777" w:rsidR="007B6F61" w:rsidRPr="0067016D" w:rsidRDefault="007B6F61" w:rsidP="007B6F61">
      <w:pPr>
        <w:spacing w:line="240" w:lineRule="auto"/>
        <w:jc w:val="both"/>
        <w:rPr>
          <w:rFonts w:ascii="Arial" w:hAnsi="Arial" w:cs="Arial"/>
          <w:sz w:val="20"/>
          <w:szCs w:val="20"/>
        </w:rPr>
      </w:pPr>
      <w:r>
        <w:rPr>
          <w:rFonts w:ascii="Arial" w:hAnsi="Arial" w:cs="Arial"/>
          <w:sz w:val="20"/>
          <w:szCs w:val="20"/>
        </w:rPr>
        <w:t>Dans ce contexte,</w:t>
      </w:r>
      <w:r w:rsidRPr="0067016D">
        <w:rPr>
          <w:rFonts w:ascii="Arial" w:hAnsi="Arial" w:cs="Arial"/>
          <w:sz w:val="20"/>
          <w:szCs w:val="20"/>
        </w:rPr>
        <w:t xml:space="preserve"> </w:t>
      </w:r>
      <w:proofErr w:type="spellStart"/>
      <w:r w:rsidRPr="0067016D">
        <w:rPr>
          <w:rFonts w:ascii="Arial" w:hAnsi="Arial" w:cs="Arial"/>
          <w:sz w:val="20"/>
          <w:szCs w:val="20"/>
        </w:rPr>
        <w:t>Gr</w:t>
      </w:r>
      <w:r>
        <w:rPr>
          <w:rFonts w:ascii="Arial" w:hAnsi="Arial" w:cs="Arial"/>
          <w:sz w:val="20"/>
          <w:szCs w:val="20"/>
        </w:rPr>
        <w:t>eenov’i</w:t>
      </w:r>
      <w:proofErr w:type="spellEnd"/>
      <w:r>
        <w:rPr>
          <w:rFonts w:ascii="Arial" w:hAnsi="Arial" w:cs="Arial"/>
          <w:sz w:val="20"/>
          <w:szCs w:val="20"/>
        </w:rPr>
        <w:t>, avec</w:t>
      </w:r>
      <w:r w:rsidRPr="0067016D">
        <w:rPr>
          <w:rFonts w:ascii="Arial" w:hAnsi="Arial" w:cs="Arial"/>
          <w:sz w:val="20"/>
          <w:szCs w:val="20"/>
        </w:rPr>
        <w:t xml:space="preserve"> ses différents partenaires, s’est engagé dans la préparation et la formulation d’un </w:t>
      </w:r>
      <w:r w:rsidRPr="00D03827">
        <w:rPr>
          <w:rFonts w:ascii="Arial" w:hAnsi="Arial" w:cs="Arial"/>
          <w:b/>
          <w:sz w:val="20"/>
          <w:szCs w:val="20"/>
        </w:rPr>
        <w:t>programme d’assistance technique à l’intention des financeurs de l’économie verte</w:t>
      </w:r>
      <w:r w:rsidRPr="0067016D">
        <w:rPr>
          <w:rFonts w:ascii="Arial" w:hAnsi="Arial" w:cs="Arial"/>
          <w:sz w:val="20"/>
          <w:szCs w:val="20"/>
        </w:rPr>
        <w:t xml:space="preserve">. </w:t>
      </w:r>
    </w:p>
    <w:p w14:paraId="638D8F57" w14:textId="77777777" w:rsidR="007B6F61" w:rsidRPr="0067016D" w:rsidRDefault="007B6F61" w:rsidP="007B6F61">
      <w:pPr>
        <w:spacing w:line="240" w:lineRule="auto"/>
        <w:jc w:val="both"/>
        <w:rPr>
          <w:rFonts w:ascii="Arial" w:hAnsi="Arial" w:cs="Arial"/>
          <w:sz w:val="20"/>
          <w:szCs w:val="20"/>
        </w:rPr>
      </w:pPr>
      <w:r>
        <w:rPr>
          <w:rFonts w:ascii="Arial" w:hAnsi="Arial" w:cs="Arial"/>
          <w:sz w:val="20"/>
          <w:szCs w:val="20"/>
        </w:rPr>
        <w:t xml:space="preserve">Les </w:t>
      </w:r>
      <w:r>
        <w:rPr>
          <w:rFonts w:ascii="Arial" w:hAnsi="Arial" w:cs="Arial"/>
          <w:b/>
          <w:sz w:val="20"/>
          <w:szCs w:val="20"/>
        </w:rPr>
        <w:t xml:space="preserve">axes de ce programme </w:t>
      </w:r>
      <w:r w:rsidRPr="00874710">
        <w:rPr>
          <w:rFonts w:ascii="Arial" w:hAnsi="Arial" w:cs="Arial"/>
          <w:b/>
          <w:sz w:val="20"/>
          <w:szCs w:val="20"/>
        </w:rPr>
        <w:t>découlent d’un processus de concertation</w:t>
      </w:r>
      <w:r w:rsidRPr="0067016D">
        <w:rPr>
          <w:rFonts w:ascii="Arial" w:hAnsi="Arial" w:cs="Arial"/>
          <w:sz w:val="20"/>
          <w:szCs w:val="20"/>
        </w:rPr>
        <w:t xml:space="preserve"> engagé sur plusieurs mois avec les principaux acteurs concernés particulièrement les bénéficiaires, les bailleurs de fonds impliqués, les structures publiques en charge de la finance d’une manière générale ainsi que les financeurs, essentiellement structures bancaires et fonds d’investissements.</w:t>
      </w:r>
    </w:p>
    <w:p w14:paraId="48C0E009" w14:textId="77777777" w:rsidR="007B6F61" w:rsidRPr="0067016D" w:rsidRDefault="007B6F61" w:rsidP="007B6F61">
      <w:pPr>
        <w:spacing w:line="240" w:lineRule="auto"/>
        <w:jc w:val="both"/>
        <w:rPr>
          <w:rFonts w:ascii="Arial" w:hAnsi="Arial" w:cs="Arial"/>
          <w:sz w:val="20"/>
          <w:szCs w:val="20"/>
        </w:rPr>
      </w:pPr>
      <w:r w:rsidRPr="0067016D">
        <w:rPr>
          <w:rFonts w:ascii="Arial" w:hAnsi="Arial" w:cs="Arial"/>
          <w:sz w:val="20"/>
          <w:szCs w:val="20"/>
        </w:rPr>
        <w:t xml:space="preserve">Les différents </w:t>
      </w:r>
      <w:r>
        <w:rPr>
          <w:rFonts w:ascii="Arial" w:hAnsi="Arial" w:cs="Arial"/>
          <w:sz w:val="20"/>
          <w:szCs w:val="20"/>
        </w:rPr>
        <w:t xml:space="preserve">axes du programme d’assistance technique </w:t>
      </w:r>
      <w:r w:rsidRPr="0067016D">
        <w:rPr>
          <w:rFonts w:ascii="Arial" w:hAnsi="Arial" w:cs="Arial"/>
          <w:sz w:val="20"/>
          <w:szCs w:val="20"/>
        </w:rPr>
        <w:t>sont les suivants</w:t>
      </w:r>
      <w:r>
        <w:rPr>
          <w:rFonts w:ascii="Arial" w:hAnsi="Arial" w:cs="Arial"/>
          <w:sz w:val="20"/>
          <w:szCs w:val="20"/>
        </w:rPr>
        <w:t xml:space="preserve">, avec pour </w:t>
      </w:r>
      <w:r w:rsidRPr="00874710">
        <w:rPr>
          <w:rFonts w:ascii="Arial" w:hAnsi="Arial" w:cs="Arial"/>
          <w:b/>
          <w:sz w:val="20"/>
          <w:szCs w:val="20"/>
        </w:rPr>
        <w:t>objectif final le verdissement des flux financiers</w:t>
      </w:r>
      <w:r>
        <w:rPr>
          <w:rFonts w:ascii="Arial" w:hAnsi="Arial" w:cs="Arial"/>
          <w:b/>
          <w:sz w:val="20"/>
          <w:szCs w:val="20"/>
        </w:rPr>
        <w:t xml:space="preserve"> en Tunisie</w:t>
      </w:r>
      <w:r w:rsidRPr="0067016D">
        <w:rPr>
          <w:rFonts w:ascii="Arial" w:hAnsi="Arial" w:cs="Arial"/>
          <w:sz w:val="20"/>
          <w:szCs w:val="20"/>
        </w:rPr>
        <w:t xml:space="preserve"> : </w:t>
      </w:r>
    </w:p>
    <w:p w14:paraId="2A5F9489" w14:textId="77777777" w:rsidR="007B6F61" w:rsidRPr="0067016D" w:rsidRDefault="007B6F61" w:rsidP="007B6F61">
      <w:pPr>
        <w:pStyle w:val="Paragraphedeliste"/>
        <w:numPr>
          <w:ilvl w:val="0"/>
          <w:numId w:val="14"/>
        </w:numPr>
        <w:spacing w:line="240" w:lineRule="auto"/>
        <w:jc w:val="both"/>
        <w:rPr>
          <w:rFonts w:ascii="Arial" w:hAnsi="Arial" w:cs="Arial"/>
          <w:sz w:val="20"/>
          <w:szCs w:val="20"/>
        </w:rPr>
      </w:pPr>
      <w:r w:rsidRPr="0067016D">
        <w:rPr>
          <w:rFonts w:ascii="Arial" w:hAnsi="Arial" w:cs="Arial"/>
          <w:b/>
          <w:sz w:val="20"/>
          <w:szCs w:val="20"/>
        </w:rPr>
        <w:t>Axe 1 :</w:t>
      </w:r>
      <w:r w:rsidRPr="00874710">
        <w:rPr>
          <w:rFonts w:ascii="Arial" w:hAnsi="Arial" w:cs="Arial"/>
          <w:b/>
          <w:sz w:val="20"/>
          <w:szCs w:val="20"/>
        </w:rPr>
        <w:t xml:space="preserve"> Sensibilisation</w:t>
      </w:r>
      <w:r w:rsidRPr="0067016D">
        <w:rPr>
          <w:rFonts w:ascii="Arial" w:hAnsi="Arial" w:cs="Arial"/>
          <w:sz w:val="20"/>
          <w:szCs w:val="20"/>
        </w:rPr>
        <w:t xml:space="preserve"> des acteurs financiers aux défis environnementaux et climatiques de la Tunisie ;</w:t>
      </w:r>
    </w:p>
    <w:p w14:paraId="2FD20863" w14:textId="77777777" w:rsidR="007B6F61" w:rsidRPr="0067016D" w:rsidRDefault="007B6F61" w:rsidP="007B6F61">
      <w:pPr>
        <w:pStyle w:val="Paragraphedeliste"/>
        <w:numPr>
          <w:ilvl w:val="0"/>
          <w:numId w:val="14"/>
        </w:numPr>
        <w:spacing w:line="240" w:lineRule="auto"/>
        <w:jc w:val="both"/>
        <w:rPr>
          <w:rFonts w:ascii="Arial" w:hAnsi="Arial" w:cs="Arial"/>
          <w:sz w:val="20"/>
          <w:szCs w:val="20"/>
        </w:rPr>
      </w:pPr>
      <w:r w:rsidRPr="0067016D">
        <w:rPr>
          <w:rFonts w:ascii="Arial" w:hAnsi="Arial" w:cs="Arial"/>
          <w:b/>
          <w:sz w:val="20"/>
          <w:szCs w:val="20"/>
        </w:rPr>
        <w:t>Axe 2 :</w:t>
      </w:r>
      <w:r>
        <w:rPr>
          <w:rFonts w:ascii="Arial" w:hAnsi="Arial" w:cs="Arial"/>
          <w:sz w:val="20"/>
          <w:szCs w:val="20"/>
        </w:rPr>
        <w:t xml:space="preserve"> Appui</w:t>
      </w:r>
      <w:r w:rsidRPr="0067016D">
        <w:rPr>
          <w:rFonts w:ascii="Arial" w:hAnsi="Arial" w:cs="Arial"/>
          <w:sz w:val="20"/>
          <w:szCs w:val="20"/>
        </w:rPr>
        <w:t xml:space="preserve"> à l’administration publique et aux acteurs concernés de l’écosystème à combler les lacunes actuelles en matière de </w:t>
      </w:r>
      <w:r w:rsidRPr="00874710">
        <w:rPr>
          <w:rFonts w:ascii="Arial" w:hAnsi="Arial" w:cs="Arial"/>
          <w:b/>
          <w:sz w:val="20"/>
          <w:szCs w:val="20"/>
        </w:rPr>
        <w:t>taxonomie dans le domaine de l’économie verte</w:t>
      </w:r>
      <w:r w:rsidRPr="0067016D">
        <w:rPr>
          <w:rFonts w:ascii="Arial" w:hAnsi="Arial" w:cs="Arial"/>
          <w:sz w:val="20"/>
          <w:szCs w:val="20"/>
        </w:rPr>
        <w:t xml:space="preserve"> et de définition et de caractérisation des principaux concepts en relation avec la finance verte ;</w:t>
      </w:r>
    </w:p>
    <w:p w14:paraId="279895C8" w14:textId="77777777" w:rsidR="007B6F61" w:rsidRPr="0067016D" w:rsidRDefault="007B6F61" w:rsidP="007B6F61">
      <w:pPr>
        <w:pStyle w:val="Paragraphedeliste"/>
        <w:numPr>
          <w:ilvl w:val="0"/>
          <w:numId w:val="14"/>
        </w:numPr>
        <w:spacing w:line="240" w:lineRule="auto"/>
        <w:jc w:val="both"/>
        <w:rPr>
          <w:rFonts w:ascii="Arial" w:hAnsi="Arial" w:cs="Arial"/>
          <w:sz w:val="20"/>
          <w:szCs w:val="20"/>
        </w:rPr>
      </w:pPr>
      <w:r w:rsidRPr="0067016D">
        <w:rPr>
          <w:rFonts w:ascii="Arial" w:hAnsi="Arial" w:cs="Arial"/>
          <w:b/>
          <w:sz w:val="20"/>
          <w:szCs w:val="20"/>
        </w:rPr>
        <w:t>Axe 3 :</w:t>
      </w:r>
      <w:r>
        <w:rPr>
          <w:rFonts w:ascii="Arial" w:hAnsi="Arial" w:cs="Arial"/>
          <w:sz w:val="20"/>
          <w:szCs w:val="20"/>
        </w:rPr>
        <w:t xml:space="preserve"> Appui</w:t>
      </w:r>
      <w:r w:rsidRPr="0067016D">
        <w:rPr>
          <w:rFonts w:ascii="Arial" w:hAnsi="Arial" w:cs="Arial"/>
          <w:sz w:val="20"/>
          <w:szCs w:val="20"/>
        </w:rPr>
        <w:t xml:space="preserve"> à la mise en œuvre de </w:t>
      </w:r>
      <w:r w:rsidRPr="00874710">
        <w:rPr>
          <w:rFonts w:ascii="Arial" w:hAnsi="Arial" w:cs="Arial"/>
          <w:b/>
          <w:sz w:val="20"/>
          <w:szCs w:val="20"/>
        </w:rPr>
        <w:t>mécanismes de financement innovants</w:t>
      </w:r>
      <w:r w:rsidRPr="0067016D">
        <w:rPr>
          <w:rFonts w:ascii="Arial" w:hAnsi="Arial" w:cs="Arial"/>
          <w:sz w:val="20"/>
          <w:szCs w:val="20"/>
        </w:rPr>
        <w:t xml:space="preserve"> adaptés aux besoins des différents acteurs de l’économie verte ;</w:t>
      </w:r>
    </w:p>
    <w:p w14:paraId="23B6EF00" w14:textId="77777777" w:rsidR="007B6F61" w:rsidRPr="0067016D" w:rsidRDefault="007B6F61" w:rsidP="007B6F61">
      <w:pPr>
        <w:pStyle w:val="Paragraphedeliste"/>
        <w:numPr>
          <w:ilvl w:val="0"/>
          <w:numId w:val="14"/>
        </w:numPr>
        <w:spacing w:line="240" w:lineRule="auto"/>
        <w:jc w:val="both"/>
        <w:rPr>
          <w:rFonts w:ascii="Arial" w:hAnsi="Arial" w:cs="Arial"/>
          <w:sz w:val="20"/>
          <w:szCs w:val="20"/>
        </w:rPr>
      </w:pPr>
      <w:r w:rsidRPr="0067016D">
        <w:rPr>
          <w:rFonts w:ascii="Arial" w:hAnsi="Arial" w:cs="Arial"/>
          <w:b/>
          <w:sz w:val="20"/>
          <w:szCs w:val="20"/>
        </w:rPr>
        <w:t>Axe 4 :</w:t>
      </w:r>
      <w:r w:rsidRPr="0067016D">
        <w:rPr>
          <w:rFonts w:ascii="Arial" w:hAnsi="Arial" w:cs="Arial"/>
          <w:sz w:val="20"/>
          <w:szCs w:val="20"/>
        </w:rPr>
        <w:t xml:space="preserve"> Renforcement des capacités des </w:t>
      </w:r>
      <w:r w:rsidRPr="00874710">
        <w:rPr>
          <w:rFonts w:ascii="Arial" w:hAnsi="Arial" w:cs="Arial"/>
          <w:b/>
          <w:sz w:val="20"/>
          <w:szCs w:val="20"/>
        </w:rPr>
        <w:t xml:space="preserve">institutions </w:t>
      </w:r>
      <w:r>
        <w:rPr>
          <w:rFonts w:ascii="Arial" w:hAnsi="Arial" w:cs="Arial"/>
          <w:b/>
          <w:sz w:val="20"/>
          <w:szCs w:val="20"/>
        </w:rPr>
        <w:t>bancaires</w:t>
      </w:r>
      <w:r w:rsidRPr="0067016D">
        <w:rPr>
          <w:rFonts w:ascii="Arial" w:hAnsi="Arial" w:cs="Arial"/>
          <w:sz w:val="20"/>
          <w:szCs w:val="20"/>
        </w:rPr>
        <w:t xml:space="preserve"> en matière</w:t>
      </w:r>
      <w:r>
        <w:rPr>
          <w:rFonts w:ascii="Arial" w:hAnsi="Arial" w:cs="Arial"/>
          <w:sz w:val="20"/>
          <w:szCs w:val="20"/>
        </w:rPr>
        <w:t xml:space="preserve"> de </w:t>
      </w:r>
      <w:r w:rsidRPr="00874710">
        <w:rPr>
          <w:rFonts w:ascii="Arial" w:hAnsi="Arial" w:cs="Arial"/>
          <w:b/>
          <w:sz w:val="20"/>
          <w:szCs w:val="20"/>
        </w:rPr>
        <w:t>SGES</w:t>
      </w:r>
      <w:r w:rsidRPr="0067016D">
        <w:rPr>
          <w:rFonts w:ascii="Arial" w:hAnsi="Arial" w:cs="Arial"/>
          <w:sz w:val="20"/>
          <w:szCs w:val="20"/>
        </w:rPr>
        <w:t xml:space="preserve"> ; </w:t>
      </w:r>
    </w:p>
    <w:p w14:paraId="3BFBA892" w14:textId="77777777" w:rsidR="007B6F61" w:rsidRDefault="007B6F61" w:rsidP="007B6F61">
      <w:pPr>
        <w:pStyle w:val="Paragraphedeliste"/>
        <w:numPr>
          <w:ilvl w:val="0"/>
          <w:numId w:val="14"/>
        </w:numPr>
        <w:spacing w:line="240" w:lineRule="auto"/>
        <w:jc w:val="both"/>
        <w:rPr>
          <w:rFonts w:ascii="Arial" w:hAnsi="Arial" w:cs="Arial"/>
          <w:sz w:val="20"/>
          <w:szCs w:val="20"/>
        </w:rPr>
      </w:pPr>
      <w:r w:rsidRPr="0067016D">
        <w:rPr>
          <w:rFonts w:ascii="Arial" w:hAnsi="Arial" w:cs="Arial"/>
          <w:b/>
          <w:sz w:val="20"/>
          <w:szCs w:val="20"/>
        </w:rPr>
        <w:t>Axe 5 :</w:t>
      </w:r>
      <w:r>
        <w:rPr>
          <w:rFonts w:ascii="Arial" w:hAnsi="Arial" w:cs="Arial"/>
          <w:sz w:val="20"/>
          <w:szCs w:val="20"/>
        </w:rPr>
        <w:t xml:space="preserve"> Accompagnement du</w:t>
      </w:r>
      <w:r w:rsidRPr="0067016D">
        <w:rPr>
          <w:rFonts w:ascii="Arial" w:hAnsi="Arial" w:cs="Arial"/>
          <w:sz w:val="20"/>
          <w:szCs w:val="20"/>
        </w:rPr>
        <w:t xml:space="preserve"> développement d'une </w:t>
      </w:r>
      <w:r w:rsidRPr="00874710">
        <w:rPr>
          <w:rFonts w:ascii="Arial" w:hAnsi="Arial" w:cs="Arial"/>
          <w:b/>
          <w:sz w:val="20"/>
          <w:szCs w:val="20"/>
        </w:rPr>
        <w:t>fiscalité environnementale tunisienne</w:t>
      </w:r>
      <w:r w:rsidRPr="0067016D">
        <w:rPr>
          <w:rFonts w:ascii="Arial" w:hAnsi="Arial" w:cs="Arial"/>
          <w:sz w:val="20"/>
          <w:szCs w:val="20"/>
        </w:rPr>
        <w:t xml:space="preserve">. </w:t>
      </w:r>
    </w:p>
    <w:p w14:paraId="407EAD26" w14:textId="77777777" w:rsidR="007B6F61" w:rsidRPr="00451421" w:rsidRDefault="007B6F61" w:rsidP="007B6F61">
      <w:pPr>
        <w:pStyle w:val="Paragraphedeliste"/>
        <w:spacing w:line="240" w:lineRule="auto"/>
        <w:jc w:val="both"/>
        <w:rPr>
          <w:rFonts w:ascii="Arial" w:hAnsi="Arial" w:cs="Arial"/>
          <w:sz w:val="20"/>
          <w:szCs w:val="20"/>
        </w:rPr>
      </w:pPr>
    </w:p>
    <w:p w14:paraId="56C568EA" w14:textId="77777777" w:rsidR="007B6F61" w:rsidRPr="00433B7A" w:rsidRDefault="002F5730" w:rsidP="007B6F61">
      <w:pPr>
        <w:pStyle w:val="Paragraphedeliste"/>
        <w:numPr>
          <w:ilvl w:val="0"/>
          <w:numId w:val="18"/>
        </w:numPr>
        <w:jc w:val="both"/>
        <w:rPr>
          <w:rFonts w:ascii="Arial" w:eastAsia="Times New Roman" w:hAnsi="Arial" w:cs="Arial"/>
          <w:b/>
          <w:color w:val="6E6E6E"/>
          <w:sz w:val="20"/>
          <w:szCs w:val="20"/>
        </w:rPr>
      </w:pPr>
      <w:r>
        <w:rPr>
          <w:rFonts w:ascii="Arial" w:eastAsia="Times New Roman" w:hAnsi="Arial" w:cs="Arial"/>
          <w:b/>
          <w:color w:val="6E6E6E"/>
          <w:sz w:val="20"/>
          <w:szCs w:val="20"/>
        </w:rPr>
        <w:t xml:space="preserve">Présentation de l’axe 5 « Fiscalité Environnementale » </w:t>
      </w:r>
    </w:p>
    <w:p w14:paraId="6E56B83D" w14:textId="0116BF3F" w:rsidR="007B6F61" w:rsidRDefault="007B6F61" w:rsidP="007B6F61">
      <w:pPr>
        <w:spacing w:line="240" w:lineRule="auto"/>
        <w:jc w:val="both"/>
        <w:rPr>
          <w:rFonts w:ascii="Arial" w:hAnsi="Arial" w:cs="Arial"/>
          <w:sz w:val="20"/>
          <w:szCs w:val="20"/>
        </w:rPr>
      </w:pPr>
      <w:r w:rsidRPr="0067016D">
        <w:rPr>
          <w:rFonts w:ascii="Arial" w:hAnsi="Arial" w:cs="Arial"/>
          <w:sz w:val="20"/>
          <w:szCs w:val="20"/>
        </w:rPr>
        <w:t xml:space="preserve">La présente mission s’inscrit dans </w:t>
      </w:r>
      <w:r w:rsidRPr="0083256A">
        <w:rPr>
          <w:rFonts w:ascii="Arial" w:hAnsi="Arial" w:cs="Arial"/>
          <w:b/>
          <w:sz w:val="20"/>
          <w:szCs w:val="20"/>
        </w:rPr>
        <w:t xml:space="preserve">l’axe </w:t>
      </w:r>
      <w:r w:rsidR="002F5730">
        <w:rPr>
          <w:rFonts w:ascii="Arial" w:hAnsi="Arial" w:cs="Arial"/>
          <w:b/>
          <w:sz w:val="20"/>
          <w:szCs w:val="20"/>
        </w:rPr>
        <w:t xml:space="preserve">5 – faciliter le développement d’une fiscalité environnementale en Tunisie. </w:t>
      </w:r>
    </w:p>
    <w:p w14:paraId="57C791DD" w14:textId="6BE17E96" w:rsidR="004D3B63" w:rsidRDefault="00987E56" w:rsidP="007B6F61">
      <w:pPr>
        <w:spacing w:line="240" w:lineRule="auto"/>
        <w:jc w:val="both"/>
        <w:rPr>
          <w:rFonts w:ascii="Arial" w:hAnsi="Arial" w:cs="Arial"/>
          <w:sz w:val="20"/>
          <w:szCs w:val="20"/>
        </w:rPr>
      </w:pPr>
      <w:r>
        <w:rPr>
          <w:rFonts w:ascii="Arial" w:hAnsi="Arial" w:cs="Arial"/>
          <w:sz w:val="20"/>
          <w:szCs w:val="20"/>
        </w:rPr>
        <w:lastRenderedPageBreak/>
        <w:t xml:space="preserve">La </w:t>
      </w:r>
      <w:r w:rsidRPr="00987E56">
        <w:rPr>
          <w:rFonts w:ascii="Arial" w:hAnsi="Arial" w:cs="Arial"/>
          <w:b/>
          <w:sz w:val="20"/>
          <w:szCs w:val="20"/>
        </w:rPr>
        <w:t>fiscalité environnementale</w:t>
      </w:r>
      <w:r w:rsidR="004D3B63">
        <w:rPr>
          <w:rStyle w:val="Appelnotedebasdep"/>
          <w:rFonts w:ascii="Arial" w:hAnsi="Arial" w:cs="Arial"/>
          <w:b/>
          <w:sz w:val="20"/>
          <w:szCs w:val="20"/>
        </w:rPr>
        <w:footnoteReference w:id="2"/>
      </w:r>
      <w:r>
        <w:rPr>
          <w:rFonts w:ascii="Arial" w:hAnsi="Arial" w:cs="Arial"/>
          <w:sz w:val="20"/>
          <w:szCs w:val="20"/>
        </w:rPr>
        <w:t xml:space="preserve">, </w:t>
      </w:r>
      <w:r w:rsidR="004D3B63">
        <w:rPr>
          <w:rFonts w:ascii="Arial" w:hAnsi="Arial" w:cs="Arial"/>
          <w:sz w:val="20"/>
          <w:szCs w:val="20"/>
        </w:rPr>
        <w:t>entendue</w:t>
      </w:r>
      <w:r>
        <w:rPr>
          <w:rFonts w:ascii="Arial" w:hAnsi="Arial" w:cs="Arial"/>
          <w:sz w:val="20"/>
          <w:szCs w:val="20"/>
        </w:rPr>
        <w:t xml:space="preserve"> comme </w:t>
      </w:r>
      <w:r w:rsidRPr="00FF0C43">
        <w:rPr>
          <w:rFonts w:ascii="Arial" w:hAnsi="Arial" w:cs="Arial"/>
          <w:i/>
          <w:sz w:val="20"/>
          <w:szCs w:val="20"/>
        </w:rPr>
        <w:t>l’ensemble des impôts, taxes et redevances dont l’assiette est constituée par un polluant, un produit ou un service ayant un impact négatif sur l’environnement ou exploitant une ressource naturelle</w:t>
      </w:r>
      <w:r>
        <w:rPr>
          <w:rFonts w:ascii="Arial" w:hAnsi="Arial" w:cs="Arial"/>
          <w:sz w:val="20"/>
          <w:szCs w:val="20"/>
        </w:rPr>
        <w:t xml:space="preserve">, constitue aujourd’hui un levier reconnu pour </w:t>
      </w:r>
      <w:r w:rsidR="004D3B63">
        <w:rPr>
          <w:rFonts w:ascii="Arial" w:hAnsi="Arial" w:cs="Arial"/>
          <w:sz w:val="20"/>
          <w:szCs w:val="20"/>
        </w:rPr>
        <w:t xml:space="preserve">orienter les comportements économiques et sociaux vers des pratiques plus durables. </w:t>
      </w:r>
    </w:p>
    <w:p w14:paraId="6219D8DB" w14:textId="2A88CB90" w:rsidR="006867C2" w:rsidRDefault="0046159A" w:rsidP="007B6F61">
      <w:pPr>
        <w:spacing w:line="240" w:lineRule="auto"/>
        <w:jc w:val="both"/>
        <w:rPr>
          <w:rFonts w:ascii="Arial" w:hAnsi="Arial" w:cs="Arial"/>
          <w:sz w:val="20"/>
          <w:szCs w:val="20"/>
        </w:rPr>
      </w:pPr>
      <w:r>
        <w:rPr>
          <w:rFonts w:ascii="Arial" w:hAnsi="Arial" w:cs="Arial"/>
          <w:sz w:val="20"/>
          <w:szCs w:val="20"/>
        </w:rPr>
        <w:t xml:space="preserve">Par souci de simplification, nous déclinons ici les mécanismes de la fiscalité environnementale en trois grandes catégories : </w:t>
      </w:r>
      <w:r w:rsidR="006867C2">
        <w:rPr>
          <w:rFonts w:ascii="Arial" w:hAnsi="Arial" w:cs="Arial"/>
          <w:sz w:val="20"/>
          <w:szCs w:val="20"/>
        </w:rPr>
        <w:t xml:space="preserve">(i) </w:t>
      </w:r>
      <w:r w:rsidRPr="006867C2">
        <w:rPr>
          <w:rFonts w:ascii="Arial" w:hAnsi="Arial" w:cs="Arial"/>
          <w:b/>
          <w:sz w:val="20"/>
          <w:szCs w:val="20"/>
        </w:rPr>
        <w:t>les dispositifs dissuasifs,</w:t>
      </w:r>
      <w:r>
        <w:rPr>
          <w:rFonts w:ascii="Arial" w:hAnsi="Arial" w:cs="Arial"/>
          <w:sz w:val="20"/>
          <w:szCs w:val="20"/>
        </w:rPr>
        <w:t xml:space="preserve"> </w:t>
      </w:r>
      <w:r w:rsidR="006867C2">
        <w:rPr>
          <w:rFonts w:ascii="Arial" w:hAnsi="Arial" w:cs="Arial"/>
          <w:sz w:val="20"/>
          <w:szCs w:val="20"/>
        </w:rPr>
        <w:t xml:space="preserve">(ii) </w:t>
      </w:r>
      <w:r w:rsidR="004679A9">
        <w:rPr>
          <w:rFonts w:ascii="Arial" w:hAnsi="Arial" w:cs="Arial"/>
          <w:b/>
          <w:sz w:val="20"/>
          <w:szCs w:val="20"/>
        </w:rPr>
        <w:t xml:space="preserve">les dispositifs incitatifs </w:t>
      </w:r>
      <w:r w:rsidR="004679A9">
        <w:rPr>
          <w:rFonts w:ascii="Arial" w:hAnsi="Arial" w:cs="Arial"/>
          <w:sz w:val="20"/>
          <w:szCs w:val="20"/>
        </w:rPr>
        <w:t xml:space="preserve">et </w:t>
      </w:r>
      <w:r w:rsidR="006867C2">
        <w:rPr>
          <w:rFonts w:ascii="Arial" w:hAnsi="Arial" w:cs="Arial"/>
          <w:sz w:val="20"/>
          <w:szCs w:val="20"/>
        </w:rPr>
        <w:t xml:space="preserve">(iii) les </w:t>
      </w:r>
      <w:r w:rsidR="006867C2" w:rsidRPr="004679A9">
        <w:rPr>
          <w:rFonts w:ascii="Arial" w:hAnsi="Arial" w:cs="Arial"/>
          <w:b/>
          <w:sz w:val="20"/>
          <w:szCs w:val="20"/>
        </w:rPr>
        <w:t>dispositifs mixtes</w:t>
      </w:r>
      <w:r w:rsidR="006867C2">
        <w:rPr>
          <w:rFonts w:ascii="Arial" w:hAnsi="Arial" w:cs="Arial"/>
          <w:sz w:val="20"/>
          <w:szCs w:val="20"/>
        </w:rPr>
        <w:t> :</w:t>
      </w:r>
    </w:p>
    <w:p w14:paraId="78C1034F" w14:textId="02B3030B" w:rsidR="006867C2" w:rsidRDefault="006867C2" w:rsidP="006867C2">
      <w:pPr>
        <w:pStyle w:val="Paragraphedeliste"/>
        <w:numPr>
          <w:ilvl w:val="0"/>
          <w:numId w:val="21"/>
        </w:numPr>
        <w:spacing w:line="240" w:lineRule="auto"/>
        <w:jc w:val="both"/>
        <w:rPr>
          <w:rFonts w:ascii="Arial" w:hAnsi="Arial" w:cs="Arial"/>
          <w:sz w:val="20"/>
          <w:szCs w:val="20"/>
        </w:rPr>
      </w:pPr>
      <w:r>
        <w:rPr>
          <w:rFonts w:ascii="Arial" w:hAnsi="Arial" w:cs="Arial"/>
          <w:sz w:val="20"/>
          <w:szCs w:val="20"/>
        </w:rPr>
        <w:t xml:space="preserve">Les </w:t>
      </w:r>
      <w:r w:rsidRPr="006867C2">
        <w:rPr>
          <w:rFonts w:ascii="Arial" w:hAnsi="Arial" w:cs="Arial"/>
          <w:b/>
          <w:sz w:val="20"/>
          <w:szCs w:val="20"/>
        </w:rPr>
        <w:t>dispositifs dissuasifs</w:t>
      </w:r>
      <w:r>
        <w:rPr>
          <w:rFonts w:ascii="Arial" w:hAnsi="Arial" w:cs="Arial"/>
          <w:sz w:val="20"/>
          <w:szCs w:val="20"/>
        </w:rPr>
        <w:t xml:space="preserve">, également appelés écotaxes ou taxes </w:t>
      </w:r>
      <w:proofErr w:type="spellStart"/>
      <w:r>
        <w:rPr>
          <w:rFonts w:ascii="Arial" w:hAnsi="Arial" w:cs="Arial"/>
          <w:sz w:val="20"/>
          <w:szCs w:val="20"/>
        </w:rPr>
        <w:t>pigouviennes</w:t>
      </w:r>
      <w:proofErr w:type="spellEnd"/>
      <w:r>
        <w:rPr>
          <w:rFonts w:ascii="Arial" w:hAnsi="Arial" w:cs="Arial"/>
          <w:sz w:val="20"/>
          <w:szCs w:val="20"/>
        </w:rPr>
        <w:t>, consistent en des prélèvements obligatoires, sans contrepartie directe, appliquée à des produits ou activités polluants. Leur objectif est de renchérir le coût des comportements nuisibles à l’environnement afin d’en décourager la pratique ;</w:t>
      </w:r>
    </w:p>
    <w:p w14:paraId="288868AE" w14:textId="694E3FBE" w:rsidR="006867C2" w:rsidRDefault="006867C2" w:rsidP="006867C2">
      <w:pPr>
        <w:pStyle w:val="Paragraphedeliste"/>
        <w:numPr>
          <w:ilvl w:val="0"/>
          <w:numId w:val="21"/>
        </w:numPr>
        <w:spacing w:line="240" w:lineRule="auto"/>
        <w:jc w:val="both"/>
        <w:rPr>
          <w:rFonts w:ascii="Arial" w:hAnsi="Arial" w:cs="Arial"/>
          <w:sz w:val="20"/>
          <w:szCs w:val="20"/>
        </w:rPr>
      </w:pPr>
      <w:r>
        <w:rPr>
          <w:rFonts w:ascii="Arial" w:hAnsi="Arial" w:cs="Arial"/>
          <w:sz w:val="20"/>
          <w:szCs w:val="20"/>
        </w:rPr>
        <w:t xml:space="preserve">Les </w:t>
      </w:r>
      <w:r w:rsidRPr="006867C2">
        <w:rPr>
          <w:rFonts w:ascii="Arial" w:hAnsi="Arial" w:cs="Arial"/>
          <w:b/>
          <w:sz w:val="20"/>
          <w:szCs w:val="20"/>
        </w:rPr>
        <w:t>dispositifs incitatifs</w:t>
      </w:r>
      <w:r>
        <w:rPr>
          <w:rFonts w:ascii="Arial" w:hAnsi="Arial" w:cs="Arial"/>
          <w:sz w:val="20"/>
          <w:szCs w:val="20"/>
        </w:rPr>
        <w:t xml:space="preserve"> reposent sur des mesures dites positives, destinées à encourager les comportements favorables à l’environnement. Ils prennent la forme d’avantage fiscaux tels que : des exonérations d’</w:t>
      </w:r>
      <w:r w:rsidR="004679A9">
        <w:rPr>
          <w:rFonts w:ascii="Arial" w:hAnsi="Arial" w:cs="Arial"/>
          <w:sz w:val="20"/>
          <w:szCs w:val="20"/>
        </w:rPr>
        <w:t xml:space="preserve">impôt, des déductions fiscales ou </w:t>
      </w:r>
      <w:r>
        <w:rPr>
          <w:rFonts w:ascii="Arial" w:hAnsi="Arial" w:cs="Arial"/>
          <w:sz w:val="20"/>
          <w:szCs w:val="20"/>
        </w:rPr>
        <w:t xml:space="preserve">des crédits d’impôt en faveur des investissements écologiques ; </w:t>
      </w:r>
    </w:p>
    <w:p w14:paraId="071DF23F" w14:textId="1F9F6774" w:rsidR="006867C2" w:rsidRPr="00B065A8" w:rsidRDefault="006867C2" w:rsidP="006867C2">
      <w:pPr>
        <w:pStyle w:val="Paragraphedeliste"/>
        <w:numPr>
          <w:ilvl w:val="0"/>
          <w:numId w:val="21"/>
        </w:numPr>
        <w:spacing w:line="240" w:lineRule="auto"/>
        <w:jc w:val="both"/>
        <w:rPr>
          <w:rFonts w:ascii="Arial" w:hAnsi="Arial" w:cs="Arial"/>
          <w:b/>
          <w:sz w:val="20"/>
          <w:szCs w:val="20"/>
        </w:rPr>
      </w:pPr>
      <w:r>
        <w:rPr>
          <w:rFonts w:ascii="Arial" w:hAnsi="Arial" w:cs="Arial"/>
          <w:sz w:val="20"/>
          <w:szCs w:val="20"/>
        </w:rPr>
        <w:t xml:space="preserve">Les </w:t>
      </w:r>
      <w:r w:rsidRPr="006867C2">
        <w:rPr>
          <w:rFonts w:ascii="Arial" w:hAnsi="Arial" w:cs="Arial"/>
          <w:b/>
          <w:sz w:val="20"/>
          <w:szCs w:val="20"/>
        </w:rPr>
        <w:t xml:space="preserve">dispositifs mixtes </w:t>
      </w:r>
      <w:r>
        <w:rPr>
          <w:rFonts w:ascii="Arial" w:hAnsi="Arial" w:cs="Arial"/>
          <w:sz w:val="20"/>
          <w:szCs w:val="20"/>
        </w:rPr>
        <w:t>combinent des mesures dissuasives et incitatives, selon le principe du bonus</w:t>
      </w:r>
      <w:r w:rsidR="00773B88">
        <w:rPr>
          <w:rFonts w:ascii="Arial" w:hAnsi="Arial" w:cs="Arial"/>
          <w:sz w:val="20"/>
          <w:szCs w:val="20"/>
        </w:rPr>
        <w:t xml:space="preserve">-malus. Ce système vise à moduler la fiscalité en fonction du niveau d’impact environnemental : il pénalise les comportements polluants tout en récompensant les pratiques vertueuses. </w:t>
      </w:r>
    </w:p>
    <w:p w14:paraId="1FFF4AC2" w14:textId="6C3D3733" w:rsidR="00B065A8" w:rsidRPr="00693A24" w:rsidRDefault="00B065A8" w:rsidP="00B065A8">
      <w:pPr>
        <w:spacing w:line="240" w:lineRule="auto"/>
        <w:jc w:val="both"/>
        <w:rPr>
          <w:rFonts w:ascii="Arial" w:hAnsi="Arial" w:cs="Arial"/>
          <w:sz w:val="20"/>
          <w:szCs w:val="20"/>
        </w:rPr>
      </w:pPr>
      <w:r>
        <w:rPr>
          <w:rFonts w:ascii="Arial" w:hAnsi="Arial" w:cs="Arial"/>
          <w:sz w:val="20"/>
          <w:szCs w:val="20"/>
        </w:rPr>
        <w:t>En Tunisie, les instruments dissuasifs de la fiscalité environnementale reposent principalement sur l’instauration de taxes (exemple : taxe pour la protection de l’environnement</w:t>
      </w:r>
      <w:r>
        <w:rPr>
          <w:rStyle w:val="Appelnotedebasdep"/>
          <w:rFonts w:ascii="Arial" w:hAnsi="Arial" w:cs="Arial"/>
          <w:sz w:val="20"/>
          <w:szCs w:val="20"/>
        </w:rPr>
        <w:footnoteReference w:id="3"/>
      </w:r>
      <w:r w:rsidR="00622D13">
        <w:rPr>
          <w:rFonts w:ascii="Arial" w:hAnsi="Arial" w:cs="Arial"/>
          <w:sz w:val="20"/>
          <w:szCs w:val="20"/>
        </w:rPr>
        <w:t>, taxe sur les produits énergétiques)</w:t>
      </w:r>
      <w:r>
        <w:rPr>
          <w:rFonts w:ascii="Arial" w:hAnsi="Arial" w:cs="Arial"/>
          <w:sz w:val="20"/>
          <w:szCs w:val="20"/>
        </w:rPr>
        <w:t xml:space="preserve"> dont les recettes sont affectées à des fonds et comptes spéciaux du trésor.</w:t>
      </w:r>
      <w:r w:rsidR="00622D13">
        <w:rPr>
          <w:rFonts w:ascii="Arial" w:hAnsi="Arial" w:cs="Arial"/>
          <w:sz w:val="20"/>
          <w:szCs w:val="20"/>
        </w:rPr>
        <w:t xml:space="preserve"> Ces recettes alimentent notamment le Fonds de dépollution, le Fonds pour la protection et l’esthétique de </w:t>
      </w:r>
      <w:r w:rsidR="00622D13" w:rsidRPr="00693A24">
        <w:rPr>
          <w:rFonts w:ascii="Arial" w:hAnsi="Arial" w:cs="Arial"/>
          <w:sz w:val="20"/>
          <w:szCs w:val="20"/>
        </w:rPr>
        <w:t xml:space="preserve">l’environnement ainsi que le Fonds de transition énergétique. </w:t>
      </w:r>
      <w:r w:rsidRPr="00693A24">
        <w:rPr>
          <w:rFonts w:ascii="Arial" w:hAnsi="Arial" w:cs="Arial"/>
          <w:sz w:val="20"/>
          <w:szCs w:val="20"/>
        </w:rPr>
        <w:t xml:space="preserve"> </w:t>
      </w:r>
    </w:p>
    <w:p w14:paraId="030B3638" w14:textId="376E71EA" w:rsidR="00880F1B" w:rsidRDefault="004B327B" w:rsidP="00873438">
      <w:pPr>
        <w:spacing w:line="240" w:lineRule="auto"/>
        <w:jc w:val="both"/>
        <w:rPr>
          <w:rFonts w:ascii="Arial" w:hAnsi="Arial" w:cs="Arial"/>
          <w:sz w:val="20"/>
          <w:szCs w:val="20"/>
        </w:rPr>
      </w:pPr>
      <w:r w:rsidRPr="00693A24">
        <w:rPr>
          <w:rFonts w:ascii="Arial" w:hAnsi="Arial" w:cs="Arial"/>
          <w:sz w:val="20"/>
          <w:szCs w:val="20"/>
        </w:rPr>
        <w:t>Ces dernières années, les lois de finances en Tunisie</w:t>
      </w:r>
      <w:r w:rsidR="005377FC" w:rsidRPr="00693A24">
        <w:rPr>
          <w:rStyle w:val="Appelnotedebasdep"/>
          <w:rFonts w:ascii="Arial" w:hAnsi="Arial" w:cs="Arial"/>
          <w:sz w:val="20"/>
          <w:szCs w:val="20"/>
        </w:rPr>
        <w:footnoteReference w:id="4"/>
      </w:r>
      <w:r w:rsidRPr="00693A24">
        <w:rPr>
          <w:rFonts w:ascii="Arial" w:hAnsi="Arial" w:cs="Arial"/>
          <w:sz w:val="20"/>
          <w:szCs w:val="20"/>
        </w:rPr>
        <w:t xml:space="preserve"> ont </w:t>
      </w:r>
      <w:r w:rsidR="004679A9" w:rsidRPr="00693A24">
        <w:rPr>
          <w:rFonts w:ascii="Arial" w:hAnsi="Arial" w:cs="Arial"/>
          <w:sz w:val="20"/>
          <w:szCs w:val="20"/>
        </w:rPr>
        <w:t>donc commencé</w:t>
      </w:r>
      <w:r w:rsidRPr="00693A24">
        <w:rPr>
          <w:rFonts w:ascii="Arial" w:hAnsi="Arial" w:cs="Arial"/>
          <w:sz w:val="20"/>
          <w:szCs w:val="20"/>
        </w:rPr>
        <w:t xml:space="preserve"> à intégrer certaines mesures à visée écologique, traduisant une volonté de mobiliser la fiscalité comme un outil de promotion de la croissance verte et de soutien à la transition énergétique. </w:t>
      </w:r>
    </w:p>
    <w:p w14:paraId="2314F41A" w14:textId="02423024" w:rsidR="00873438" w:rsidRDefault="00873438" w:rsidP="00873438">
      <w:pPr>
        <w:spacing w:line="240" w:lineRule="auto"/>
        <w:jc w:val="both"/>
        <w:rPr>
          <w:rFonts w:ascii="Arial" w:hAnsi="Arial" w:cs="Arial"/>
          <w:sz w:val="20"/>
          <w:szCs w:val="20"/>
        </w:rPr>
      </w:pPr>
      <w:r>
        <w:rPr>
          <w:rFonts w:ascii="Arial" w:hAnsi="Arial" w:cs="Arial"/>
          <w:sz w:val="20"/>
          <w:szCs w:val="20"/>
        </w:rPr>
        <w:t xml:space="preserve">Néanmoins, bien que des avancées aient été accomplies en matière de fiscalité environnementale, celles-ci demeurent perfectibles et gagneraient à être consolidées dans le cadre d’une démarche plus structurée et cohérente. A ce jour, la Tunisie ne s’est pas encore </w:t>
      </w:r>
      <w:r w:rsidR="00693A24">
        <w:rPr>
          <w:rFonts w:ascii="Arial" w:hAnsi="Arial" w:cs="Arial"/>
          <w:sz w:val="20"/>
          <w:szCs w:val="20"/>
        </w:rPr>
        <w:t xml:space="preserve">dotée d’un dispositif intégré de fiscalité écologique, ni d’une politique fiscale environnementale pleinement envisagée comme un levier central de préservation de l’environnementale. Par ailleurs, la diversité des mécanismes fiscaux existants, bien qu’elle reflète une volonté d’action, peut en complexifier l’appropriation par les acteurs économiques et nuire à la lisibilité du système. </w:t>
      </w:r>
    </w:p>
    <w:p w14:paraId="6F22A93E" w14:textId="4D8E5502" w:rsidR="0046159A" w:rsidRDefault="0046159A" w:rsidP="00880F1B">
      <w:pPr>
        <w:spacing w:line="240" w:lineRule="auto"/>
        <w:jc w:val="both"/>
        <w:rPr>
          <w:rFonts w:ascii="Arial" w:hAnsi="Arial" w:cs="Arial"/>
          <w:sz w:val="20"/>
        </w:rPr>
      </w:pPr>
      <w:r>
        <w:rPr>
          <w:rFonts w:ascii="Arial" w:hAnsi="Arial" w:cs="Arial"/>
          <w:sz w:val="20"/>
          <w:szCs w:val="20"/>
        </w:rPr>
        <w:t>Dans cette perspective et afin de structurer un cadre de fiscalité</w:t>
      </w:r>
      <w:r w:rsidR="00131F81">
        <w:rPr>
          <w:rFonts w:ascii="Arial" w:hAnsi="Arial" w:cs="Arial"/>
          <w:sz w:val="20"/>
          <w:szCs w:val="20"/>
        </w:rPr>
        <w:t xml:space="preserve"> environnementale plus cohérent en Tunisie, la DGELF </w:t>
      </w:r>
      <w:r w:rsidR="00131F81" w:rsidRPr="00131F81">
        <w:rPr>
          <w:rFonts w:ascii="Arial" w:hAnsi="Arial" w:cs="Arial"/>
          <w:i/>
          <w:sz w:val="20"/>
          <w:szCs w:val="20"/>
        </w:rPr>
        <w:t>(Direction Générale des Etudes et de la Législation Fiscale)</w:t>
      </w:r>
      <w:r w:rsidR="00131F81">
        <w:rPr>
          <w:rFonts w:ascii="Arial" w:hAnsi="Arial" w:cs="Arial"/>
          <w:sz w:val="20"/>
          <w:szCs w:val="20"/>
        </w:rPr>
        <w:t xml:space="preserve"> </w:t>
      </w:r>
      <w:r w:rsidR="006867C2">
        <w:rPr>
          <w:rFonts w:ascii="Arial" w:hAnsi="Arial" w:cs="Arial"/>
          <w:sz w:val="20"/>
          <w:szCs w:val="20"/>
        </w:rPr>
        <w:t xml:space="preserve">envisage d’introduire progressivement une taxe carbone dans le cadre de la loi de finances 2026. Cette initiative s’inscrirait dans une logique dissuasive </w:t>
      </w:r>
      <w:r w:rsidR="006867C2" w:rsidRPr="006867C2">
        <w:rPr>
          <w:rFonts w:ascii="Arial" w:hAnsi="Arial" w:cs="Arial"/>
          <w:i/>
          <w:sz w:val="20"/>
          <w:szCs w:val="20"/>
        </w:rPr>
        <w:t>(</w:t>
      </w:r>
      <w:proofErr w:type="spellStart"/>
      <w:proofErr w:type="gramStart"/>
      <w:r w:rsidR="006867C2">
        <w:rPr>
          <w:rFonts w:ascii="Arial" w:hAnsi="Arial" w:cs="Arial"/>
          <w:i/>
          <w:sz w:val="20"/>
          <w:szCs w:val="20"/>
        </w:rPr>
        <w:t>cf.supra</w:t>
      </w:r>
      <w:proofErr w:type="spellEnd"/>
      <w:proofErr w:type="gramEnd"/>
      <w:r w:rsidR="006867C2">
        <w:rPr>
          <w:rFonts w:ascii="Arial" w:hAnsi="Arial" w:cs="Arial"/>
          <w:i/>
          <w:sz w:val="20"/>
          <w:szCs w:val="20"/>
        </w:rPr>
        <w:t xml:space="preserve">), </w:t>
      </w:r>
      <w:r w:rsidR="006867C2">
        <w:rPr>
          <w:rFonts w:ascii="Arial" w:hAnsi="Arial" w:cs="Arial"/>
          <w:sz w:val="20"/>
          <w:szCs w:val="20"/>
        </w:rPr>
        <w:t xml:space="preserve">conforme aux principes des écotaxes, en visant à internaliser les coûts environnementaux des émissions de gaz à effet de serre. </w:t>
      </w:r>
      <w:r w:rsidR="008B4B99">
        <w:rPr>
          <w:rFonts w:ascii="Arial" w:hAnsi="Arial" w:cs="Arial"/>
          <w:sz w:val="20"/>
          <w:szCs w:val="20"/>
        </w:rPr>
        <w:t xml:space="preserve">Le but de cette taxe serait ainsi de regrouper les différentes taxes environnementales en une taxe carbone unique, pour </w:t>
      </w:r>
      <w:r w:rsidR="00F74918">
        <w:rPr>
          <w:rFonts w:ascii="Arial" w:hAnsi="Arial" w:cs="Arial"/>
          <w:sz w:val="20"/>
          <w:szCs w:val="20"/>
        </w:rPr>
        <w:t xml:space="preserve">plus de clarté et d’efficacité </w:t>
      </w:r>
      <w:r w:rsidR="00F74918">
        <w:rPr>
          <w:rFonts w:ascii="Arial" w:hAnsi="Arial" w:cs="Arial"/>
          <w:sz w:val="20"/>
        </w:rPr>
        <w:t xml:space="preserve">en les adaptant pour répondre d’autant mieux aux enjeux </w:t>
      </w:r>
      <w:r w:rsidR="00BF1C97">
        <w:rPr>
          <w:rFonts w:ascii="Arial" w:hAnsi="Arial" w:cs="Arial"/>
          <w:sz w:val="20"/>
        </w:rPr>
        <w:t xml:space="preserve">et aux engagements </w:t>
      </w:r>
      <w:r w:rsidR="00F74918">
        <w:rPr>
          <w:rFonts w:ascii="Arial" w:hAnsi="Arial" w:cs="Arial"/>
          <w:sz w:val="20"/>
        </w:rPr>
        <w:t>économiques (compétitifs avec le MACF) et climatiques de la Tunisie</w:t>
      </w:r>
      <w:r w:rsidR="00F74918" w:rsidRPr="008416A3">
        <w:rPr>
          <w:rFonts w:ascii="Arial" w:hAnsi="Arial" w:cs="Arial"/>
          <w:sz w:val="20"/>
        </w:rPr>
        <w:t>.</w:t>
      </w:r>
    </w:p>
    <w:p w14:paraId="6C84DE19" w14:textId="40495D91" w:rsidR="00F232B3" w:rsidRDefault="00F232B3" w:rsidP="00880F1B">
      <w:pPr>
        <w:spacing w:line="240" w:lineRule="auto"/>
        <w:jc w:val="both"/>
        <w:rPr>
          <w:rFonts w:ascii="Arial" w:hAnsi="Arial" w:cs="Arial"/>
          <w:sz w:val="20"/>
        </w:rPr>
      </w:pPr>
    </w:p>
    <w:p w14:paraId="5BAE2B75" w14:textId="0BBB11B7" w:rsidR="00C90874" w:rsidRDefault="00C90874" w:rsidP="00880F1B">
      <w:pPr>
        <w:spacing w:line="240" w:lineRule="auto"/>
        <w:jc w:val="both"/>
        <w:rPr>
          <w:rFonts w:ascii="Arial" w:hAnsi="Arial" w:cs="Arial"/>
          <w:sz w:val="20"/>
        </w:rPr>
      </w:pPr>
    </w:p>
    <w:p w14:paraId="22A34970" w14:textId="6D450AC0" w:rsidR="00C90874" w:rsidRDefault="00C90874" w:rsidP="00880F1B">
      <w:pPr>
        <w:spacing w:line="240" w:lineRule="auto"/>
        <w:jc w:val="both"/>
        <w:rPr>
          <w:rFonts w:ascii="Arial" w:hAnsi="Arial" w:cs="Arial"/>
          <w:sz w:val="20"/>
        </w:rPr>
      </w:pPr>
    </w:p>
    <w:p w14:paraId="0CBA6961" w14:textId="66696B01" w:rsidR="00C90874" w:rsidRDefault="00C90874" w:rsidP="00880F1B">
      <w:pPr>
        <w:spacing w:line="240" w:lineRule="auto"/>
        <w:jc w:val="both"/>
        <w:rPr>
          <w:rFonts w:ascii="Arial" w:hAnsi="Arial" w:cs="Arial"/>
          <w:sz w:val="20"/>
        </w:rPr>
      </w:pPr>
    </w:p>
    <w:p w14:paraId="5BA588AE" w14:textId="77777777" w:rsidR="00C90874" w:rsidRPr="00B10411" w:rsidRDefault="00C90874" w:rsidP="00880F1B">
      <w:pPr>
        <w:spacing w:line="240" w:lineRule="auto"/>
        <w:jc w:val="both"/>
        <w:rPr>
          <w:rFonts w:ascii="Arial" w:hAnsi="Arial" w:cs="Arial"/>
          <w:sz w:val="20"/>
        </w:rPr>
      </w:pPr>
      <w:r w:rsidRPr="00B10411">
        <w:rPr>
          <w:rFonts w:ascii="Arial" w:hAnsi="Arial" w:cs="Arial"/>
          <w:sz w:val="20"/>
        </w:rPr>
        <w:t xml:space="preserve">En outre, la mise en place d’une taxe carbone en Tunisie poursuit plusieurs objectifs stratégiques : </w:t>
      </w:r>
    </w:p>
    <w:p w14:paraId="753AEB1D" w14:textId="5BE9D860" w:rsidR="00C90874" w:rsidRPr="00B10411" w:rsidRDefault="00C90874" w:rsidP="00E03BE2">
      <w:pPr>
        <w:pStyle w:val="Paragraphedeliste"/>
        <w:numPr>
          <w:ilvl w:val="0"/>
          <w:numId w:val="28"/>
        </w:numPr>
        <w:spacing w:line="240" w:lineRule="auto"/>
        <w:jc w:val="both"/>
        <w:rPr>
          <w:rFonts w:ascii="Arial" w:hAnsi="Arial" w:cs="Arial"/>
          <w:sz w:val="20"/>
          <w:szCs w:val="20"/>
        </w:rPr>
      </w:pPr>
      <w:r w:rsidRPr="00B10411">
        <w:rPr>
          <w:rFonts w:ascii="Arial" w:hAnsi="Arial" w:cs="Arial"/>
          <w:b/>
          <w:sz w:val="20"/>
        </w:rPr>
        <w:t>Encourager des comportements plus responsables</w:t>
      </w:r>
      <w:r w:rsidRPr="00B10411">
        <w:rPr>
          <w:rFonts w:ascii="Arial" w:hAnsi="Arial" w:cs="Arial"/>
          <w:sz w:val="20"/>
        </w:rPr>
        <w:t xml:space="preserve"> vis-</w:t>
      </w:r>
      <w:r w:rsidR="00E03BE2" w:rsidRPr="00B10411">
        <w:rPr>
          <w:rFonts w:ascii="Arial" w:hAnsi="Arial" w:cs="Arial"/>
          <w:sz w:val="20"/>
        </w:rPr>
        <w:t xml:space="preserve">à-vis de l’environnement, en incitant les acteurs économiques notamment à réduire leurs émissions de gaz à effet de serre ; </w:t>
      </w:r>
    </w:p>
    <w:p w14:paraId="351ED190" w14:textId="1E37C435" w:rsidR="00E03BE2" w:rsidRPr="00B10411" w:rsidRDefault="00E03BE2" w:rsidP="00E03BE2">
      <w:pPr>
        <w:pStyle w:val="Paragraphedeliste"/>
        <w:numPr>
          <w:ilvl w:val="0"/>
          <w:numId w:val="28"/>
        </w:numPr>
        <w:spacing w:line="240" w:lineRule="auto"/>
        <w:jc w:val="both"/>
        <w:rPr>
          <w:rFonts w:ascii="Arial" w:hAnsi="Arial" w:cs="Arial"/>
          <w:sz w:val="20"/>
          <w:szCs w:val="20"/>
        </w:rPr>
      </w:pPr>
      <w:r w:rsidRPr="00B10411">
        <w:rPr>
          <w:rFonts w:ascii="Arial" w:hAnsi="Arial" w:cs="Arial"/>
          <w:b/>
          <w:sz w:val="20"/>
        </w:rPr>
        <w:t xml:space="preserve">Concrétiser les engagements environnementaux et climatiques de la Tunisie, </w:t>
      </w:r>
      <w:r w:rsidRPr="00B10411">
        <w:rPr>
          <w:rFonts w:ascii="Arial" w:hAnsi="Arial" w:cs="Arial"/>
          <w:sz w:val="20"/>
        </w:rPr>
        <w:t xml:space="preserve">en lien avec les différentes stratégies nationales telles que la Stratégie de développement durable, la Stratégie de l’économie verte, et surtout la Stratégie nationale de lutte contre les changements climatiques, à travers la </w:t>
      </w:r>
      <w:r w:rsidRPr="00B10411">
        <w:rPr>
          <w:rFonts w:ascii="Arial" w:hAnsi="Arial" w:cs="Arial"/>
          <w:b/>
          <w:sz w:val="20"/>
        </w:rPr>
        <w:t xml:space="preserve">Contribution Déterminée au niveau National </w:t>
      </w:r>
      <w:r w:rsidRPr="00B10411">
        <w:rPr>
          <w:rFonts w:ascii="Arial" w:hAnsi="Arial" w:cs="Arial"/>
          <w:sz w:val="20"/>
        </w:rPr>
        <w:t xml:space="preserve">(CDN), qui vise une réduction de 45% de l’intensité carbone à l’horizon 2030 ; </w:t>
      </w:r>
    </w:p>
    <w:p w14:paraId="5C6EE5C4" w14:textId="74421839" w:rsidR="00E03BE2" w:rsidRPr="00B10411" w:rsidRDefault="00E03BE2" w:rsidP="00E03BE2">
      <w:pPr>
        <w:pStyle w:val="Paragraphedeliste"/>
        <w:numPr>
          <w:ilvl w:val="0"/>
          <w:numId w:val="28"/>
        </w:numPr>
        <w:spacing w:line="240" w:lineRule="auto"/>
        <w:jc w:val="both"/>
        <w:rPr>
          <w:rFonts w:ascii="Arial" w:hAnsi="Arial" w:cs="Arial"/>
          <w:sz w:val="20"/>
          <w:szCs w:val="20"/>
        </w:rPr>
      </w:pPr>
      <w:r w:rsidRPr="00B10411">
        <w:rPr>
          <w:rFonts w:ascii="Arial" w:hAnsi="Arial" w:cs="Arial"/>
          <w:b/>
          <w:sz w:val="20"/>
        </w:rPr>
        <w:t xml:space="preserve">Assurer un financement durable de l’action environnementale, </w:t>
      </w:r>
      <w:r w:rsidRPr="00B10411">
        <w:rPr>
          <w:rFonts w:ascii="Arial" w:hAnsi="Arial" w:cs="Arial"/>
          <w:sz w:val="20"/>
        </w:rPr>
        <w:t>en générant des recettes fiscales affectées à des instruments clés comme le Fonds de dépollution</w:t>
      </w:r>
      <w:r w:rsidRPr="00B10411">
        <w:rPr>
          <w:rStyle w:val="Appelnotedebasdep"/>
          <w:rFonts w:ascii="Arial" w:hAnsi="Arial" w:cs="Arial"/>
          <w:sz w:val="20"/>
        </w:rPr>
        <w:footnoteReference w:id="5"/>
      </w:r>
      <w:r w:rsidRPr="00B10411">
        <w:rPr>
          <w:rFonts w:ascii="Arial" w:hAnsi="Arial" w:cs="Arial"/>
          <w:sz w:val="20"/>
        </w:rPr>
        <w:t>, le Fonds de transition énergétique</w:t>
      </w:r>
      <w:r w:rsidRPr="00B10411">
        <w:rPr>
          <w:rStyle w:val="Appelnotedebasdep"/>
          <w:rFonts w:ascii="Arial" w:hAnsi="Arial" w:cs="Arial"/>
          <w:sz w:val="20"/>
        </w:rPr>
        <w:footnoteReference w:id="6"/>
      </w:r>
      <w:r w:rsidRPr="00B10411">
        <w:rPr>
          <w:rFonts w:ascii="Arial" w:hAnsi="Arial" w:cs="Arial"/>
          <w:sz w:val="20"/>
        </w:rPr>
        <w:t>, ainsi que le Fonds de protection de l’environnement et de l’esthétique urbaine</w:t>
      </w:r>
      <w:r w:rsidR="00240D46" w:rsidRPr="00B10411">
        <w:rPr>
          <w:rStyle w:val="Appelnotedebasdep"/>
          <w:rFonts w:ascii="Arial" w:hAnsi="Arial" w:cs="Arial"/>
          <w:sz w:val="20"/>
        </w:rPr>
        <w:footnoteReference w:id="7"/>
      </w:r>
      <w:r w:rsidRPr="00B10411">
        <w:rPr>
          <w:rFonts w:ascii="Arial" w:hAnsi="Arial" w:cs="Arial"/>
          <w:sz w:val="20"/>
        </w:rPr>
        <w:t xml:space="preserve"> ; </w:t>
      </w:r>
    </w:p>
    <w:p w14:paraId="176FAE84" w14:textId="0E8E0096" w:rsidR="00E03BE2" w:rsidRPr="00B10411" w:rsidRDefault="00E03BE2" w:rsidP="00E03BE2">
      <w:pPr>
        <w:pStyle w:val="Paragraphedeliste"/>
        <w:numPr>
          <w:ilvl w:val="0"/>
          <w:numId w:val="28"/>
        </w:numPr>
        <w:spacing w:line="240" w:lineRule="auto"/>
        <w:jc w:val="both"/>
        <w:rPr>
          <w:rFonts w:ascii="Arial" w:hAnsi="Arial" w:cs="Arial"/>
          <w:sz w:val="20"/>
          <w:szCs w:val="20"/>
        </w:rPr>
      </w:pPr>
      <w:r w:rsidRPr="00B10411">
        <w:rPr>
          <w:rFonts w:ascii="Arial" w:hAnsi="Arial" w:cs="Arial"/>
          <w:b/>
          <w:sz w:val="20"/>
        </w:rPr>
        <w:t>Prév</w:t>
      </w:r>
      <w:r w:rsidR="00FC6DDC" w:rsidRPr="00B10411">
        <w:rPr>
          <w:rFonts w:ascii="Arial" w:hAnsi="Arial" w:cs="Arial"/>
          <w:b/>
          <w:sz w:val="20"/>
        </w:rPr>
        <w:t xml:space="preserve">enir un risque économique majeur, </w:t>
      </w:r>
      <w:r w:rsidR="00FC6DDC" w:rsidRPr="00B10411">
        <w:rPr>
          <w:rFonts w:ascii="Arial" w:hAnsi="Arial" w:cs="Arial"/>
          <w:sz w:val="20"/>
        </w:rPr>
        <w:t>en préparant l’économie tunisienne à l’entrée en vigueur du Mécanisme d’Ajustement Carbone aux Frontières (MACF)</w:t>
      </w:r>
      <w:r w:rsidR="00FC6DDC" w:rsidRPr="00B10411">
        <w:rPr>
          <w:rStyle w:val="Appelnotedebasdep"/>
          <w:rFonts w:ascii="Arial" w:hAnsi="Arial" w:cs="Arial"/>
          <w:sz w:val="20"/>
          <w:szCs w:val="20"/>
        </w:rPr>
        <w:footnoteReference w:id="8"/>
      </w:r>
      <w:r w:rsidR="00FC6DDC" w:rsidRPr="00B10411">
        <w:rPr>
          <w:rFonts w:ascii="Arial" w:hAnsi="Arial" w:cs="Arial"/>
          <w:sz w:val="20"/>
        </w:rPr>
        <w:t xml:space="preserve"> de l’Union europée</w:t>
      </w:r>
      <w:r w:rsidR="00240D46" w:rsidRPr="00B10411">
        <w:rPr>
          <w:rFonts w:ascii="Arial" w:hAnsi="Arial" w:cs="Arial"/>
          <w:sz w:val="20"/>
        </w:rPr>
        <w:t>nne dès 2026.</w:t>
      </w:r>
      <w:r w:rsidR="00FC6DDC" w:rsidRPr="00B10411">
        <w:rPr>
          <w:rStyle w:val="Appelnotedebasdep"/>
          <w:rFonts w:ascii="Arial" w:eastAsia="Times New Roman" w:hAnsi="Arial" w:cs="Arial"/>
          <w:lang w:eastAsia="fr-FR"/>
        </w:rPr>
        <w:footnoteReference w:id="9"/>
      </w:r>
      <w:r w:rsidR="00FC6DDC" w:rsidRPr="00B10411">
        <w:rPr>
          <w:rFonts w:ascii="Arial" w:hAnsi="Arial" w:cs="Arial"/>
          <w:sz w:val="20"/>
        </w:rPr>
        <w:t xml:space="preserve"> Ce mécanisme, en l’absence d’un dispositif national de tarification carbone, risque de pénaliser lourdement </w:t>
      </w:r>
      <w:r w:rsidR="00240D46" w:rsidRPr="00B10411">
        <w:rPr>
          <w:rFonts w:ascii="Arial" w:hAnsi="Arial" w:cs="Arial"/>
          <w:sz w:val="20"/>
        </w:rPr>
        <w:t>les exportations tunisiennes vers l’UE, en les soumettant à une taxe carbone à l’entrée du marché européen. La mise en place d’une taxe carbone nationale permettrait donc non seulement d’aligner la Tunisie sur les standards internationaux, mais aussi de préserver la compétitivité de ses secteurs exportateurs.</w:t>
      </w:r>
    </w:p>
    <w:p w14:paraId="3854D813" w14:textId="35FB4303" w:rsidR="00BF1C97" w:rsidRDefault="00240D46" w:rsidP="00BF1C97">
      <w:pPr>
        <w:spacing w:line="240" w:lineRule="auto"/>
        <w:jc w:val="both"/>
        <w:rPr>
          <w:rFonts w:ascii="Arial" w:hAnsi="Arial" w:cs="Arial"/>
          <w:sz w:val="20"/>
          <w:szCs w:val="20"/>
        </w:rPr>
      </w:pPr>
      <w:r w:rsidRPr="00B10411">
        <w:rPr>
          <w:rFonts w:ascii="Arial" w:hAnsi="Arial" w:cs="Arial"/>
          <w:sz w:val="20"/>
          <w:szCs w:val="20"/>
        </w:rPr>
        <w:t xml:space="preserve">Dans cette perspective, la DGELF souhaite bénéficier d’une </w:t>
      </w:r>
      <w:r w:rsidR="00303EF8" w:rsidRPr="00B10411">
        <w:rPr>
          <w:rFonts w:ascii="Arial" w:hAnsi="Arial" w:cs="Arial"/>
          <w:b/>
          <w:sz w:val="20"/>
          <w:szCs w:val="20"/>
        </w:rPr>
        <w:t>assistance technique pour la</w:t>
      </w:r>
      <w:r w:rsidR="00B10411">
        <w:rPr>
          <w:rFonts w:ascii="Arial" w:hAnsi="Arial" w:cs="Arial"/>
          <w:b/>
          <w:sz w:val="20"/>
          <w:szCs w:val="20"/>
        </w:rPr>
        <w:t xml:space="preserve"> préparation</w:t>
      </w:r>
      <w:r w:rsidR="00303EF8" w:rsidRPr="00B10411">
        <w:rPr>
          <w:rFonts w:ascii="Arial" w:hAnsi="Arial" w:cs="Arial"/>
          <w:b/>
          <w:sz w:val="20"/>
          <w:szCs w:val="20"/>
        </w:rPr>
        <w:t>, durant l’été 2025, d’une étude de faisabilité sur l’instauration progressive d’une taxe carbone en Tunisie.</w:t>
      </w:r>
      <w:r w:rsidR="00BF1C97" w:rsidRPr="00B10411">
        <w:rPr>
          <w:rFonts w:ascii="Arial" w:hAnsi="Arial" w:cs="Arial"/>
          <w:b/>
          <w:sz w:val="20"/>
          <w:szCs w:val="20"/>
        </w:rPr>
        <w:t xml:space="preserve"> </w:t>
      </w:r>
      <w:r w:rsidR="00BF1C97" w:rsidRPr="00B10411">
        <w:rPr>
          <w:rFonts w:ascii="Arial" w:hAnsi="Arial" w:cs="Arial"/>
          <w:sz w:val="20"/>
          <w:szCs w:val="20"/>
        </w:rPr>
        <w:t>Elle constituera une base de travail essentielle en amont du lancement des travaux législatifs prévus à la rentrée pour la loi de finances 2026</w:t>
      </w:r>
      <w:r w:rsidR="00F72771">
        <w:rPr>
          <w:rFonts w:ascii="Arial" w:hAnsi="Arial" w:cs="Arial"/>
          <w:sz w:val="20"/>
          <w:szCs w:val="20"/>
        </w:rPr>
        <w:t xml:space="preserve"> et pour mettre en œuvre une étude de faisabilité technique à la rentrée 2025</w:t>
      </w:r>
      <w:r w:rsidR="00BF1C97" w:rsidRPr="00B10411">
        <w:rPr>
          <w:rFonts w:ascii="Arial" w:hAnsi="Arial" w:cs="Arial"/>
          <w:sz w:val="20"/>
          <w:szCs w:val="20"/>
        </w:rPr>
        <w:t>.</w:t>
      </w:r>
      <w:r w:rsidR="00BF1C97">
        <w:rPr>
          <w:rFonts w:ascii="Arial" w:hAnsi="Arial" w:cs="Arial"/>
          <w:sz w:val="20"/>
          <w:szCs w:val="20"/>
        </w:rPr>
        <w:t xml:space="preserve"> </w:t>
      </w:r>
    </w:p>
    <w:p w14:paraId="73BDDA62" w14:textId="57296F7D" w:rsidR="00465240" w:rsidRPr="00BF1C97" w:rsidRDefault="001E099F" w:rsidP="00BF1C97">
      <w:pPr>
        <w:spacing w:line="240" w:lineRule="auto"/>
        <w:jc w:val="both"/>
        <w:rPr>
          <w:rFonts w:ascii="Arial" w:hAnsi="Arial" w:cs="Arial"/>
          <w:sz w:val="20"/>
          <w:szCs w:val="20"/>
        </w:rPr>
      </w:pPr>
      <w:r>
        <w:rPr>
          <w:rFonts w:ascii="Arial" w:hAnsi="Arial" w:cs="Arial"/>
          <w:sz w:val="20"/>
          <w:szCs w:val="20"/>
        </w:rPr>
        <w:t>Elle</w:t>
      </w:r>
      <w:r w:rsidR="00897CE2">
        <w:rPr>
          <w:rFonts w:ascii="Arial" w:hAnsi="Arial" w:cs="Arial"/>
          <w:sz w:val="20"/>
          <w:szCs w:val="20"/>
        </w:rPr>
        <w:t xml:space="preserve"> aura pour objectif principal</w:t>
      </w:r>
      <w:r w:rsidR="00B804F6">
        <w:rPr>
          <w:rFonts w:ascii="Arial" w:hAnsi="Arial" w:cs="Arial"/>
          <w:sz w:val="20"/>
          <w:szCs w:val="20"/>
        </w:rPr>
        <w:t xml:space="preserve"> </w:t>
      </w:r>
      <w:r w:rsidR="00B10411">
        <w:rPr>
          <w:rFonts w:ascii="Arial" w:hAnsi="Arial" w:cs="Arial"/>
          <w:sz w:val="20"/>
          <w:szCs w:val="20"/>
          <w:u w:val="single"/>
        </w:rPr>
        <w:t>de pré-i</w:t>
      </w:r>
      <w:r w:rsidR="00B804F6" w:rsidRPr="001E099F">
        <w:rPr>
          <w:rFonts w:ascii="Arial" w:hAnsi="Arial" w:cs="Arial"/>
          <w:sz w:val="20"/>
          <w:szCs w:val="20"/>
          <w:u w:val="single"/>
        </w:rPr>
        <w:t>dentifier le</w:t>
      </w:r>
      <w:r w:rsidR="00CB37A8">
        <w:rPr>
          <w:rFonts w:ascii="Arial" w:hAnsi="Arial" w:cs="Arial"/>
          <w:sz w:val="20"/>
          <w:szCs w:val="20"/>
          <w:u w:val="single"/>
        </w:rPr>
        <w:t>(s)</w:t>
      </w:r>
      <w:r w:rsidR="00B804F6" w:rsidRPr="001E099F">
        <w:rPr>
          <w:rFonts w:ascii="Arial" w:hAnsi="Arial" w:cs="Arial"/>
          <w:sz w:val="20"/>
          <w:szCs w:val="20"/>
          <w:u w:val="single"/>
        </w:rPr>
        <w:t xml:space="preserve"> modèle</w:t>
      </w:r>
      <w:r w:rsidR="00CB37A8">
        <w:rPr>
          <w:rFonts w:ascii="Arial" w:hAnsi="Arial" w:cs="Arial"/>
          <w:sz w:val="20"/>
          <w:szCs w:val="20"/>
          <w:u w:val="single"/>
        </w:rPr>
        <w:t>(s)</w:t>
      </w:r>
      <w:r w:rsidR="00B10411">
        <w:rPr>
          <w:rFonts w:ascii="Arial" w:hAnsi="Arial" w:cs="Arial"/>
          <w:sz w:val="20"/>
          <w:szCs w:val="20"/>
          <w:u w:val="single"/>
        </w:rPr>
        <w:t xml:space="preserve"> de taxe carbone qui pourraient être le</w:t>
      </w:r>
      <w:r w:rsidR="00CB37A8">
        <w:rPr>
          <w:rFonts w:ascii="Arial" w:hAnsi="Arial" w:cs="Arial"/>
          <w:sz w:val="20"/>
          <w:szCs w:val="20"/>
          <w:u w:val="single"/>
        </w:rPr>
        <w:t>(s)</w:t>
      </w:r>
      <w:r w:rsidR="00B804F6" w:rsidRPr="001E099F">
        <w:rPr>
          <w:rFonts w:ascii="Arial" w:hAnsi="Arial" w:cs="Arial"/>
          <w:sz w:val="20"/>
          <w:szCs w:val="20"/>
          <w:u w:val="single"/>
        </w:rPr>
        <w:t xml:space="preserve"> plus adapté</w:t>
      </w:r>
      <w:r w:rsidR="00CB37A8">
        <w:rPr>
          <w:rFonts w:ascii="Arial" w:hAnsi="Arial" w:cs="Arial"/>
          <w:sz w:val="20"/>
          <w:szCs w:val="20"/>
          <w:u w:val="single"/>
        </w:rPr>
        <w:t>(s)</w:t>
      </w:r>
      <w:r w:rsidR="00B804F6" w:rsidRPr="001E099F">
        <w:rPr>
          <w:rFonts w:ascii="Arial" w:hAnsi="Arial" w:cs="Arial"/>
          <w:sz w:val="20"/>
          <w:szCs w:val="20"/>
          <w:u w:val="single"/>
        </w:rPr>
        <w:t xml:space="preserve"> au contexte national</w:t>
      </w:r>
      <w:r>
        <w:rPr>
          <w:rFonts w:ascii="Arial" w:hAnsi="Arial" w:cs="Arial"/>
          <w:sz w:val="20"/>
          <w:szCs w:val="20"/>
        </w:rPr>
        <w:t xml:space="preserve"> </w:t>
      </w:r>
      <w:r w:rsidRPr="001E099F">
        <w:rPr>
          <w:rFonts w:ascii="Arial" w:hAnsi="Arial" w:cs="Arial"/>
          <w:sz w:val="20"/>
          <w:szCs w:val="20"/>
          <w:u w:val="single"/>
        </w:rPr>
        <w:t>tunisien</w:t>
      </w:r>
      <w:r w:rsidR="00B804F6">
        <w:rPr>
          <w:rFonts w:ascii="Arial" w:hAnsi="Arial" w:cs="Arial"/>
          <w:sz w:val="20"/>
          <w:szCs w:val="20"/>
        </w:rPr>
        <w:t xml:space="preserve">, sur la base d’un benchmark international avec des pays aux structures commerciales similaires. Elle devra également fournir des éléments clairs et convaincants permettant de mobiliser les parlementaires tunisiens en </w:t>
      </w:r>
      <w:r w:rsidR="00F72771">
        <w:rPr>
          <w:rFonts w:ascii="Arial" w:hAnsi="Arial" w:cs="Arial"/>
          <w:sz w:val="20"/>
          <w:szCs w:val="20"/>
        </w:rPr>
        <w:t xml:space="preserve">faveur de cette réforme fiscale. </w:t>
      </w:r>
      <w:r w:rsidR="00B804F6" w:rsidRPr="00B804F6">
        <w:rPr>
          <w:rFonts w:ascii="Arial" w:hAnsi="Arial" w:cs="Arial"/>
          <w:i/>
          <w:sz w:val="20"/>
          <w:szCs w:val="20"/>
        </w:rPr>
        <w:t>(</w:t>
      </w:r>
      <w:proofErr w:type="gramStart"/>
      <w:r w:rsidR="00B804F6" w:rsidRPr="00B804F6">
        <w:rPr>
          <w:rFonts w:ascii="Arial" w:hAnsi="Arial" w:cs="Arial"/>
          <w:i/>
          <w:sz w:val="20"/>
          <w:szCs w:val="20"/>
        </w:rPr>
        <w:t>cf.</w:t>
      </w:r>
      <w:proofErr w:type="gramEnd"/>
      <w:r w:rsidR="00B804F6" w:rsidRPr="00B804F6">
        <w:rPr>
          <w:rFonts w:ascii="Arial" w:hAnsi="Arial" w:cs="Arial"/>
          <w:i/>
          <w:sz w:val="20"/>
          <w:szCs w:val="20"/>
        </w:rPr>
        <w:t xml:space="preserve"> objectifs détaillés de la taxe carbone infra).</w:t>
      </w:r>
    </w:p>
    <w:p w14:paraId="453A40F0" w14:textId="7D0DF49D" w:rsidR="0079338D" w:rsidRDefault="0079338D" w:rsidP="007B6F61">
      <w:pPr>
        <w:spacing w:line="240" w:lineRule="auto"/>
        <w:jc w:val="both"/>
        <w:rPr>
          <w:rFonts w:ascii="Arial" w:hAnsi="Arial" w:cs="Arial"/>
          <w:sz w:val="20"/>
          <w:szCs w:val="20"/>
        </w:rPr>
      </w:pPr>
      <w:r>
        <w:rPr>
          <w:rFonts w:ascii="Arial" w:hAnsi="Arial" w:cs="Arial"/>
          <w:sz w:val="20"/>
          <w:szCs w:val="20"/>
        </w:rPr>
        <w:t xml:space="preserve">Une </w:t>
      </w:r>
      <w:r>
        <w:rPr>
          <w:rFonts w:ascii="Arial" w:hAnsi="Arial" w:cs="Arial"/>
          <w:b/>
          <w:sz w:val="20"/>
          <w:szCs w:val="20"/>
        </w:rPr>
        <w:t>taxe carbone</w:t>
      </w:r>
      <w:r>
        <w:rPr>
          <w:rFonts w:ascii="Arial" w:hAnsi="Arial" w:cs="Arial"/>
          <w:sz w:val="20"/>
          <w:szCs w:val="20"/>
        </w:rPr>
        <w:t xml:space="preserve"> est une taxe environnementale (ou écotaxe) qui concerne les émissions de dioxyde de carbone. </w:t>
      </w:r>
      <w:r w:rsidR="00A147BA">
        <w:rPr>
          <w:rFonts w:ascii="Arial" w:hAnsi="Arial" w:cs="Arial"/>
          <w:sz w:val="20"/>
          <w:szCs w:val="20"/>
        </w:rPr>
        <w:t xml:space="preserve">Le prélèvement effectué est direct et proportionnel aux quantités émises ce qui signifie que </w:t>
      </w:r>
      <w:r w:rsidR="00A147BA">
        <w:rPr>
          <w:rFonts w:ascii="Arial" w:hAnsi="Arial" w:cs="Arial"/>
          <w:sz w:val="20"/>
          <w:szCs w:val="20"/>
        </w:rPr>
        <w:lastRenderedPageBreak/>
        <w:t xml:space="preserve">plus l’émission est forte, plus la taxe est élevée. </w:t>
      </w:r>
      <w:r w:rsidR="00E55BDC">
        <w:rPr>
          <w:rFonts w:ascii="Arial" w:hAnsi="Arial" w:cs="Arial"/>
          <w:sz w:val="20"/>
          <w:szCs w:val="20"/>
        </w:rPr>
        <w:t>Elle est ainsi calculée en fonction de la quantité de CO2 émise.</w:t>
      </w:r>
    </w:p>
    <w:p w14:paraId="1B6E2A91" w14:textId="19029C7B" w:rsidR="00070883" w:rsidRDefault="00070883" w:rsidP="007B6F61">
      <w:pPr>
        <w:spacing w:line="240" w:lineRule="auto"/>
        <w:jc w:val="both"/>
        <w:rPr>
          <w:rFonts w:ascii="Arial" w:hAnsi="Arial" w:cs="Arial"/>
          <w:sz w:val="20"/>
          <w:szCs w:val="20"/>
        </w:rPr>
      </w:pPr>
      <w:r>
        <w:rPr>
          <w:rFonts w:ascii="Arial" w:hAnsi="Arial" w:cs="Arial"/>
          <w:sz w:val="20"/>
          <w:szCs w:val="20"/>
        </w:rPr>
        <w:t>L’objectif de la taxe est double</w:t>
      </w:r>
      <w:r w:rsidR="006E25BB">
        <w:rPr>
          <w:rStyle w:val="Appelnotedebasdep"/>
          <w:rFonts w:ascii="Arial" w:hAnsi="Arial" w:cs="Arial"/>
          <w:sz w:val="20"/>
          <w:szCs w:val="20"/>
        </w:rPr>
        <w:footnoteReference w:id="10"/>
      </w:r>
      <w:r>
        <w:rPr>
          <w:rFonts w:ascii="Arial" w:hAnsi="Arial" w:cs="Arial"/>
          <w:sz w:val="20"/>
          <w:szCs w:val="20"/>
        </w:rPr>
        <w:t xml:space="preserve"> : (i) encourager les acteurs économiques </w:t>
      </w:r>
      <w:r w:rsidR="00BD4E57">
        <w:rPr>
          <w:rFonts w:ascii="Arial" w:hAnsi="Arial" w:cs="Arial"/>
          <w:sz w:val="20"/>
          <w:szCs w:val="20"/>
        </w:rPr>
        <w:t xml:space="preserve">à adopter des pratiques moins émettrices de gaz à effet de serre et (ii) orienter les comportements des consommateurs vers des choix plus durables, en particulier en réduisant leur dépendance aux énergies fossiles. </w:t>
      </w:r>
    </w:p>
    <w:p w14:paraId="72F0F701" w14:textId="52B71471" w:rsidR="00E55BDC" w:rsidRDefault="00E55BDC" w:rsidP="007B6F61">
      <w:pPr>
        <w:spacing w:line="240" w:lineRule="auto"/>
        <w:jc w:val="both"/>
        <w:rPr>
          <w:rFonts w:ascii="Arial" w:hAnsi="Arial" w:cs="Arial"/>
          <w:sz w:val="20"/>
          <w:szCs w:val="20"/>
        </w:rPr>
      </w:pPr>
      <w:r>
        <w:rPr>
          <w:rFonts w:ascii="Arial" w:hAnsi="Arial" w:cs="Arial"/>
          <w:sz w:val="20"/>
          <w:szCs w:val="20"/>
        </w:rPr>
        <w:t>Cette taxe</w:t>
      </w:r>
      <w:r w:rsidR="00070883">
        <w:rPr>
          <w:rStyle w:val="Appelnotedebasdep"/>
          <w:rFonts w:ascii="Arial" w:hAnsi="Arial" w:cs="Arial"/>
          <w:sz w:val="20"/>
          <w:szCs w:val="20"/>
        </w:rPr>
        <w:footnoteReference w:id="11"/>
      </w:r>
      <w:r>
        <w:rPr>
          <w:rFonts w:ascii="Arial" w:hAnsi="Arial" w:cs="Arial"/>
          <w:sz w:val="20"/>
          <w:szCs w:val="20"/>
        </w:rPr>
        <w:t xml:space="preserve"> peut être prélevée de deux manières distinctes : </w:t>
      </w:r>
    </w:p>
    <w:p w14:paraId="62D6319B" w14:textId="7EA695AF" w:rsidR="00E55BDC" w:rsidRDefault="00E55BDC" w:rsidP="00E55BDC">
      <w:pPr>
        <w:pStyle w:val="Paragraphedeliste"/>
        <w:numPr>
          <w:ilvl w:val="0"/>
          <w:numId w:val="26"/>
        </w:numPr>
        <w:spacing w:line="240" w:lineRule="auto"/>
        <w:jc w:val="both"/>
        <w:rPr>
          <w:rFonts w:ascii="Arial" w:hAnsi="Arial" w:cs="Arial"/>
          <w:sz w:val="20"/>
          <w:szCs w:val="20"/>
        </w:rPr>
      </w:pPr>
      <w:r w:rsidRPr="00E55BDC">
        <w:rPr>
          <w:rFonts w:ascii="Arial" w:hAnsi="Arial" w:cs="Arial"/>
          <w:i/>
          <w:sz w:val="20"/>
          <w:szCs w:val="20"/>
        </w:rPr>
        <w:t>En amont :</w:t>
      </w:r>
      <w:r>
        <w:rPr>
          <w:rFonts w:ascii="Arial" w:hAnsi="Arial" w:cs="Arial"/>
          <w:sz w:val="20"/>
          <w:szCs w:val="20"/>
        </w:rPr>
        <w:t xml:space="preserve"> elle est calculée alors selon l’émission de CO2 lors de la production et de la distribution du produit ou du service. </w:t>
      </w:r>
      <w:r w:rsidR="00070883">
        <w:rPr>
          <w:rFonts w:ascii="Arial" w:hAnsi="Arial" w:cs="Arial"/>
          <w:sz w:val="20"/>
          <w:szCs w:val="20"/>
        </w:rPr>
        <w:t xml:space="preserve">Ce prélèvement est rarement utilisé puisqu’il requiert une comptabilité assez complexe ; </w:t>
      </w:r>
    </w:p>
    <w:p w14:paraId="32A48C8A" w14:textId="1CCDD159" w:rsidR="00E55BDC" w:rsidRDefault="00070883" w:rsidP="00E55BDC">
      <w:pPr>
        <w:pStyle w:val="Paragraphedeliste"/>
        <w:numPr>
          <w:ilvl w:val="0"/>
          <w:numId w:val="26"/>
        </w:numPr>
        <w:spacing w:line="240" w:lineRule="auto"/>
        <w:jc w:val="both"/>
        <w:rPr>
          <w:rFonts w:ascii="Arial" w:hAnsi="Arial" w:cs="Arial"/>
          <w:sz w:val="20"/>
          <w:szCs w:val="20"/>
        </w:rPr>
      </w:pPr>
      <w:r>
        <w:rPr>
          <w:rFonts w:ascii="Arial" w:hAnsi="Arial" w:cs="Arial"/>
          <w:i/>
          <w:sz w:val="20"/>
          <w:szCs w:val="20"/>
        </w:rPr>
        <w:t>En aval :</w:t>
      </w:r>
      <w:r>
        <w:rPr>
          <w:rFonts w:ascii="Arial" w:hAnsi="Arial" w:cs="Arial"/>
          <w:sz w:val="20"/>
          <w:szCs w:val="20"/>
        </w:rPr>
        <w:t xml:space="preserve"> elle est prélevée sur les consommations finales d’énergies fossiles. Elle est ici intégrée directement aux taxes sur l’énergie à savoir au prix final de l’essence, du gaz naturel, du gazole etc. </w:t>
      </w:r>
    </w:p>
    <w:p w14:paraId="1EE514EE" w14:textId="77777777" w:rsidR="00070883" w:rsidRPr="00070883" w:rsidRDefault="00070883" w:rsidP="00070883">
      <w:pPr>
        <w:pStyle w:val="Paragraphedeliste"/>
        <w:spacing w:line="240" w:lineRule="auto"/>
        <w:ind w:left="1080"/>
        <w:jc w:val="both"/>
        <w:rPr>
          <w:rFonts w:ascii="Arial" w:hAnsi="Arial" w:cs="Arial"/>
          <w:sz w:val="20"/>
          <w:szCs w:val="20"/>
        </w:rPr>
      </w:pPr>
    </w:p>
    <w:p w14:paraId="556FD97C" w14:textId="77777777" w:rsidR="007B6F61" w:rsidRPr="00433B7A" w:rsidRDefault="007B6F61" w:rsidP="007B6F61">
      <w:pPr>
        <w:pStyle w:val="Paragraphedeliste"/>
        <w:numPr>
          <w:ilvl w:val="0"/>
          <w:numId w:val="2"/>
        </w:numPr>
        <w:spacing w:line="240" w:lineRule="auto"/>
        <w:jc w:val="both"/>
        <w:rPr>
          <w:rFonts w:ascii="Arial" w:hAnsi="Arial" w:cs="Arial"/>
          <w:b/>
          <w:color w:val="009CA6"/>
        </w:rPr>
      </w:pPr>
      <w:r w:rsidRPr="00433B7A">
        <w:rPr>
          <w:rFonts w:ascii="Arial" w:eastAsia="Times New Roman" w:hAnsi="Arial" w:cs="Arial"/>
          <w:b/>
          <w:color w:val="009CA6"/>
        </w:rPr>
        <w:t>Objectifs et résultats attendus de la mission</w:t>
      </w:r>
    </w:p>
    <w:p w14:paraId="2EB51A16" w14:textId="2E0B9965" w:rsidR="00B10411" w:rsidRDefault="00FD4044" w:rsidP="00DD5101">
      <w:pPr>
        <w:spacing w:before="240" w:line="240" w:lineRule="auto"/>
        <w:jc w:val="both"/>
        <w:outlineLvl w:val="1"/>
        <w:rPr>
          <w:rFonts w:ascii="Arial" w:eastAsia="Times New Roman" w:hAnsi="Arial" w:cs="Arial"/>
          <w:sz w:val="20"/>
          <w:szCs w:val="20"/>
        </w:rPr>
      </w:pPr>
      <w:r>
        <w:rPr>
          <w:rFonts w:ascii="Arial" w:eastAsia="Times New Roman" w:hAnsi="Arial" w:cs="Arial"/>
          <w:sz w:val="20"/>
          <w:szCs w:val="20"/>
        </w:rPr>
        <w:t>La présente mission a pour ob</w:t>
      </w:r>
      <w:r w:rsidR="00B10411">
        <w:rPr>
          <w:rFonts w:ascii="Arial" w:eastAsia="Times New Roman" w:hAnsi="Arial" w:cs="Arial"/>
          <w:sz w:val="20"/>
          <w:szCs w:val="20"/>
        </w:rPr>
        <w:t>jectif p</w:t>
      </w:r>
      <w:r w:rsidR="00F72771">
        <w:rPr>
          <w:rFonts w:ascii="Arial" w:eastAsia="Times New Roman" w:hAnsi="Arial" w:cs="Arial"/>
          <w:sz w:val="20"/>
          <w:szCs w:val="20"/>
        </w:rPr>
        <w:t xml:space="preserve">rincipal de fournir un socle pour une étude de faisabilité approfondie sur la mise en place d’une taxe carbone en Tunisie, à destination de la DGELF. A titre indicatif, cette étude de faisabilité prendra place </w:t>
      </w:r>
      <w:r w:rsidR="00085A38">
        <w:rPr>
          <w:rFonts w:ascii="Arial" w:eastAsia="Times New Roman" w:hAnsi="Arial" w:cs="Arial"/>
          <w:sz w:val="20"/>
          <w:szCs w:val="20"/>
        </w:rPr>
        <w:t>en début 2026</w:t>
      </w:r>
      <w:r w:rsidR="00F72771">
        <w:rPr>
          <w:rFonts w:ascii="Arial" w:eastAsia="Times New Roman" w:hAnsi="Arial" w:cs="Arial"/>
          <w:sz w:val="20"/>
          <w:szCs w:val="20"/>
        </w:rPr>
        <w:t xml:space="preserve"> pour soutenir l’opérationnalisation progressive d’une taxe carbone nationale tunisienne. </w:t>
      </w:r>
    </w:p>
    <w:p w14:paraId="1EF3CD23" w14:textId="7842AAC3" w:rsidR="00F72771" w:rsidRDefault="00FD4044" w:rsidP="00F72771">
      <w:pPr>
        <w:spacing w:before="120" w:after="120" w:line="240" w:lineRule="auto"/>
        <w:jc w:val="both"/>
        <w:rPr>
          <w:rFonts w:ascii="Arial" w:eastAsia="Times New Roman" w:hAnsi="Arial" w:cs="Arial"/>
          <w:sz w:val="20"/>
          <w:szCs w:val="20"/>
        </w:rPr>
      </w:pPr>
      <w:r w:rsidRPr="00F72771">
        <w:rPr>
          <w:rFonts w:ascii="Arial" w:eastAsia="Times New Roman" w:hAnsi="Arial" w:cs="Arial"/>
          <w:sz w:val="20"/>
          <w:szCs w:val="20"/>
        </w:rPr>
        <w:t xml:space="preserve">Cette </w:t>
      </w:r>
      <w:r w:rsidR="00F72771" w:rsidRPr="00F72771">
        <w:rPr>
          <w:rFonts w:ascii="Arial" w:eastAsia="Times New Roman" w:hAnsi="Arial" w:cs="Arial"/>
          <w:sz w:val="20"/>
          <w:szCs w:val="20"/>
        </w:rPr>
        <w:t xml:space="preserve">mission d’expertise devra permettre d’effectuer (i) un état des lieux de la fiscalité environnementale en Tunisie (les différentes taxes environnementales et Fonds existants), (ii) un benchmark international identifiant des modèles pertinents de taxe carbone avec des pays aux structures commerciales similaires (exemple : Maroc) et (iii) de fournir </w:t>
      </w:r>
      <w:r w:rsidR="00F72771">
        <w:rPr>
          <w:rFonts w:ascii="Arial" w:eastAsia="Times New Roman" w:hAnsi="Arial" w:cs="Arial"/>
          <w:sz w:val="20"/>
          <w:szCs w:val="20"/>
        </w:rPr>
        <w:t xml:space="preserve">un premier </w:t>
      </w:r>
      <w:r w:rsidR="00F72771" w:rsidRPr="00F72771">
        <w:rPr>
          <w:rFonts w:ascii="Arial" w:eastAsia="Times New Roman" w:hAnsi="Arial" w:cs="Arial"/>
          <w:sz w:val="20"/>
          <w:szCs w:val="20"/>
        </w:rPr>
        <w:t>rapport d’analyse de la faisabilité juridique, économique, social et institutionnel de la mise en place et l’opérationnalisation d’une taxe carbone en Tunisie</w:t>
      </w:r>
      <w:r w:rsidR="00F72771" w:rsidRPr="00F72771">
        <w:rPr>
          <w:rFonts w:ascii="Arial" w:eastAsia="Times New Roman" w:hAnsi="Arial" w:cs="Arial"/>
          <w:b/>
          <w:sz w:val="20"/>
          <w:szCs w:val="20"/>
        </w:rPr>
        <w:t xml:space="preserve"> </w:t>
      </w:r>
      <w:r w:rsidR="00F72771">
        <w:rPr>
          <w:rFonts w:ascii="Arial" w:eastAsia="Times New Roman" w:hAnsi="Arial" w:cs="Arial"/>
          <w:sz w:val="20"/>
          <w:szCs w:val="20"/>
        </w:rPr>
        <w:t xml:space="preserve">incluant </w:t>
      </w:r>
      <w:r w:rsidR="00F72771" w:rsidRPr="00F72771">
        <w:rPr>
          <w:rFonts w:ascii="Arial" w:eastAsia="Times New Roman" w:hAnsi="Arial" w:cs="Arial"/>
          <w:sz w:val="20"/>
          <w:szCs w:val="20"/>
        </w:rPr>
        <w:t>une analyse des avantages, contraintes, opportunités et risques pour l’introduction d’une taxe dans ces différent</w:t>
      </w:r>
      <w:r w:rsidR="00F72771">
        <w:rPr>
          <w:rFonts w:ascii="Arial" w:eastAsia="Times New Roman" w:hAnsi="Arial" w:cs="Arial"/>
          <w:sz w:val="20"/>
          <w:szCs w:val="20"/>
        </w:rPr>
        <w:t xml:space="preserve">es dimensions ainsi </w:t>
      </w:r>
      <w:r w:rsidR="00F72771" w:rsidRPr="00F72771">
        <w:rPr>
          <w:rFonts w:ascii="Arial" w:eastAsia="Times New Roman" w:hAnsi="Arial" w:cs="Arial"/>
          <w:sz w:val="20"/>
          <w:szCs w:val="20"/>
        </w:rPr>
        <w:t>que les premiers contours de modèle de taxe carbone jugés pertinents pour la Tunisie.</w:t>
      </w:r>
    </w:p>
    <w:p w14:paraId="65FDB49F" w14:textId="488FD349" w:rsidR="00F72771" w:rsidRPr="00D93B41" w:rsidRDefault="00F72771" w:rsidP="00F72771">
      <w:pPr>
        <w:spacing w:before="120" w:after="120" w:line="240" w:lineRule="auto"/>
        <w:jc w:val="both"/>
        <w:rPr>
          <w:rFonts w:ascii="Arial" w:eastAsia="Times New Roman" w:hAnsi="Arial" w:cs="Arial"/>
          <w:sz w:val="18"/>
          <w:szCs w:val="20"/>
        </w:rPr>
      </w:pPr>
      <w:r>
        <w:rPr>
          <w:rFonts w:ascii="Arial" w:eastAsia="Times New Roman" w:hAnsi="Arial" w:cs="Arial"/>
          <w:sz w:val="20"/>
          <w:szCs w:val="20"/>
        </w:rPr>
        <w:t>Les expert.es devront également fournir des éléments de langage et un argumentaire nécessaire pour convaincre les décideurs politiques et économiques de la pertinence et de l</w:t>
      </w:r>
      <w:r w:rsidR="00D93B41">
        <w:rPr>
          <w:rFonts w:ascii="Arial" w:eastAsia="Times New Roman" w:hAnsi="Arial" w:cs="Arial"/>
          <w:sz w:val="20"/>
          <w:szCs w:val="20"/>
        </w:rPr>
        <w:t>a faisabilité de cette réforme. (</w:t>
      </w:r>
      <w:proofErr w:type="gramStart"/>
      <w:r w:rsidR="00D93B41">
        <w:rPr>
          <w:rFonts w:ascii="Arial" w:eastAsia="Times New Roman" w:hAnsi="Arial" w:cs="Arial"/>
          <w:sz w:val="20"/>
          <w:szCs w:val="20"/>
        </w:rPr>
        <w:t>par</w:t>
      </w:r>
      <w:proofErr w:type="gramEnd"/>
      <w:r w:rsidR="00D93B41">
        <w:rPr>
          <w:rFonts w:ascii="Arial" w:eastAsia="Times New Roman" w:hAnsi="Arial" w:cs="Arial"/>
          <w:sz w:val="20"/>
          <w:szCs w:val="20"/>
        </w:rPr>
        <w:t xml:space="preserve"> le biais de webinaires, forums) Dans ce sens, ils pourront fournir une expertise sur les implications économiques du MACF pour la Tunisie et expliciter en quoi l’opérationnalisation d’une taxe carbone fournirait une réponse pertinente au risque économique de perte de compétitivité des entreprises tunisiennes. </w:t>
      </w:r>
    </w:p>
    <w:p w14:paraId="50A96BAA" w14:textId="01465BC7" w:rsidR="00D93B41" w:rsidRPr="00D93B41" w:rsidRDefault="00D93B41" w:rsidP="00F72771">
      <w:pPr>
        <w:spacing w:before="120" w:after="120" w:line="240" w:lineRule="auto"/>
        <w:jc w:val="both"/>
        <w:rPr>
          <w:rFonts w:ascii="Arial" w:eastAsia="Times New Roman" w:hAnsi="Arial" w:cs="Arial"/>
          <w:sz w:val="18"/>
          <w:szCs w:val="20"/>
        </w:rPr>
      </w:pPr>
      <w:r w:rsidRPr="00D93B41">
        <w:rPr>
          <w:rFonts w:ascii="Arial" w:hAnsi="Arial" w:cs="Arial"/>
          <w:sz w:val="20"/>
        </w:rPr>
        <w:t xml:space="preserve">Le rôle des </w:t>
      </w:r>
      <w:proofErr w:type="spellStart"/>
      <w:r w:rsidRPr="00D93B41">
        <w:rPr>
          <w:rFonts w:ascii="Arial" w:hAnsi="Arial" w:cs="Arial"/>
          <w:sz w:val="20"/>
        </w:rPr>
        <w:t>expert·es</w:t>
      </w:r>
      <w:proofErr w:type="spellEnd"/>
      <w:r w:rsidRPr="00D93B41">
        <w:rPr>
          <w:rFonts w:ascii="Arial" w:hAnsi="Arial" w:cs="Arial"/>
          <w:sz w:val="20"/>
        </w:rPr>
        <w:t xml:space="preserve"> consistera à poser les bases les plus solides possibles pour la réalisation de cette étude de faisabilité.</w:t>
      </w:r>
    </w:p>
    <w:p w14:paraId="5895D5B1" w14:textId="0D7D239F" w:rsidR="00DD5101" w:rsidRDefault="00D93B41" w:rsidP="00DD5101">
      <w:pPr>
        <w:spacing w:before="240" w:line="240" w:lineRule="auto"/>
        <w:jc w:val="both"/>
        <w:outlineLvl w:val="1"/>
        <w:rPr>
          <w:rFonts w:ascii="Arial" w:eastAsia="Times New Roman" w:hAnsi="Arial" w:cs="Arial"/>
          <w:sz w:val="20"/>
          <w:szCs w:val="20"/>
        </w:rPr>
      </w:pPr>
      <w:r>
        <w:rPr>
          <w:rFonts w:ascii="Arial" w:eastAsia="Times New Roman" w:hAnsi="Arial" w:cs="Arial"/>
          <w:sz w:val="20"/>
          <w:szCs w:val="20"/>
        </w:rPr>
        <w:t xml:space="preserve">A cette fin, l’étude de faisabilité </w:t>
      </w:r>
      <w:r w:rsidR="00DD5101">
        <w:rPr>
          <w:rFonts w:ascii="Arial" w:eastAsia="Times New Roman" w:hAnsi="Arial" w:cs="Arial"/>
          <w:sz w:val="20"/>
          <w:szCs w:val="20"/>
        </w:rPr>
        <w:t xml:space="preserve">visera ainsi à : </w:t>
      </w:r>
    </w:p>
    <w:p w14:paraId="1B163307" w14:textId="32D3C9A0" w:rsidR="00DD5101" w:rsidRDefault="00DD5101" w:rsidP="00DD5101">
      <w:pPr>
        <w:pStyle w:val="Paragraphedeliste"/>
        <w:numPr>
          <w:ilvl w:val="0"/>
          <w:numId w:val="29"/>
        </w:numPr>
        <w:spacing w:before="240" w:line="240" w:lineRule="auto"/>
        <w:jc w:val="both"/>
        <w:outlineLvl w:val="1"/>
        <w:rPr>
          <w:rFonts w:ascii="Arial" w:eastAsia="Times New Roman" w:hAnsi="Arial" w:cs="Arial"/>
          <w:sz w:val="20"/>
          <w:szCs w:val="20"/>
        </w:rPr>
      </w:pPr>
      <w:r w:rsidRPr="00DD5101">
        <w:rPr>
          <w:rFonts w:ascii="Arial" w:eastAsia="Times New Roman" w:hAnsi="Arial" w:cs="Arial"/>
          <w:b/>
          <w:sz w:val="20"/>
          <w:szCs w:val="20"/>
        </w:rPr>
        <w:t>Identifier</w:t>
      </w:r>
      <w:r>
        <w:rPr>
          <w:rFonts w:ascii="Arial" w:eastAsia="Times New Roman" w:hAnsi="Arial" w:cs="Arial"/>
          <w:sz w:val="20"/>
          <w:szCs w:val="20"/>
        </w:rPr>
        <w:t xml:space="preserve"> les</w:t>
      </w:r>
      <w:r w:rsidR="00D93B41">
        <w:rPr>
          <w:rFonts w:ascii="Arial" w:eastAsia="Times New Roman" w:hAnsi="Arial" w:cs="Arial"/>
          <w:sz w:val="20"/>
          <w:szCs w:val="20"/>
        </w:rPr>
        <w:t xml:space="preserve"> modèles de taxe carbone le(s) plus adapté(s) au contexte tunisien </w:t>
      </w:r>
      <w:r w:rsidR="009232DC">
        <w:rPr>
          <w:rFonts w:ascii="Arial" w:eastAsia="Times New Roman" w:hAnsi="Arial" w:cs="Arial"/>
          <w:sz w:val="20"/>
          <w:szCs w:val="20"/>
        </w:rPr>
        <w:t xml:space="preserve">grâce à des analyses techniques et chiffrées des impacts économiques et de calcul de l’empreinte carbone </w:t>
      </w:r>
      <w:r>
        <w:rPr>
          <w:rFonts w:ascii="Arial" w:eastAsia="Times New Roman" w:hAnsi="Arial" w:cs="Arial"/>
          <w:sz w:val="20"/>
          <w:szCs w:val="20"/>
        </w:rPr>
        <w:t xml:space="preserve">; </w:t>
      </w:r>
    </w:p>
    <w:p w14:paraId="215D3DF7" w14:textId="6BA0C57A" w:rsidR="00855341" w:rsidRPr="00D93B41" w:rsidRDefault="00DD5101" w:rsidP="00DD5101">
      <w:pPr>
        <w:pStyle w:val="Paragraphedeliste"/>
        <w:numPr>
          <w:ilvl w:val="0"/>
          <w:numId w:val="29"/>
        </w:numPr>
        <w:spacing w:before="240" w:line="240" w:lineRule="auto"/>
        <w:jc w:val="both"/>
        <w:outlineLvl w:val="1"/>
        <w:rPr>
          <w:rFonts w:ascii="Arial" w:eastAsia="Times New Roman" w:hAnsi="Arial" w:cs="Arial"/>
          <w:sz w:val="20"/>
          <w:szCs w:val="20"/>
        </w:rPr>
      </w:pPr>
      <w:r w:rsidRPr="00DD5101">
        <w:rPr>
          <w:rFonts w:ascii="Arial" w:eastAsia="Times New Roman" w:hAnsi="Arial" w:cs="Arial"/>
          <w:b/>
          <w:sz w:val="20"/>
          <w:szCs w:val="20"/>
        </w:rPr>
        <w:t>Mesurer l’impact potentiel de la taxe carbone</w:t>
      </w:r>
      <w:r>
        <w:rPr>
          <w:rFonts w:ascii="Arial" w:eastAsia="Times New Roman" w:hAnsi="Arial" w:cs="Arial"/>
          <w:sz w:val="20"/>
          <w:szCs w:val="20"/>
        </w:rPr>
        <w:t xml:space="preserve"> (par le biais d’une étude de faisabilité multidimensionnelle) sur les différents secteurs économiques, les finances publiques, les émissions de gaz à effet de s</w:t>
      </w:r>
      <w:r w:rsidR="00D93B41">
        <w:rPr>
          <w:rFonts w:ascii="Arial" w:eastAsia="Times New Roman" w:hAnsi="Arial" w:cs="Arial"/>
          <w:sz w:val="20"/>
          <w:szCs w:val="20"/>
        </w:rPr>
        <w:t>erre et les acteurs concernés.</w:t>
      </w:r>
    </w:p>
    <w:p w14:paraId="11DC608E" w14:textId="60F5C516" w:rsidR="00FD4044" w:rsidRPr="00FD4044" w:rsidRDefault="00D93B41" w:rsidP="00DD5101">
      <w:pPr>
        <w:pStyle w:val="NormalWeb"/>
        <w:spacing w:before="240" w:beforeAutospacing="0"/>
        <w:jc w:val="both"/>
        <w:rPr>
          <w:rFonts w:ascii="Arial" w:hAnsi="Arial" w:cs="Arial"/>
          <w:sz w:val="20"/>
        </w:rPr>
      </w:pPr>
      <w:r>
        <w:rPr>
          <w:rFonts w:ascii="Arial" w:hAnsi="Arial" w:cs="Arial"/>
          <w:sz w:val="20"/>
        </w:rPr>
        <w:t>Cette première mission d’assistance technique, aura,</w:t>
      </w:r>
      <w:r w:rsidR="00DD5101">
        <w:rPr>
          <w:rFonts w:ascii="Arial" w:hAnsi="Arial" w:cs="Arial"/>
          <w:sz w:val="20"/>
        </w:rPr>
        <w:t xml:space="preserve"> en effet, </w:t>
      </w:r>
      <w:r w:rsidR="00FD4044" w:rsidRPr="00FD4044">
        <w:rPr>
          <w:rFonts w:ascii="Arial" w:hAnsi="Arial" w:cs="Arial"/>
          <w:sz w:val="20"/>
        </w:rPr>
        <w:t xml:space="preserve">également un </w:t>
      </w:r>
      <w:r w:rsidR="00FD4044" w:rsidRPr="00FD4044">
        <w:rPr>
          <w:rStyle w:val="lev"/>
          <w:rFonts w:ascii="Arial" w:hAnsi="Arial" w:cs="Arial"/>
          <w:b w:val="0"/>
          <w:sz w:val="20"/>
        </w:rPr>
        <w:t>rôle stratégique de plaidoyer</w:t>
      </w:r>
      <w:r w:rsidR="00FD4044" w:rsidRPr="00FD4044">
        <w:rPr>
          <w:rFonts w:ascii="Arial" w:hAnsi="Arial" w:cs="Arial"/>
          <w:sz w:val="20"/>
        </w:rPr>
        <w:t xml:space="preserve">, en fournissant des </w:t>
      </w:r>
      <w:r w:rsidR="00FD4044" w:rsidRPr="00FD4044">
        <w:rPr>
          <w:rStyle w:val="lev"/>
          <w:rFonts w:ascii="Arial" w:hAnsi="Arial" w:cs="Arial"/>
          <w:b w:val="0"/>
          <w:sz w:val="20"/>
        </w:rPr>
        <w:t>arguments solides et accessibles pour convaincre et mobiliser les parlementaires tunisiens</w:t>
      </w:r>
      <w:r w:rsidR="00FD4044" w:rsidRPr="00FD4044">
        <w:rPr>
          <w:rFonts w:ascii="Arial" w:hAnsi="Arial" w:cs="Arial"/>
          <w:sz w:val="20"/>
        </w:rPr>
        <w:t xml:space="preserve"> autour de cette réforme, en amont du vote de la Loi de Finances 2026.</w:t>
      </w:r>
    </w:p>
    <w:p w14:paraId="6D322D62" w14:textId="4F96C91D" w:rsidR="00855341" w:rsidRDefault="00FD4044" w:rsidP="00DD5101">
      <w:pPr>
        <w:pStyle w:val="NormalWeb"/>
        <w:spacing w:before="240" w:beforeAutospacing="0"/>
        <w:jc w:val="both"/>
        <w:rPr>
          <w:rFonts w:ascii="Arial" w:hAnsi="Arial" w:cs="Arial"/>
          <w:sz w:val="20"/>
        </w:rPr>
      </w:pPr>
      <w:r w:rsidRPr="00FD4044">
        <w:rPr>
          <w:rFonts w:ascii="Arial" w:hAnsi="Arial" w:cs="Arial"/>
          <w:sz w:val="20"/>
        </w:rPr>
        <w:t xml:space="preserve">Il est </w:t>
      </w:r>
      <w:r w:rsidR="00550361">
        <w:rPr>
          <w:rFonts w:ascii="Arial" w:hAnsi="Arial" w:cs="Arial"/>
          <w:sz w:val="20"/>
        </w:rPr>
        <w:t>donc essentiel que les expert.e</w:t>
      </w:r>
      <w:r w:rsidRPr="00FD4044">
        <w:rPr>
          <w:rFonts w:ascii="Arial" w:hAnsi="Arial" w:cs="Arial"/>
          <w:sz w:val="20"/>
        </w:rPr>
        <w:t xml:space="preserve">s gardent à l’esprit que la DGELF souhaite une </w:t>
      </w:r>
      <w:r w:rsidRPr="00FD4044">
        <w:rPr>
          <w:rStyle w:val="lev"/>
          <w:rFonts w:ascii="Arial" w:hAnsi="Arial" w:cs="Arial"/>
          <w:b w:val="0"/>
          <w:sz w:val="20"/>
        </w:rPr>
        <w:t>mise en œuvre progressive et ciblée</w:t>
      </w:r>
      <w:r w:rsidRPr="00FD4044">
        <w:rPr>
          <w:rFonts w:ascii="Arial" w:hAnsi="Arial" w:cs="Arial"/>
          <w:sz w:val="20"/>
        </w:rPr>
        <w:t xml:space="preserve"> de la taxe carbone, en commençant par les </w:t>
      </w:r>
      <w:r w:rsidRPr="00FD4044">
        <w:rPr>
          <w:rStyle w:val="lev"/>
          <w:rFonts w:ascii="Arial" w:hAnsi="Arial" w:cs="Arial"/>
          <w:b w:val="0"/>
          <w:sz w:val="20"/>
        </w:rPr>
        <w:t>secteurs directement concernés par le Mécanisme d’Ajustement Carbone aux Frontières (MACF) de l’Union européenne</w:t>
      </w:r>
      <w:r w:rsidRPr="00FD4044">
        <w:rPr>
          <w:rFonts w:ascii="Arial" w:hAnsi="Arial" w:cs="Arial"/>
          <w:sz w:val="20"/>
        </w:rPr>
        <w:t xml:space="preserve">, notamment le </w:t>
      </w:r>
      <w:r w:rsidRPr="00FD4044">
        <w:rPr>
          <w:rFonts w:ascii="Arial" w:hAnsi="Arial" w:cs="Arial"/>
          <w:sz w:val="20"/>
        </w:rPr>
        <w:lastRenderedPageBreak/>
        <w:t>ciment, ainsi que d’éventuels autres secteurs à définir en concertation avec la DGELF (tels que l’engrais ou le textile).</w:t>
      </w:r>
    </w:p>
    <w:p w14:paraId="4C5C8BA0" w14:textId="77777777" w:rsidR="00D93B41" w:rsidRDefault="00D93B41" w:rsidP="007B6F61">
      <w:pPr>
        <w:spacing w:line="240" w:lineRule="auto"/>
        <w:jc w:val="both"/>
        <w:outlineLvl w:val="1"/>
        <w:rPr>
          <w:rFonts w:ascii="Arial" w:eastAsia="Times New Roman" w:hAnsi="Arial" w:cs="Arial"/>
          <w:sz w:val="20"/>
          <w:szCs w:val="24"/>
          <w:lang w:eastAsia="fr-FR"/>
        </w:rPr>
      </w:pPr>
    </w:p>
    <w:p w14:paraId="328C03C1" w14:textId="436A6C65" w:rsidR="007B6F61" w:rsidRDefault="007B6F61" w:rsidP="007B6F61">
      <w:pPr>
        <w:spacing w:line="240" w:lineRule="auto"/>
        <w:jc w:val="both"/>
        <w:outlineLvl w:val="1"/>
        <w:rPr>
          <w:rFonts w:ascii="Arial" w:eastAsia="Times New Roman" w:hAnsi="Arial" w:cs="Arial"/>
          <w:sz w:val="20"/>
          <w:szCs w:val="20"/>
        </w:rPr>
      </w:pPr>
      <w:r>
        <w:rPr>
          <w:rFonts w:ascii="Arial" w:eastAsia="Times New Roman" w:hAnsi="Arial" w:cs="Arial"/>
          <w:sz w:val="20"/>
          <w:szCs w:val="20"/>
        </w:rPr>
        <w:t xml:space="preserve">Les </w:t>
      </w:r>
      <w:r w:rsidR="004969D7">
        <w:rPr>
          <w:rFonts w:ascii="Arial" w:eastAsia="Times New Roman" w:hAnsi="Arial" w:cs="Arial"/>
          <w:b/>
          <w:sz w:val="20"/>
          <w:szCs w:val="20"/>
        </w:rPr>
        <w:t xml:space="preserve">2 </w:t>
      </w:r>
      <w:r w:rsidRPr="00897CE2">
        <w:rPr>
          <w:rFonts w:ascii="Arial" w:eastAsia="Times New Roman" w:hAnsi="Arial" w:cs="Arial"/>
          <w:b/>
          <w:sz w:val="20"/>
          <w:szCs w:val="20"/>
        </w:rPr>
        <w:t>r</w:t>
      </w:r>
      <w:r w:rsidRPr="00FB66F3">
        <w:rPr>
          <w:rFonts w:ascii="Arial" w:eastAsia="Times New Roman" w:hAnsi="Arial" w:cs="Arial"/>
          <w:b/>
          <w:sz w:val="20"/>
          <w:szCs w:val="20"/>
        </w:rPr>
        <w:t>ésultats</w:t>
      </w:r>
      <w:r w:rsidRPr="00505D2A">
        <w:rPr>
          <w:rFonts w:ascii="Arial" w:eastAsia="Times New Roman" w:hAnsi="Arial" w:cs="Arial"/>
          <w:sz w:val="20"/>
          <w:szCs w:val="20"/>
        </w:rPr>
        <w:t xml:space="preserve"> suivants sont attendus à l’issue de la mission :</w:t>
      </w:r>
    </w:p>
    <w:p w14:paraId="4ECFEFD1" w14:textId="06CD7E6E" w:rsidR="00405B39" w:rsidRDefault="008B4B99" w:rsidP="007B6F61">
      <w:pPr>
        <w:spacing w:line="240" w:lineRule="auto"/>
        <w:jc w:val="both"/>
        <w:outlineLvl w:val="1"/>
        <w:rPr>
          <w:rFonts w:ascii="Arial" w:eastAsia="Times New Roman" w:hAnsi="Arial" w:cs="Arial"/>
          <w:sz w:val="20"/>
          <w:szCs w:val="20"/>
        </w:rPr>
      </w:pPr>
      <w:r>
        <w:rPr>
          <w:rFonts w:ascii="Arial" w:eastAsia="Times New Roman" w:hAnsi="Arial" w:cs="Arial"/>
          <w:b/>
          <w:sz w:val="20"/>
          <w:szCs w:val="20"/>
        </w:rPr>
        <w:t xml:space="preserve">Résultat 1 – </w:t>
      </w:r>
      <w:r w:rsidR="00405B39">
        <w:rPr>
          <w:rFonts w:ascii="Arial" w:eastAsia="Times New Roman" w:hAnsi="Arial" w:cs="Arial"/>
          <w:sz w:val="20"/>
          <w:szCs w:val="20"/>
        </w:rPr>
        <w:t>Un diagnostic clair et un état des lieux des diffé</w:t>
      </w:r>
      <w:r w:rsidR="00AD4DA7">
        <w:rPr>
          <w:rFonts w:ascii="Arial" w:eastAsia="Times New Roman" w:hAnsi="Arial" w:cs="Arial"/>
          <w:sz w:val="20"/>
          <w:szCs w:val="20"/>
        </w:rPr>
        <w:t xml:space="preserve">rentes taxes environnementales et des fonds associés à ces dernières est effectué. Ce diagnostic est agrémenté par </w:t>
      </w:r>
      <w:r w:rsidR="006B0FE9">
        <w:rPr>
          <w:rFonts w:ascii="Arial" w:eastAsia="Times New Roman" w:hAnsi="Arial" w:cs="Arial"/>
          <w:sz w:val="20"/>
          <w:szCs w:val="20"/>
        </w:rPr>
        <w:t xml:space="preserve">un benchmark </w:t>
      </w:r>
      <w:r w:rsidR="00D93B41">
        <w:rPr>
          <w:rFonts w:ascii="Arial" w:eastAsia="Times New Roman" w:hAnsi="Arial" w:cs="Arial"/>
          <w:sz w:val="20"/>
          <w:szCs w:val="20"/>
        </w:rPr>
        <w:t xml:space="preserve">international </w:t>
      </w:r>
      <w:r w:rsidR="006B0FE9">
        <w:rPr>
          <w:rFonts w:ascii="Arial" w:eastAsia="Times New Roman" w:hAnsi="Arial" w:cs="Arial"/>
          <w:sz w:val="20"/>
          <w:szCs w:val="20"/>
        </w:rPr>
        <w:t>sur les taxes carbones adaptées par des pays aux stru</w:t>
      </w:r>
      <w:r w:rsidR="0052169C">
        <w:rPr>
          <w:rFonts w:ascii="Arial" w:eastAsia="Times New Roman" w:hAnsi="Arial" w:cs="Arial"/>
          <w:sz w:val="20"/>
          <w:szCs w:val="20"/>
        </w:rPr>
        <w:t xml:space="preserve">ctures commerciales similaires et par une clarification sur les implications économiques du MACF pour la Tunisie ainsi que sur le degré de responsabilité et de redevabilité du pays à l’égard de ce mécanisme. </w:t>
      </w:r>
    </w:p>
    <w:p w14:paraId="0572ED93" w14:textId="603E5AFE" w:rsidR="004969D7" w:rsidRPr="0052169C" w:rsidRDefault="008B4B99" w:rsidP="007B6F61">
      <w:pPr>
        <w:spacing w:line="240" w:lineRule="auto"/>
        <w:jc w:val="both"/>
        <w:outlineLvl w:val="1"/>
        <w:rPr>
          <w:rFonts w:ascii="Arial" w:hAnsi="Arial" w:cs="Arial"/>
          <w:sz w:val="20"/>
          <w:szCs w:val="20"/>
        </w:rPr>
      </w:pPr>
      <w:r w:rsidRPr="009E77AF">
        <w:rPr>
          <w:rFonts w:ascii="Arial" w:eastAsia="Times New Roman" w:hAnsi="Arial" w:cs="Arial"/>
          <w:b/>
          <w:sz w:val="20"/>
          <w:szCs w:val="20"/>
        </w:rPr>
        <w:t>Résultat 2</w:t>
      </w:r>
      <w:r w:rsidRPr="009E77AF">
        <w:rPr>
          <w:rFonts w:ascii="Arial" w:eastAsia="Times New Roman" w:hAnsi="Arial" w:cs="Arial"/>
          <w:sz w:val="20"/>
          <w:szCs w:val="20"/>
        </w:rPr>
        <w:t xml:space="preserve"> – </w:t>
      </w:r>
      <w:r w:rsidR="004969D7">
        <w:rPr>
          <w:rFonts w:ascii="Arial" w:eastAsia="Times New Roman" w:hAnsi="Arial" w:cs="Arial"/>
          <w:sz w:val="20"/>
          <w:szCs w:val="20"/>
        </w:rPr>
        <w:t>Un premier rapport d’</w:t>
      </w:r>
      <w:r w:rsidR="00504153" w:rsidRPr="009E77AF">
        <w:rPr>
          <w:rFonts w:ascii="Arial" w:eastAsia="Times New Roman" w:hAnsi="Arial" w:cs="Arial"/>
          <w:sz w:val="20"/>
          <w:szCs w:val="20"/>
        </w:rPr>
        <w:t xml:space="preserve">analyse de la faisabilité juridique, économique, </w:t>
      </w:r>
      <w:r w:rsidR="00504153" w:rsidRPr="004969D7">
        <w:rPr>
          <w:rFonts w:ascii="Arial" w:eastAsia="Times New Roman" w:hAnsi="Arial" w:cs="Arial"/>
          <w:sz w:val="20"/>
          <w:szCs w:val="20"/>
        </w:rPr>
        <w:t xml:space="preserve">institutionnel et social </w:t>
      </w:r>
      <w:r w:rsidR="009E77AF" w:rsidRPr="004969D7">
        <w:rPr>
          <w:rFonts w:ascii="Arial" w:eastAsia="Times New Roman" w:hAnsi="Arial" w:cs="Arial"/>
          <w:sz w:val="20"/>
          <w:szCs w:val="20"/>
        </w:rPr>
        <w:t>de</w:t>
      </w:r>
      <w:r w:rsidR="00504153" w:rsidRPr="004969D7">
        <w:rPr>
          <w:rFonts w:ascii="Arial" w:eastAsia="Times New Roman" w:hAnsi="Arial" w:cs="Arial"/>
          <w:sz w:val="20"/>
          <w:szCs w:val="20"/>
        </w:rPr>
        <w:t xml:space="preserve"> la mise en place</w:t>
      </w:r>
      <w:r w:rsidR="009E77AF" w:rsidRPr="004969D7">
        <w:rPr>
          <w:rFonts w:ascii="Arial" w:eastAsia="Times New Roman" w:hAnsi="Arial" w:cs="Arial"/>
          <w:sz w:val="20"/>
          <w:szCs w:val="20"/>
        </w:rPr>
        <w:t xml:space="preserve"> et l’opérationnalisation d’une taxe carbone en Tunisie</w:t>
      </w:r>
      <w:r w:rsidR="00504153" w:rsidRPr="004969D7">
        <w:rPr>
          <w:rFonts w:ascii="Arial" w:eastAsia="Times New Roman" w:hAnsi="Arial" w:cs="Arial"/>
          <w:sz w:val="20"/>
          <w:szCs w:val="20"/>
        </w:rPr>
        <w:t xml:space="preserve"> </w:t>
      </w:r>
      <w:r w:rsidR="009E77AF" w:rsidRPr="004969D7">
        <w:rPr>
          <w:rFonts w:ascii="Arial" w:eastAsia="Times New Roman" w:hAnsi="Arial" w:cs="Arial"/>
          <w:sz w:val="20"/>
          <w:szCs w:val="20"/>
        </w:rPr>
        <w:t xml:space="preserve">est réalisé. </w:t>
      </w:r>
      <w:r w:rsidR="004969D7" w:rsidRPr="004969D7">
        <w:rPr>
          <w:rFonts w:ascii="Arial" w:hAnsi="Arial" w:cs="Arial"/>
          <w:sz w:val="20"/>
          <w:szCs w:val="20"/>
        </w:rPr>
        <w:t xml:space="preserve">Une première recommandation portant sur un ou plusieurs modèles de taxe carbone, jugés pertinents au regard du contexte tunisien, </w:t>
      </w:r>
      <w:r w:rsidR="0052169C">
        <w:rPr>
          <w:rFonts w:ascii="Arial" w:hAnsi="Arial" w:cs="Arial"/>
          <w:sz w:val="20"/>
          <w:szCs w:val="20"/>
        </w:rPr>
        <w:t>est</w:t>
      </w:r>
      <w:r w:rsidR="004969D7" w:rsidRPr="004969D7">
        <w:rPr>
          <w:rFonts w:ascii="Arial" w:hAnsi="Arial" w:cs="Arial"/>
          <w:sz w:val="20"/>
          <w:szCs w:val="20"/>
        </w:rPr>
        <w:t xml:space="preserve"> formulée en amont afin d’alimenter les travaux de l’étude de faisabilité.</w:t>
      </w:r>
    </w:p>
    <w:p w14:paraId="25C56C62" w14:textId="5F1FA62B" w:rsidR="00897CE2" w:rsidRDefault="004969D7" w:rsidP="007B6F61">
      <w:pPr>
        <w:spacing w:line="240" w:lineRule="auto"/>
        <w:jc w:val="both"/>
        <w:outlineLvl w:val="1"/>
        <w:rPr>
          <w:rFonts w:ascii="Arial" w:eastAsia="Times New Roman" w:hAnsi="Arial" w:cs="Arial"/>
          <w:sz w:val="20"/>
          <w:szCs w:val="20"/>
        </w:rPr>
      </w:pPr>
      <w:r>
        <w:rPr>
          <w:rFonts w:ascii="Arial" w:eastAsia="Times New Roman" w:hAnsi="Arial" w:cs="Arial"/>
          <w:sz w:val="20"/>
          <w:szCs w:val="20"/>
        </w:rPr>
        <w:t>I</w:t>
      </w:r>
      <w:r w:rsidR="004001D6">
        <w:rPr>
          <w:rFonts w:ascii="Arial" w:eastAsia="Times New Roman" w:hAnsi="Arial" w:cs="Arial"/>
          <w:sz w:val="20"/>
          <w:szCs w:val="20"/>
        </w:rPr>
        <w:t xml:space="preserve">l ne s’agit pas ici de mettre en place une taxe carbone qui viendrait alourdir les charges économiques des entreprises et des ménages, mais bien de concevoir un mécanisme équilibré, capable d’orienter les comportements tout en préservant la compétitivité économique et le pouvoir d’achat. </w:t>
      </w:r>
    </w:p>
    <w:p w14:paraId="758827EB" w14:textId="77777777" w:rsidR="007B6F61" w:rsidRPr="00622540" w:rsidRDefault="007B6F61" w:rsidP="00622540">
      <w:pPr>
        <w:pStyle w:val="Paragraphedeliste"/>
        <w:numPr>
          <w:ilvl w:val="0"/>
          <w:numId w:val="2"/>
        </w:numPr>
        <w:spacing w:before="120" w:after="120" w:line="240" w:lineRule="auto"/>
        <w:jc w:val="both"/>
        <w:rPr>
          <w:rFonts w:ascii="Arial" w:eastAsia="Times New Roman" w:hAnsi="Arial" w:cs="Arial"/>
          <w:b/>
          <w:color w:val="009CA6"/>
        </w:rPr>
      </w:pPr>
      <w:r w:rsidRPr="00433B7A">
        <w:rPr>
          <w:rFonts w:ascii="Arial" w:eastAsia="Times New Roman" w:hAnsi="Arial" w:cs="Arial"/>
          <w:b/>
          <w:color w:val="009CA6"/>
        </w:rPr>
        <w:t>Description de la mission</w:t>
      </w:r>
    </w:p>
    <w:p w14:paraId="0370461B" w14:textId="0E087656" w:rsidR="007B6F61" w:rsidRPr="002C3752" w:rsidRDefault="007B6F61" w:rsidP="007B6F61">
      <w:pPr>
        <w:spacing w:line="240" w:lineRule="auto"/>
        <w:jc w:val="both"/>
        <w:rPr>
          <w:rFonts w:ascii="Arial" w:eastAsia="Times New Roman" w:hAnsi="Arial" w:cs="Arial"/>
          <w:sz w:val="20"/>
          <w:szCs w:val="20"/>
        </w:rPr>
      </w:pPr>
      <w:r w:rsidRPr="005C2159">
        <w:rPr>
          <w:rFonts w:ascii="Arial" w:eastAsia="Times New Roman" w:hAnsi="Arial" w:cs="Arial"/>
          <w:sz w:val="20"/>
          <w:szCs w:val="20"/>
        </w:rPr>
        <w:t>La mission s'étendra sur un</w:t>
      </w:r>
      <w:r w:rsidR="002F5730">
        <w:rPr>
          <w:rFonts w:ascii="Arial" w:eastAsia="Times New Roman" w:hAnsi="Arial" w:cs="Arial"/>
          <w:sz w:val="20"/>
          <w:szCs w:val="20"/>
        </w:rPr>
        <w:t xml:space="preserve">e durée de 3 mois </w:t>
      </w:r>
      <w:r w:rsidRPr="004F0618">
        <w:rPr>
          <w:rFonts w:ascii="Arial" w:eastAsia="Times New Roman" w:hAnsi="Arial" w:cs="Arial"/>
          <w:sz w:val="20"/>
          <w:szCs w:val="20"/>
        </w:rPr>
        <w:t>et reposera sur la méthodologie présentée ci-après</w:t>
      </w:r>
      <w:r w:rsidRPr="002C3752">
        <w:rPr>
          <w:rFonts w:ascii="Arial" w:eastAsia="Times New Roman" w:hAnsi="Arial" w:cs="Arial"/>
          <w:sz w:val="20"/>
          <w:szCs w:val="20"/>
        </w:rPr>
        <w:t>.</w:t>
      </w:r>
    </w:p>
    <w:p w14:paraId="053E244C" w14:textId="77777777" w:rsidR="007B6F61" w:rsidRPr="002C3752" w:rsidRDefault="007B6F61" w:rsidP="007B6F61">
      <w:pPr>
        <w:spacing w:line="240" w:lineRule="auto"/>
        <w:jc w:val="both"/>
        <w:rPr>
          <w:rFonts w:ascii="Arial" w:eastAsia="Arial" w:hAnsi="Arial" w:cs="Arial"/>
          <w:sz w:val="20"/>
          <w:szCs w:val="20"/>
        </w:rPr>
      </w:pPr>
      <w:r w:rsidRPr="002C3752">
        <w:rPr>
          <w:rFonts w:ascii="Arial" w:eastAsia="Arial" w:hAnsi="Arial" w:cs="Arial"/>
          <w:sz w:val="20"/>
          <w:szCs w:val="20"/>
        </w:rPr>
        <w:t>Il s’agit d’une méthodologie préliminaire que les candidat.es doivent s’approprier et compléter. Toute proposition alternative, venant changer la logique d’intervention, doit être accompagnée d'une justification détaillée expliquant les raisons de ces modifications et les avantages attendus.</w:t>
      </w:r>
    </w:p>
    <w:p w14:paraId="7E1DB4BA" w14:textId="765AEB52" w:rsidR="006B0FE9" w:rsidRPr="00433B7A" w:rsidRDefault="007B6F61" w:rsidP="007B6F61">
      <w:pPr>
        <w:spacing w:before="120" w:after="120" w:line="240" w:lineRule="auto"/>
        <w:jc w:val="both"/>
        <w:rPr>
          <w:rFonts w:ascii="Arial" w:eastAsia="Arial" w:hAnsi="Arial" w:cs="Arial"/>
          <w:sz w:val="20"/>
          <w:szCs w:val="20"/>
        </w:rPr>
      </w:pPr>
      <w:r w:rsidRPr="002C3752">
        <w:rPr>
          <w:rFonts w:ascii="Arial" w:eastAsia="Arial" w:hAnsi="Arial" w:cs="Arial"/>
          <w:sz w:val="20"/>
          <w:szCs w:val="20"/>
        </w:rPr>
        <w:t xml:space="preserve">Les </w:t>
      </w:r>
      <w:r w:rsidRPr="002C3752">
        <w:rPr>
          <w:rFonts w:ascii="Arial" w:eastAsia="Arial" w:hAnsi="Arial" w:cs="Arial"/>
          <w:sz w:val="20"/>
          <w:szCs w:val="20"/>
          <w:u w:val="single"/>
        </w:rPr>
        <w:t xml:space="preserve">candidat.es seront évalué.es sur leur capacité </w:t>
      </w:r>
      <w:r w:rsidRPr="005C2159">
        <w:rPr>
          <w:rFonts w:ascii="Arial" w:eastAsia="Arial" w:hAnsi="Arial" w:cs="Arial"/>
          <w:sz w:val="20"/>
          <w:szCs w:val="20"/>
          <w:u w:val="single"/>
        </w:rPr>
        <w:t>à se réapproprier cette méthodologie</w:t>
      </w:r>
      <w:r w:rsidRPr="005C2159">
        <w:rPr>
          <w:rFonts w:ascii="Arial" w:eastAsia="Arial" w:hAnsi="Arial" w:cs="Arial"/>
          <w:sz w:val="20"/>
          <w:szCs w:val="20"/>
        </w:rPr>
        <w:t xml:space="preserve"> et à y intégrer des éléments </w:t>
      </w:r>
      <w:r w:rsidRPr="004F0618">
        <w:rPr>
          <w:rFonts w:ascii="Arial" w:eastAsia="Arial" w:hAnsi="Arial" w:cs="Arial"/>
          <w:sz w:val="20"/>
          <w:szCs w:val="20"/>
        </w:rPr>
        <w:t>innovants et à forte valeur ajoutée pour optimiser l'impact de leur intervention.</w:t>
      </w:r>
    </w:p>
    <w:p w14:paraId="47A81EC7" w14:textId="56C4EC38" w:rsidR="002F5730" w:rsidRPr="002F5730" w:rsidRDefault="002F5730" w:rsidP="00516E07">
      <w:pPr>
        <w:pStyle w:val="Paragraphedeliste"/>
        <w:numPr>
          <w:ilvl w:val="0"/>
          <w:numId w:val="18"/>
        </w:numPr>
        <w:spacing w:before="120" w:after="120" w:line="240" w:lineRule="auto"/>
        <w:jc w:val="both"/>
        <w:rPr>
          <w:rFonts w:ascii="Arial" w:eastAsia="Times New Roman" w:hAnsi="Arial" w:cs="Arial"/>
          <w:sz w:val="20"/>
          <w:szCs w:val="20"/>
        </w:rPr>
      </w:pPr>
      <w:r>
        <w:rPr>
          <w:rFonts w:ascii="Arial" w:eastAsia="Times New Roman" w:hAnsi="Arial" w:cs="Arial"/>
          <w:b/>
          <w:color w:val="6E6E6E"/>
          <w:sz w:val="20"/>
          <w:szCs w:val="20"/>
          <w:u w:val="single"/>
        </w:rPr>
        <w:t xml:space="preserve">Etape 1 : </w:t>
      </w:r>
      <w:r w:rsidR="00AD4DA7">
        <w:rPr>
          <w:rFonts w:ascii="Arial" w:eastAsia="Times New Roman" w:hAnsi="Arial" w:cs="Arial"/>
          <w:b/>
          <w:color w:val="6E6E6E"/>
          <w:sz w:val="20"/>
          <w:szCs w:val="20"/>
          <w:u w:val="single"/>
        </w:rPr>
        <w:t xml:space="preserve">Diagnostic </w:t>
      </w:r>
      <w:r w:rsidR="006B0FE9">
        <w:rPr>
          <w:rFonts w:ascii="Arial" w:eastAsia="Times New Roman" w:hAnsi="Arial" w:cs="Arial"/>
          <w:b/>
          <w:color w:val="6E6E6E"/>
          <w:sz w:val="20"/>
          <w:szCs w:val="20"/>
          <w:u w:val="single"/>
        </w:rPr>
        <w:t>des taxes environnementales existantes en Tunisie &amp; benchmark de la mise en œuvre et de l’opérationnalisation des taxes carbones dans des pays ayant des structures commerciales similaires</w:t>
      </w:r>
    </w:p>
    <w:p w14:paraId="17B1A1A5" w14:textId="6FE01FA2" w:rsidR="007B6F61" w:rsidRPr="002F5730" w:rsidRDefault="007B6F61" w:rsidP="002F5730">
      <w:pPr>
        <w:spacing w:before="120" w:after="120" w:line="240" w:lineRule="auto"/>
        <w:jc w:val="both"/>
        <w:rPr>
          <w:rFonts w:ascii="Arial" w:eastAsia="Times New Roman" w:hAnsi="Arial" w:cs="Arial"/>
          <w:sz w:val="20"/>
          <w:szCs w:val="20"/>
        </w:rPr>
      </w:pPr>
      <w:r w:rsidRPr="002F5730">
        <w:rPr>
          <w:rFonts w:ascii="Arial" w:eastAsia="Times New Roman" w:hAnsi="Arial" w:cs="Arial"/>
          <w:sz w:val="20"/>
          <w:szCs w:val="20"/>
        </w:rPr>
        <w:t xml:space="preserve">La mission démarrera avec une réunion de cadrage entre les prestataires et l’équipe du projet </w:t>
      </w:r>
      <w:proofErr w:type="spellStart"/>
      <w:r w:rsidRPr="002F5730">
        <w:rPr>
          <w:rFonts w:ascii="Arial" w:eastAsia="Times New Roman" w:hAnsi="Arial" w:cs="Arial"/>
          <w:sz w:val="20"/>
          <w:szCs w:val="20"/>
        </w:rPr>
        <w:t>Greenov’i</w:t>
      </w:r>
      <w:proofErr w:type="spellEnd"/>
      <w:r w:rsidRPr="002F5730">
        <w:rPr>
          <w:rFonts w:ascii="Arial" w:eastAsia="Times New Roman" w:hAnsi="Arial" w:cs="Arial"/>
          <w:sz w:val="20"/>
          <w:szCs w:val="20"/>
        </w:rPr>
        <w:t xml:space="preserve"> ainsi que</w:t>
      </w:r>
      <w:r w:rsidR="00CC0738">
        <w:rPr>
          <w:rFonts w:ascii="Arial" w:eastAsia="Times New Roman" w:hAnsi="Arial" w:cs="Arial"/>
          <w:sz w:val="20"/>
          <w:szCs w:val="20"/>
        </w:rPr>
        <w:t xml:space="preserve"> les membres de la DGELF</w:t>
      </w:r>
      <w:r w:rsidR="009E77AF">
        <w:rPr>
          <w:rFonts w:ascii="Arial" w:eastAsia="Times New Roman" w:hAnsi="Arial" w:cs="Arial"/>
          <w:sz w:val="20"/>
          <w:szCs w:val="20"/>
        </w:rPr>
        <w:t xml:space="preserve"> et les partenaires institutionnels du projet </w:t>
      </w:r>
      <w:proofErr w:type="spellStart"/>
      <w:r w:rsidR="009E77AF">
        <w:rPr>
          <w:rFonts w:ascii="Arial" w:eastAsia="Times New Roman" w:hAnsi="Arial" w:cs="Arial"/>
          <w:sz w:val="20"/>
          <w:szCs w:val="20"/>
        </w:rPr>
        <w:t>Greenov’i</w:t>
      </w:r>
      <w:proofErr w:type="spellEnd"/>
      <w:r w:rsidR="00CC0738">
        <w:rPr>
          <w:rFonts w:ascii="Arial" w:eastAsia="Times New Roman" w:hAnsi="Arial" w:cs="Arial"/>
          <w:sz w:val="20"/>
          <w:szCs w:val="20"/>
        </w:rPr>
        <w:t xml:space="preserve"> impliqués dans ce processus</w:t>
      </w:r>
      <w:r w:rsidRPr="002F5730">
        <w:rPr>
          <w:rFonts w:ascii="Arial" w:eastAsia="Times New Roman" w:hAnsi="Arial" w:cs="Arial"/>
          <w:sz w:val="20"/>
          <w:szCs w:val="20"/>
        </w:rPr>
        <w:t>, visant à définir clairement le cadre de travail, les attentes et à établir une vision commune, tant sur le plan technique qu’opérationnel.</w:t>
      </w:r>
    </w:p>
    <w:p w14:paraId="1492F942" w14:textId="77777777" w:rsidR="007B6F61" w:rsidRPr="002C3752" w:rsidRDefault="007B6F61" w:rsidP="007B6F61">
      <w:pPr>
        <w:spacing w:before="120" w:after="120" w:line="240" w:lineRule="auto"/>
        <w:jc w:val="both"/>
        <w:rPr>
          <w:rFonts w:ascii="Arial" w:eastAsia="Times New Roman" w:hAnsi="Arial" w:cs="Arial"/>
          <w:sz w:val="20"/>
          <w:szCs w:val="20"/>
        </w:rPr>
      </w:pPr>
      <w:r w:rsidRPr="002C3752">
        <w:rPr>
          <w:rFonts w:ascii="Arial" w:eastAsia="Times New Roman" w:hAnsi="Arial" w:cs="Arial"/>
          <w:sz w:val="20"/>
          <w:szCs w:val="20"/>
        </w:rPr>
        <w:t>À l’issue de cette réunion, dans un délai de 10 jours, les prestataires devront rédiger une note de cadrage incluant, au minimum :</w:t>
      </w:r>
    </w:p>
    <w:p w14:paraId="657102EF" w14:textId="0EB00749" w:rsidR="007B6F61" w:rsidRPr="002C3752" w:rsidRDefault="007B6F61" w:rsidP="007B6F61">
      <w:pPr>
        <w:pStyle w:val="Paragraphedeliste"/>
        <w:numPr>
          <w:ilvl w:val="0"/>
          <w:numId w:val="14"/>
        </w:numPr>
        <w:spacing w:before="120" w:after="120" w:line="240" w:lineRule="auto"/>
        <w:jc w:val="both"/>
        <w:rPr>
          <w:rFonts w:ascii="Arial" w:eastAsia="Times New Roman" w:hAnsi="Arial" w:cs="Arial"/>
          <w:sz w:val="20"/>
          <w:szCs w:val="20"/>
        </w:rPr>
      </w:pPr>
      <w:r w:rsidRPr="002C3752">
        <w:rPr>
          <w:rFonts w:ascii="Arial" w:eastAsia="Times New Roman" w:hAnsi="Arial" w:cs="Arial"/>
          <w:sz w:val="20"/>
          <w:szCs w:val="20"/>
        </w:rPr>
        <w:t xml:space="preserve">La </w:t>
      </w:r>
      <w:r w:rsidR="009E77AF">
        <w:rPr>
          <w:rFonts w:ascii="Arial" w:eastAsia="Times New Roman" w:hAnsi="Arial" w:cs="Arial"/>
          <w:sz w:val="20"/>
          <w:szCs w:val="20"/>
        </w:rPr>
        <w:t xml:space="preserve">méthodologie proposée incluant celle pour le (i) diagnostic des taxes environnementales existantes, (ii) pour le benchmark international et pour (iii) l’étude de la faisabilité multidimensionnelle de la taxe carbone, accompagnée des éventuelles révisions justifiées ; </w:t>
      </w:r>
    </w:p>
    <w:p w14:paraId="3B8A803D" w14:textId="2F9BA20B" w:rsidR="007B6F61" w:rsidRDefault="007B6F61" w:rsidP="007B6F61">
      <w:pPr>
        <w:pStyle w:val="Paragraphedeliste"/>
        <w:numPr>
          <w:ilvl w:val="0"/>
          <w:numId w:val="14"/>
        </w:numPr>
        <w:spacing w:before="120" w:after="120" w:line="240" w:lineRule="auto"/>
        <w:jc w:val="both"/>
        <w:rPr>
          <w:rFonts w:ascii="Arial" w:eastAsia="Times New Roman" w:hAnsi="Arial" w:cs="Arial"/>
          <w:sz w:val="20"/>
          <w:szCs w:val="20"/>
        </w:rPr>
      </w:pPr>
      <w:r w:rsidRPr="002C3752">
        <w:rPr>
          <w:rFonts w:ascii="Arial" w:eastAsia="Times New Roman" w:hAnsi="Arial" w:cs="Arial"/>
          <w:sz w:val="20"/>
          <w:szCs w:val="20"/>
        </w:rPr>
        <w:t>Un calendrier prévisionnel actualisé.</w:t>
      </w:r>
    </w:p>
    <w:p w14:paraId="4B666FD6" w14:textId="7B089C04" w:rsidR="007B6F61" w:rsidRPr="004969D7" w:rsidRDefault="009A70E1" w:rsidP="009A70E1">
      <w:pPr>
        <w:spacing w:before="120" w:after="120" w:line="240" w:lineRule="auto"/>
        <w:jc w:val="both"/>
        <w:rPr>
          <w:rFonts w:ascii="Arial" w:hAnsi="Arial" w:cs="Arial"/>
          <w:sz w:val="20"/>
          <w:szCs w:val="20"/>
        </w:rPr>
      </w:pPr>
      <w:r>
        <w:rPr>
          <w:rFonts w:ascii="Arial" w:hAnsi="Arial" w:cs="Arial"/>
          <w:sz w:val="20"/>
          <w:szCs w:val="20"/>
        </w:rPr>
        <w:t xml:space="preserve">Sur la base des éléments définis dans la note de cadrage, les expert.es devront réaliser un diagnostic exhaustif des taxes environnementales actuellement en vigueur en Tunisie, ainsi que des fonds qui leur sont associés. Ce diagnostic ne devra pas se limiter à une simple description : une </w:t>
      </w:r>
      <w:r w:rsidR="00FC6408">
        <w:rPr>
          <w:rFonts w:ascii="Arial" w:hAnsi="Arial" w:cs="Arial"/>
          <w:sz w:val="20"/>
          <w:szCs w:val="20"/>
        </w:rPr>
        <w:t>analyse critique d</w:t>
      </w:r>
      <w:r>
        <w:rPr>
          <w:rFonts w:ascii="Arial" w:hAnsi="Arial" w:cs="Arial"/>
          <w:sz w:val="20"/>
          <w:szCs w:val="20"/>
        </w:rPr>
        <w:t xml:space="preserve">es avantages, des limites et de pertinence </w:t>
      </w:r>
      <w:r w:rsidR="00B70E7A">
        <w:rPr>
          <w:rFonts w:ascii="Arial" w:hAnsi="Arial" w:cs="Arial"/>
          <w:sz w:val="20"/>
          <w:szCs w:val="20"/>
        </w:rPr>
        <w:t>(environnementale, sociale, économique et institution</w:t>
      </w:r>
      <w:r w:rsidR="00FC6408">
        <w:rPr>
          <w:rFonts w:ascii="Arial" w:hAnsi="Arial" w:cs="Arial"/>
          <w:sz w:val="20"/>
          <w:szCs w:val="20"/>
        </w:rPr>
        <w:t>n</w:t>
      </w:r>
      <w:r w:rsidR="00B70E7A">
        <w:rPr>
          <w:rFonts w:ascii="Arial" w:hAnsi="Arial" w:cs="Arial"/>
          <w:sz w:val="20"/>
          <w:szCs w:val="20"/>
        </w:rPr>
        <w:t xml:space="preserve">el) </w:t>
      </w:r>
      <w:r>
        <w:rPr>
          <w:rFonts w:ascii="Arial" w:hAnsi="Arial" w:cs="Arial"/>
          <w:sz w:val="20"/>
          <w:szCs w:val="20"/>
        </w:rPr>
        <w:t>de chaque taxe et fonds sera attendue</w:t>
      </w:r>
      <w:r w:rsidRPr="004969D7">
        <w:rPr>
          <w:rFonts w:ascii="Arial" w:hAnsi="Arial" w:cs="Arial"/>
          <w:sz w:val="20"/>
          <w:szCs w:val="20"/>
        </w:rPr>
        <w:t xml:space="preserve">. </w:t>
      </w:r>
      <w:r w:rsidR="000F4E93" w:rsidRPr="004969D7">
        <w:rPr>
          <w:rFonts w:ascii="Arial" w:hAnsi="Arial" w:cs="Arial"/>
          <w:sz w:val="20"/>
          <w:szCs w:val="20"/>
        </w:rPr>
        <w:t xml:space="preserve">Ce diagnostic devra également être complété par une cartographie détaillée des parties prenantes, tant au niveau institutionnel qu’économique, afin d’identifier les acteurs concernés, de clarifier leurs rôles respectifs et d’analyser les implications concrètes de la mise en place </w:t>
      </w:r>
      <w:r w:rsidR="009B5947" w:rsidRPr="004969D7">
        <w:rPr>
          <w:rFonts w:ascii="Arial" w:hAnsi="Arial" w:cs="Arial"/>
          <w:sz w:val="20"/>
          <w:szCs w:val="20"/>
        </w:rPr>
        <w:t xml:space="preserve">de la taxe carbone pour chacun d’eux – en termes de responsabilités, d’impacts financiers, d’ajustements opérationnels et de capacité d’adaptation. </w:t>
      </w:r>
    </w:p>
    <w:p w14:paraId="61DB6F67" w14:textId="77777777" w:rsidR="003377A2" w:rsidRPr="004969D7" w:rsidRDefault="003377A2" w:rsidP="003377A2">
      <w:pPr>
        <w:spacing w:after="0" w:line="240" w:lineRule="auto"/>
        <w:jc w:val="both"/>
        <w:rPr>
          <w:rFonts w:ascii="Arial" w:hAnsi="Arial" w:cs="Arial"/>
          <w:sz w:val="20"/>
          <w:szCs w:val="20"/>
        </w:rPr>
      </w:pPr>
      <w:r w:rsidRPr="004969D7">
        <w:rPr>
          <w:rFonts w:ascii="Arial" w:hAnsi="Arial" w:cs="Arial"/>
          <w:sz w:val="20"/>
          <w:szCs w:val="20"/>
        </w:rPr>
        <w:t xml:space="preserve">Dans ce cadre, les expert.es mobilisé.es pourront recourir à une combinaison de méthodes d’enquête adaptées, incluant des entretiens semi-directifs, des questionnaires, ainsi qu’une revue documentaire des travaux et rapports existants, notamment ceux produits par la DGELF. </w:t>
      </w:r>
    </w:p>
    <w:p w14:paraId="4496E6CF" w14:textId="64CD2F76" w:rsidR="003377A2" w:rsidRDefault="003377A2" w:rsidP="00DD5101">
      <w:pPr>
        <w:spacing w:after="0" w:line="240" w:lineRule="auto"/>
        <w:jc w:val="both"/>
        <w:rPr>
          <w:rFonts w:ascii="Arial" w:hAnsi="Arial" w:cs="Arial"/>
          <w:sz w:val="20"/>
          <w:szCs w:val="20"/>
        </w:rPr>
      </w:pPr>
      <w:r w:rsidRPr="004969D7">
        <w:rPr>
          <w:rFonts w:ascii="Arial" w:hAnsi="Arial" w:cs="Arial"/>
          <w:sz w:val="20"/>
          <w:szCs w:val="20"/>
        </w:rPr>
        <w:t>Pour la conduite des entretiens, les expert.es devront consulte</w:t>
      </w:r>
      <w:r w:rsidR="004969D7">
        <w:rPr>
          <w:rFonts w:ascii="Arial" w:hAnsi="Arial" w:cs="Arial"/>
          <w:sz w:val="20"/>
          <w:szCs w:val="20"/>
        </w:rPr>
        <w:t>r</w:t>
      </w:r>
      <w:r w:rsidRPr="004969D7">
        <w:rPr>
          <w:rFonts w:ascii="Arial" w:hAnsi="Arial" w:cs="Arial"/>
          <w:sz w:val="20"/>
          <w:szCs w:val="20"/>
        </w:rPr>
        <w:t xml:space="preserve"> en priorité les institutions suivantes : (i) le Ministère du Commerce et du Développement des Exportations, (ii) le Ministère de l’Energie, des </w:t>
      </w:r>
      <w:r w:rsidRPr="004969D7">
        <w:rPr>
          <w:rFonts w:ascii="Arial" w:hAnsi="Arial" w:cs="Arial"/>
          <w:sz w:val="20"/>
          <w:szCs w:val="20"/>
        </w:rPr>
        <w:lastRenderedPageBreak/>
        <w:t xml:space="preserve">Mines et des Energies Renouvelables, (iii) le Ministère de l’Industrie, des Mines et de l’Energie, (iv) l’Agence Nationale de Maîtrise de l’Energie (ANME), (v) l’Agence Nationale de Gestion des Déchets (ANGED), (vi) le Centre International des Technologies de l’Environnement de Tunis (CITET), ainsi que la Douane tunisienne. La mobilisation de ces parties prenantes permettra de recueillir des éléments essentiels pour </w:t>
      </w:r>
      <w:r w:rsidR="00BE4338" w:rsidRPr="004969D7">
        <w:rPr>
          <w:rFonts w:ascii="Arial" w:hAnsi="Arial" w:cs="Arial"/>
          <w:sz w:val="20"/>
          <w:szCs w:val="20"/>
        </w:rPr>
        <w:t>évaluer l</w:t>
      </w:r>
      <w:r w:rsidR="00DD5101" w:rsidRPr="004969D7">
        <w:rPr>
          <w:rFonts w:ascii="Arial" w:hAnsi="Arial" w:cs="Arial"/>
          <w:sz w:val="20"/>
          <w:szCs w:val="20"/>
        </w:rPr>
        <w:t>a faisabilité, les implications concrètes et les conditions de réussite de la mise en œuvre progressive d’un dispositif national de taxe carbone.</w:t>
      </w:r>
      <w:r w:rsidR="00DD5101">
        <w:rPr>
          <w:rFonts w:ascii="Arial" w:hAnsi="Arial" w:cs="Arial"/>
          <w:sz w:val="20"/>
          <w:szCs w:val="20"/>
        </w:rPr>
        <w:t xml:space="preserve"> </w:t>
      </w:r>
    </w:p>
    <w:p w14:paraId="4D43412D" w14:textId="77777777" w:rsidR="00DD5101" w:rsidRDefault="00DD5101" w:rsidP="00DD5101">
      <w:pPr>
        <w:spacing w:after="0" w:line="240" w:lineRule="auto"/>
        <w:jc w:val="both"/>
        <w:rPr>
          <w:rFonts w:ascii="Arial" w:hAnsi="Arial" w:cs="Arial"/>
          <w:sz w:val="20"/>
          <w:szCs w:val="20"/>
        </w:rPr>
      </w:pPr>
    </w:p>
    <w:p w14:paraId="2BC510BB" w14:textId="7CD2F892" w:rsidR="009A70E1" w:rsidRDefault="008416A3" w:rsidP="009A70E1">
      <w:pPr>
        <w:spacing w:before="120" w:after="120" w:line="240" w:lineRule="auto"/>
        <w:jc w:val="both"/>
        <w:rPr>
          <w:rFonts w:ascii="Arial" w:hAnsi="Arial" w:cs="Arial"/>
          <w:sz w:val="20"/>
          <w:szCs w:val="20"/>
        </w:rPr>
      </w:pPr>
      <w:r>
        <w:rPr>
          <w:rFonts w:ascii="Arial" w:hAnsi="Arial" w:cs="Arial"/>
          <w:sz w:val="20"/>
          <w:szCs w:val="20"/>
        </w:rPr>
        <w:t xml:space="preserve">Cette phase de diagnostic devra s’effectuer en collaboration rapprochée avec les membres de la DGELF pertinents et les responsables des différents mécanismes fiscaux et fonds environnementaux. Le choix des modalités de diagnostic est laissé à l’appréciation des prestataires, à condition qu’il permette d’identifier clairement les taxes pouvant être regroupées ou mutualisées en une taxe carbone unique. </w:t>
      </w:r>
    </w:p>
    <w:p w14:paraId="3031244F" w14:textId="1A7948E3" w:rsidR="008416A3" w:rsidRPr="00361F1F" w:rsidRDefault="008416A3" w:rsidP="009A70E1">
      <w:pPr>
        <w:spacing w:before="120" w:after="120" w:line="240" w:lineRule="auto"/>
        <w:jc w:val="both"/>
        <w:rPr>
          <w:rFonts w:ascii="Arial" w:hAnsi="Arial" w:cs="Arial"/>
          <w:sz w:val="18"/>
          <w:szCs w:val="20"/>
        </w:rPr>
      </w:pPr>
      <w:r w:rsidRPr="008416A3">
        <w:rPr>
          <w:rFonts w:ascii="Arial" w:hAnsi="Arial" w:cs="Arial"/>
          <w:sz w:val="20"/>
        </w:rPr>
        <w:t>Ce travail de terrain constituera un</w:t>
      </w:r>
      <w:r w:rsidRPr="008416A3">
        <w:rPr>
          <w:rFonts w:ascii="Arial" w:hAnsi="Arial" w:cs="Arial"/>
          <w:b/>
          <w:sz w:val="20"/>
        </w:rPr>
        <w:t xml:space="preserve"> </w:t>
      </w:r>
      <w:r w:rsidRPr="008416A3">
        <w:rPr>
          <w:rStyle w:val="lev"/>
          <w:rFonts w:ascii="Arial" w:hAnsi="Arial" w:cs="Arial"/>
          <w:b w:val="0"/>
          <w:sz w:val="20"/>
        </w:rPr>
        <w:t>point d’appui stratégique</w:t>
      </w:r>
      <w:r w:rsidRPr="008416A3">
        <w:rPr>
          <w:rFonts w:ascii="Arial" w:hAnsi="Arial" w:cs="Arial"/>
          <w:sz w:val="20"/>
        </w:rPr>
        <w:t xml:space="preserve"> pour l’élaboration de la future taxe carbone, dont l’objectif est de </w:t>
      </w:r>
      <w:r w:rsidRPr="005B39A0">
        <w:rPr>
          <w:rStyle w:val="lev"/>
          <w:rFonts w:ascii="Arial" w:hAnsi="Arial" w:cs="Arial"/>
          <w:b w:val="0"/>
          <w:sz w:val="20"/>
        </w:rPr>
        <w:t>simplifier, clarifier et renforcer l’efficacité du dispositif fiscal environnemental tunisien</w:t>
      </w:r>
      <w:r w:rsidRPr="005B39A0">
        <w:rPr>
          <w:rFonts w:ascii="Arial" w:hAnsi="Arial" w:cs="Arial"/>
          <w:b/>
          <w:sz w:val="20"/>
        </w:rPr>
        <w:t xml:space="preserve">, </w:t>
      </w:r>
      <w:r w:rsidRPr="008416A3">
        <w:rPr>
          <w:rFonts w:ascii="Arial" w:hAnsi="Arial" w:cs="Arial"/>
          <w:sz w:val="20"/>
        </w:rPr>
        <w:t xml:space="preserve">en fusionnant </w:t>
      </w:r>
      <w:r w:rsidR="005B39A0">
        <w:rPr>
          <w:rFonts w:ascii="Arial" w:hAnsi="Arial" w:cs="Arial"/>
          <w:sz w:val="20"/>
        </w:rPr>
        <w:t xml:space="preserve">notamment </w:t>
      </w:r>
      <w:r w:rsidRPr="008416A3">
        <w:rPr>
          <w:rFonts w:ascii="Arial" w:hAnsi="Arial" w:cs="Arial"/>
          <w:sz w:val="20"/>
        </w:rPr>
        <w:t xml:space="preserve">les taxes </w:t>
      </w:r>
      <w:r w:rsidR="005B39A0">
        <w:rPr>
          <w:rFonts w:ascii="Arial" w:hAnsi="Arial" w:cs="Arial"/>
          <w:sz w:val="20"/>
        </w:rPr>
        <w:t xml:space="preserve">environnementales </w:t>
      </w:r>
      <w:r w:rsidRPr="008416A3">
        <w:rPr>
          <w:rFonts w:ascii="Arial" w:hAnsi="Arial" w:cs="Arial"/>
          <w:sz w:val="20"/>
        </w:rPr>
        <w:t>existantes dans un cadre cohérent et lisible</w:t>
      </w:r>
      <w:r w:rsidR="005B39A0">
        <w:rPr>
          <w:rFonts w:ascii="Arial" w:hAnsi="Arial" w:cs="Arial"/>
          <w:sz w:val="20"/>
        </w:rPr>
        <w:t xml:space="preserve"> et en les adaptant pour répondre d’autant mieux aux enjeux </w:t>
      </w:r>
      <w:r w:rsidR="000F4E93">
        <w:rPr>
          <w:rFonts w:ascii="Arial" w:hAnsi="Arial" w:cs="Arial"/>
          <w:sz w:val="20"/>
        </w:rPr>
        <w:t xml:space="preserve">et engagements </w:t>
      </w:r>
      <w:r w:rsidR="005B39A0">
        <w:rPr>
          <w:rFonts w:ascii="Arial" w:hAnsi="Arial" w:cs="Arial"/>
          <w:sz w:val="20"/>
        </w:rPr>
        <w:t>économiques (compétitifs avec le MACF) et climatiques de la Tunisie</w:t>
      </w:r>
      <w:r w:rsidRPr="008416A3">
        <w:rPr>
          <w:rFonts w:ascii="Arial" w:hAnsi="Arial" w:cs="Arial"/>
          <w:sz w:val="20"/>
        </w:rPr>
        <w:t>.</w:t>
      </w:r>
    </w:p>
    <w:p w14:paraId="5B90A2B1" w14:textId="62195930" w:rsidR="00924C6E" w:rsidRDefault="00B70E7A" w:rsidP="009A70E1">
      <w:pPr>
        <w:spacing w:before="120" w:after="120" w:line="240" w:lineRule="auto"/>
        <w:jc w:val="both"/>
        <w:rPr>
          <w:rFonts w:ascii="Arial" w:hAnsi="Arial" w:cs="Arial"/>
          <w:sz w:val="20"/>
          <w:szCs w:val="20"/>
        </w:rPr>
      </w:pPr>
      <w:r>
        <w:rPr>
          <w:rFonts w:ascii="Arial" w:hAnsi="Arial" w:cs="Arial"/>
          <w:sz w:val="20"/>
          <w:szCs w:val="20"/>
        </w:rPr>
        <w:t>En parallèle, les expert.es devront également réaliser un benchmark</w:t>
      </w:r>
      <w:r w:rsidR="00361F1F">
        <w:rPr>
          <w:rFonts w:ascii="Arial" w:hAnsi="Arial" w:cs="Arial"/>
          <w:sz w:val="20"/>
          <w:szCs w:val="20"/>
        </w:rPr>
        <w:t xml:space="preserve"> international</w:t>
      </w:r>
      <w:r>
        <w:rPr>
          <w:rFonts w:ascii="Arial" w:hAnsi="Arial" w:cs="Arial"/>
          <w:sz w:val="20"/>
          <w:szCs w:val="20"/>
        </w:rPr>
        <w:t xml:space="preserve"> </w:t>
      </w:r>
      <w:r w:rsidR="00CE4B33">
        <w:rPr>
          <w:rFonts w:ascii="Arial" w:hAnsi="Arial" w:cs="Arial"/>
          <w:sz w:val="20"/>
          <w:szCs w:val="20"/>
        </w:rPr>
        <w:t>portant sur les taxes carbone mises en place dans quatre à cinq pays présentant des structures économiques et commerciales similaires à la Tunisie. Ce travail compa</w:t>
      </w:r>
      <w:r w:rsidR="005332B6">
        <w:rPr>
          <w:rFonts w:ascii="Arial" w:hAnsi="Arial" w:cs="Arial"/>
          <w:sz w:val="20"/>
          <w:szCs w:val="20"/>
        </w:rPr>
        <w:t xml:space="preserve">ratif visera à identifier les </w:t>
      </w:r>
      <w:r w:rsidR="00924C6E">
        <w:rPr>
          <w:rFonts w:ascii="Arial" w:hAnsi="Arial" w:cs="Arial"/>
          <w:sz w:val="20"/>
          <w:szCs w:val="20"/>
        </w:rPr>
        <w:t xml:space="preserve">bonnes pratiques, les modèles </w:t>
      </w:r>
      <w:r w:rsidR="0060516B">
        <w:rPr>
          <w:rFonts w:ascii="Arial" w:hAnsi="Arial" w:cs="Arial"/>
          <w:sz w:val="20"/>
          <w:szCs w:val="20"/>
        </w:rPr>
        <w:t xml:space="preserve">les plus </w:t>
      </w:r>
      <w:r w:rsidR="00924C6E">
        <w:rPr>
          <w:rFonts w:ascii="Arial" w:hAnsi="Arial" w:cs="Arial"/>
          <w:sz w:val="20"/>
          <w:szCs w:val="20"/>
        </w:rPr>
        <w:t xml:space="preserve">pertinents et les enseignements </w:t>
      </w:r>
      <w:r w:rsidR="0060516B">
        <w:rPr>
          <w:rFonts w:ascii="Arial" w:hAnsi="Arial" w:cs="Arial"/>
          <w:sz w:val="20"/>
          <w:szCs w:val="20"/>
        </w:rPr>
        <w:t xml:space="preserve">susceptibles d’être transposés dans le contexte tunisien. </w:t>
      </w:r>
    </w:p>
    <w:p w14:paraId="3EF1A937" w14:textId="13CF2965" w:rsidR="0060516B" w:rsidRDefault="0060516B" w:rsidP="009A70E1">
      <w:pPr>
        <w:spacing w:before="120" w:after="120" w:line="240" w:lineRule="auto"/>
        <w:jc w:val="both"/>
        <w:rPr>
          <w:rFonts w:ascii="Arial" w:hAnsi="Arial" w:cs="Arial"/>
          <w:sz w:val="20"/>
          <w:szCs w:val="20"/>
        </w:rPr>
      </w:pPr>
      <w:r>
        <w:rPr>
          <w:rFonts w:ascii="Arial" w:hAnsi="Arial" w:cs="Arial"/>
          <w:sz w:val="20"/>
          <w:szCs w:val="20"/>
        </w:rPr>
        <w:t xml:space="preserve">L’analyse portera notamment sur : </w:t>
      </w:r>
    </w:p>
    <w:p w14:paraId="0D73B10E" w14:textId="3C1988F9" w:rsidR="0060516B" w:rsidRDefault="0060516B" w:rsidP="0060516B">
      <w:pPr>
        <w:pStyle w:val="Paragraphedeliste"/>
        <w:numPr>
          <w:ilvl w:val="0"/>
          <w:numId w:val="23"/>
        </w:numPr>
        <w:spacing w:before="120" w:after="120" w:line="240" w:lineRule="auto"/>
        <w:jc w:val="both"/>
        <w:rPr>
          <w:rFonts w:ascii="Arial" w:hAnsi="Arial" w:cs="Arial"/>
          <w:sz w:val="20"/>
          <w:szCs w:val="20"/>
        </w:rPr>
      </w:pPr>
      <w:r>
        <w:rPr>
          <w:rFonts w:ascii="Arial" w:hAnsi="Arial" w:cs="Arial"/>
          <w:sz w:val="20"/>
          <w:szCs w:val="20"/>
        </w:rPr>
        <w:t xml:space="preserve">Les caractéristiques clés de chaque taxe carbone (assiette, taux, secteurs couverts etc.) ; </w:t>
      </w:r>
    </w:p>
    <w:p w14:paraId="3AA885C9" w14:textId="3675E1FC" w:rsidR="0060516B" w:rsidRDefault="0060516B" w:rsidP="0060516B">
      <w:pPr>
        <w:pStyle w:val="Paragraphedeliste"/>
        <w:numPr>
          <w:ilvl w:val="0"/>
          <w:numId w:val="23"/>
        </w:numPr>
        <w:spacing w:before="120" w:after="120" w:line="240" w:lineRule="auto"/>
        <w:jc w:val="both"/>
        <w:rPr>
          <w:rFonts w:ascii="Arial" w:hAnsi="Arial" w:cs="Arial"/>
          <w:sz w:val="20"/>
          <w:szCs w:val="20"/>
        </w:rPr>
      </w:pPr>
      <w:r>
        <w:rPr>
          <w:rFonts w:ascii="Arial" w:hAnsi="Arial" w:cs="Arial"/>
          <w:sz w:val="20"/>
          <w:szCs w:val="20"/>
        </w:rPr>
        <w:t>Les modalités concrètes de mise en place et d’op</w:t>
      </w:r>
      <w:r w:rsidR="00226A4E">
        <w:rPr>
          <w:rFonts w:ascii="Arial" w:hAnsi="Arial" w:cs="Arial"/>
          <w:sz w:val="20"/>
          <w:szCs w:val="20"/>
        </w:rPr>
        <w:t xml:space="preserve">érationnalisation (cadre juridique, </w:t>
      </w:r>
      <w:r w:rsidR="005203BA">
        <w:rPr>
          <w:rFonts w:ascii="Arial" w:hAnsi="Arial" w:cs="Arial"/>
          <w:sz w:val="20"/>
          <w:szCs w:val="20"/>
        </w:rPr>
        <w:t xml:space="preserve">mécanismes de collecte, affectation des recettes, dispositifs d’accompagnement etc.) ; </w:t>
      </w:r>
    </w:p>
    <w:p w14:paraId="5A33CF79" w14:textId="535782AC" w:rsidR="00924C6E" w:rsidRDefault="005203BA" w:rsidP="00042FB9">
      <w:pPr>
        <w:pStyle w:val="Paragraphedeliste"/>
        <w:numPr>
          <w:ilvl w:val="0"/>
          <w:numId w:val="23"/>
        </w:numPr>
        <w:spacing w:before="120" w:after="120" w:line="240" w:lineRule="auto"/>
        <w:jc w:val="both"/>
        <w:rPr>
          <w:rFonts w:ascii="Arial" w:hAnsi="Arial" w:cs="Arial"/>
          <w:sz w:val="20"/>
          <w:szCs w:val="20"/>
        </w:rPr>
      </w:pPr>
      <w:r>
        <w:rPr>
          <w:rFonts w:ascii="Arial" w:hAnsi="Arial" w:cs="Arial"/>
          <w:sz w:val="20"/>
          <w:szCs w:val="20"/>
        </w:rPr>
        <w:t xml:space="preserve">Une analyse comparative des avantages, inconvénients et des opportunités associées à chaque modèle. </w:t>
      </w:r>
    </w:p>
    <w:p w14:paraId="5F3CEA35" w14:textId="00319D00" w:rsidR="005203BA" w:rsidRDefault="005203BA" w:rsidP="005203BA">
      <w:pPr>
        <w:spacing w:before="120" w:after="120" w:line="240" w:lineRule="auto"/>
        <w:jc w:val="both"/>
        <w:rPr>
          <w:rFonts w:ascii="Arial" w:hAnsi="Arial" w:cs="Arial"/>
          <w:sz w:val="20"/>
          <w:szCs w:val="20"/>
        </w:rPr>
      </w:pPr>
      <w:r>
        <w:rPr>
          <w:rFonts w:ascii="Arial" w:hAnsi="Arial" w:cs="Arial"/>
          <w:sz w:val="20"/>
          <w:szCs w:val="20"/>
        </w:rPr>
        <w:t xml:space="preserve">Cette analyse pourra être structurée à l’aide d’une matrice SWOT (forces, faiblesses, opportunités, menaces), afin de faciliter l’identification des éléments les plus adaptés aux réalités tunisiennes. </w:t>
      </w:r>
    </w:p>
    <w:p w14:paraId="0A60C865" w14:textId="0AA4B8C4" w:rsidR="00604ACE" w:rsidRPr="005203BA" w:rsidRDefault="00604ACE" w:rsidP="005203BA">
      <w:pPr>
        <w:spacing w:before="120" w:after="120" w:line="240" w:lineRule="auto"/>
        <w:jc w:val="both"/>
        <w:rPr>
          <w:rFonts w:ascii="Arial" w:hAnsi="Arial" w:cs="Arial"/>
          <w:sz w:val="20"/>
          <w:szCs w:val="20"/>
        </w:rPr>
      </w:pPr>
      <w:r>
        <w:rPr>
          <w:rFonts w:ascii="Arial" w:hAnsi="Arial" w:cs="Arial"/>
          <w:sz w:val="20"/>
          <w:szCs w:val="20"/>
        </w:rPr>
        <w:t xml:space="preserve">Lors de cette première étape, ils devront également fournir </w:t>
      </w:r>
      <w:r w:rsidR="00B05FE3">
        <w:rPr>
          <w:rFonts w:ascii="Arial" w:hAnsi="Arial" w:cs="Arial"/>
          <w:sz w:val="20"/>
          <w:szCs w:val="20"/>
        </w:rPr>
        <w:t xml:space="preserve">une analyse approfondie sur les implications économiques prochaines du MACF et le degré de responsabilité et de redevabilité du pays envers ce dispositif. </w:t>
      </w:r>
    </w:p>
    <w:p w14:paraId="33DD501E" w14:textId="24AD9928" w:rsidR="007B6F61" w:rsidRDefault="007B6F61" w:rsidP="007B6F61">
      <w:pPr>
        <w:spacing w:before="120" w:after="120" w:line="240" w:lineRule="auto"/>
        <w:jc w:val="both"/>
        <w:rPr>
          <w:rFonts w:ascii="Arial" w:eastAsia="Times New Roman" w:hAnsi="Arial" w:cs="Arial"/>
          <w:b/>
          <w:sz w:val="20"/>
          <w:szCs w:val="20"/>
          <w:u w:val="single"/>
        </w:rPr>
      </w:pPr>
      <w:r w:rsidRPr="00750432">
        <w:rPr>
          <w:rFonts w:ascii="Arial" w:eastAsia="Times New Roman" w:hAnsi="Arial" w:cs="Arial"/>
          <w:b/>
          <w:sz w:val="20"/>
          <w:szCs w:val="20"/>
          <w:u w:val="single"/>
        </w:rPr>
        <w:t>Livrables attendus à la fin de l’étape 1</w:t>
      </w:r>
      <w:r w:rsidR="00750432" w:rsidRPr="00750432">
        <w:rPr>
          <w:rFonts w:ascii="Arial" w:eastAsia="Times New Roman" w:hAnsi="Arial" w:cs="Arial"/>
          <w:b/>
          <w:sz w:val="20"/>
          <w:szCs w:val="20"/>
          <w:u w:val="single"/>
        </w:rPr>
        <w:t> :</w:t>
      </w:r>
    </w:p>
    <w:p w14:paraId="0597F9E6" w14:textId="042AEC34" w:rsidR="009E77AF" w:rsidRDefault="00B70E7A" w:rsidP="00516E07">
      <w:pPr>
        <w:pStyle w:val="Paragraphedeliste"/>
        <w:numPr>
          <w:ilvl w:val="0"/>
          <w:numId w:val="14"/>
        </w:numPr>
        <w:spacing w:before="120" w:after="120" w:line="240" w:lineRule="auto"/>
        <w:jc w:val="both"/>
        <w:rPr>
          <w:rFonts w:ascii="Arial" w:eastAsia="Times New Roman" w:hAnsi="Arial" w:cs="Arial"/>
          <w:sz w:val="20"/>
          <w:szCs w:val="20"/>
        </w:rPr>
      </w:pPr>
      <w:r>
        <w:rPr>
          <w:rFonts w:ascii="Arial" w:eastAsia="Times New Roman" w:hAnsi="Arial" w:cs="Arial"/>
          <w:sz w:val="20"/>
          <w:szCs w:val="20"/>
        </w:rPr>
        <w:t xml:space="preserve">Une </w:t>
      </w:r>
      <w:r w:rsidRPr="005332B6">
        <w:rPr>
          <w:rFonts w:ascii="Arial" w:eastAsia="Times New Roman" w:hAnsi="Arial" w:cs="Arial"/>
          <w:b/>
          <w:sz w:val="20"/>
          <w:szCs w:val="20"/>
        </w:rPr>
        <w:t>n</w:t>
      </w:r>
      <w:r w:rsidR="009E77AF" w:rsidRPr="005332B6">
        <w:rPr>
          <w:rFonts w:ascii="Arial" w:eastAsia="Times New Roman" w:hAnsi="Arial" w:cs="Arial"/>
          <w:b/>
          <w:sz w:val="20"/>
          <w:szCs w:val="20"/>
        </w:rPr>
        <w:t>ote de cadrage</w:t>
      </w:r>
      <w:r w:rsidR="009E77AF">
        <w:rPr>
          <w:rFonts w:ascii="Arial" w:eastAsia="Times New Roman" w:hAnsi="Arial" w:cs="Arial"/>
          <w:sz w:val="20"/>
          <w:szCs w:val="20"/>
        </w:rPr>
        <w:t xml:space="preserve"> incluant la méthodologie proposée pour le (i) diagnostic des taxes environnementales existantes, (ii) pour le benchmark international et pour (iii) l’étude de la faisabilité multidimensionnelle de la taxe carbone, accompagnée des éventuelles révisions justifiées et un calendrier prévisionnel actualisé ; </w:t>
      </w:r>
    </w:p>
    <w:p w14:paraId="20C2CBBD" w14:textId="7E475597" w:rsidR="00B70E7A" w:rsidRDefault="00B70E7A" w:rsidP="00516E07">
      <w:pPr>
        <w:pStyle w:val="Paragraphedeliste"/>
        <w:numPr>
          <w:ilvl w:val="0"/>
          <w:numId w:val="14"/>
        </w:numPr>
        <w:spacing w:before="120" w:after="120" w:line="240" w:lineRule="auto"/>
        <w:jc w:val="both"/>
        <w:rPr>
          <w:rFonts w:ascii="Arial" w:eastAsia="Times New Roman" w:hAnsi="Arial" w:cs="Arial"/>
          <w:sz w:val="20"/>
          <w:szCs w:val="20"/>
        </w:rPr>
      </w:pPr>
      <w:r>
        <w:rPr>
          <w:rFonts w:ascii="Arial" w:eastAsia="Times New Roman" w:hAnsi="Arial" w:cs="Arial"/>
          <w:sz w:val="20"/>
          <w:szCs w:val="20"/>
        </w:rPr>
        <w:t xml:space="preserve">Un </w:t>
      </w:r>
      <w:r w:rsidRPr="005332B6">
        <w:rPr>
          <w:rFonts w:ascii="Arial" w:eastAsia="Times New Roman" w:hAnsi="Arial" w:cs="Arial"/>
          <w:b/>
          <w:sz w:val="20"/>
          <w:szCs w:val="20"/>
        </w:rPr>
        <w:t>rapport de diagnostic</w:t>
      </w:r>
      <w:r>
        <w:rPr>
          <w:rFonts w:ascii="Arial" w:eastAsia="Times New Roman" w:hAnsi="Arial" w:cs="Arial"/>
          <w:sz w:val="20"/>
          <w:szCs w:val="20"/>
        </w:rPr>
        <w:t xml:space="preserve"> comprenant (i) un tableau récapitulatif des différentes taxes environnementales en Tunisie, ainsi que des fonds auxquels elles sont affectées, (ii) une analyse critique de chaque taxe, portant sur ses avantages, ses limites (environnementales, sociales, économiques, institutionnelles) et sa pertinence au regard des objectifs de durabilité et d’efficacité </w:t>
      </w:r>
      <w:r w:rsidRPr="004969D7">
        <w:rPr>
          <w:rFonts w:ascii="Arial" w:eastAsia="Times New Roman" w:hAnsi="Arial" w:cs="Arial"/>
          <w:sz w:val="20"/>
          <w:szCs w:val="20"/>
        </w:rPr>
        <w:t xml:space="preserve">fiscale, </w:t>
      </w:r>
      <w:r w:rsidR="009B5947" w:rsidRPr="004969D7">
        <w:rPr>
          <w:rFonts w:ascii="Arial" w:eastAsia="Times New Roman" w:hAnsi="Arial" w:cs="Arial"/>
          <w:sz w:val="20"/>
          <w:szCs w:val="20"/>
        </w:rPr>
        <w:t>(iii) une cartographie des parties prenantes liée à la taxe carbone (rôle, responsabilités et implications pour chacun des acteurs institutionnels et économiques)</w:t>
      </w:r>
      <w:r w:rsidR="003377A2" w:rsidRPr="004969D7">
        <w:rPr>
          <w:rFonts w:ascii="Arial" w:eastAsia="Times New Roman" w:hAnsi="Arial" w:cs="Arial"/>
          <w:sz w:val="20"/>
          <w:szCs w:val="20"/>
        </w:rPr>
        <w:t xml:space="preserve">, </w:t>
      </w:r>
      <w:r w:rsidR="009B5947" w:rsidRPr="004969D7">
        <w:rPr>
          <w:rFonts w:ascii="Arial" w:eastAsia="Times New Roman" w:hAnsi="Arial" w:cs="Arial"/>
          <w:sz w:val="20"/>
          <w:szCs w:val="20"/>
        </w:rPr>
        <w:t>(iv</w:t>
      </w:r>
      <w:r w:rsidRPr="004969D7">
        <w:rPr>
          <w:rFonts w:ascii="Arial" w:eastAsia="Times New Roman" w:hAnsi="Arial" w:cs="Arial"/>
          <w:sz w:val="20"/>
          <w:szCs w:val="20"/>
        </w:rPr>
        <w:t>) des premières pistes de recommandation en vue de la rationalisation du système, notamment par la mutualisation ou le regroupement de certaines taxes existantes au sein d’une taxe carbone unique plus cohérente et lisible </w:t>
      </w:r>
      <w:r w:rsidR="003377A2" w:rsidRPr="004969D7">
        <w:rPr>
          <w:rFonts w:ascii="Arial" w:eastAsia="Times New Roman" w:hAnsi="Arial" w:cs="Arial"/>
          <w:sz w:val="20"/>
          <w:szCs w:val="20"/>
        </w:rPr>
        <w:t xml:space="preserve">et (v) la liste des personnes interrogées ainsi que leurs fonctions au cours de cette phase de diagnostic </w:t>
      </w:r>
      <w:r w:rsidRPr="004969D7">
        <w:rPr>
          <w:rFonts w:ascii="Arial" w:eastAsia="Times New Roman" w:hAnsi="Arial" w:cs="Arial"/>
          <w:sz w:val="20"/>
          <w:szCs w:val="20"/>
        </w:rPr>
        <w:t>;</w:t>
      </w:r>
      <w:r>
        <w:rPr>
          <w:rFonts w:ascii="Arial" w:eastAsia="Times New Roman" w:hAnsi="Arial" w:cs="Arial"/>
          <w:sz w:val="20"/>
          <w:szCs w:val="20"/>
        </w:rPr>
        <w:t xml:space="preserve"> </w:t>
      </w:r>
    </w:p>
    <w:p w14:paraId="5B2F6FE2" w14:textId="1685FF16" w:rsidR="00516E07" w:rsidRDefault="00B70E7A" w:rsidP="00516E07">
      <w:pPr>
        <w:pStyle w:val="Paragraphedeliste"/>
        <w:numPr>
          <w:ilvl w:val="0"/>
          <w:numId w:val="14"/>
        </w:numPr>
        <w:spacing w:before="120" w:after="120" w:line="240" w:lineRule="auto"/>
        <w:jc w:val="both"/>
        <w:rPr>
          <w:rFonts w:ascii="Arial" w:eastAsia="Times New Roman" w:hAnsi="Arial" w:cs="Arial"/>
          <w:sz w:val="20"/>
          <w:szCs w:val="20"/>
        </w:rPr>
      </w:pPr>
      <w:r>
        <w:rPr>
          <w:rFonts w:ascii="Arial" w:eastAsia="Times New Roman" w:hAnsi="Arial" w:cs="Arial"/>
          <w:sz w:val="20"/>
          <w:szCs w:val="20"/>
        </w:rPr>
        <w:t xml:space="preserve">Un </w:t>
      </w:r>
      <w:r w:rsidRPr="005332B6">
        <w:rPr>
          <w:rFonts w:ascii="Arial" w:eastAsia="Times New Roman" w:hAnsi="Arial" w:cs="Arial"/>
          <w:b/>
          <w:sz w:val="20"/>
          <w:szCs w:val="20"/>
        </w:rPr>
        <w:t xml:space="preserve">benchmark </w:t>
      </w:r>
      <w:r w:rsidR="00CE4B33" w:rsidRPr="005332B6">
        <w:rPr>
          <w:rFonts w:ascii="Arial" w:eastAsia="Times New Roman" w:hAnsi="Arial" w:cs="Arial"/>
          <w:b/>
          <w:sz w:val="20"/>
          <w:szCs w:val="20"/>
        </w:rPr>
        <w:t xml:space="preserve">international portant sur les taxes carbone mises en place dans 4 à 5 pays présentant des structures économiques et commerciales similaires à la Tunisie </w:t>
      </w:r>
      <w:r w:rsidR="00CE4B33">
        <w:rPr>
          <w:rFonts w:ascii="Arial" w:eastAsia="Times New Roman" w:hAnsi="Arial" w:cs="Arial"/>
          <w:sz w:val="20"/>
          <w:szCs w:val="20"/>
        </w:rPr>
        <w:t>incluant (i) une description analytique de la taxe carbone dans chaque pays sélectionné, (ii) les modalités de mise en place, de gouvernance et d’opérationnalisation de ces dispositifs et (iii) une analyse comparative des avantages, des inconvénients et des opportunités associées à chaque modèle, en vue d’en tirer des enseignements transférables au contexte tunisien. Cette analyse pourra être</w:t>
      </w:r>
      <w:r w:rsidR="00604ACE">
        <w:rPr>
          <w:rFonts w:ascii="Arial" w:eastAsia="Times New Roman" w:hAnsi="Arial" w:cs="Arial"/>
          <w:sz w:val="20"/>
          <w:szCs w:val="20"/>
        </w:rPr>
        <w:t xml:space="preserve"> effectuée sur la base de SWOT ;</w:t>
      </w:r>
    </w:p>
    <w:p w14:paraId="2D97BFB1" w14:textId="016B3275" w:rsidR="00B05FE3" w:rsidRPr="00516E07" w:rsidRDefault="00B05FE3" w:rsidP="00516E07">
      <w:pPr>
        <w:pStyle w:val="Paragraphedeliste"/>
        <w:numPr>
          <w:ilvl w:val="0"/>
          <w:numId w:val="14"/>
        </w:numPr>
        <w:spacing w:before="120" w:after="120" w:line="240" w:lineRule="auto"/>
        <w:jc w:val="both"/>
        <w:rPr>
          <w:rFonts w:ascii="Arial" w:eastAsia="Times New Roman" w:hAnsi="Arial" w:cs="Arial"/>
          <w:sz w:val="20"/>
          <w:szCs w:val="20"/>
        </w:rPr>
      </w:pPr>
      <w:r>
        <w:rPr>
          <w:rFonts w:ascii="Arial" w:eastAsia="Times New Roman" w:hAnsi="Arial" w:cs="Arial"/>
          <w:sz w:val="20"/>
          <w:szCs w:val="20"/>
        </w:rPr>
        <w:lastRenderedPageBreak/>
        <w:t xml:space="preserve">Une </w:t>
      </w:r>
      <w:r w:rsidRPr="00B05FE3">
        <w:rPr>
          <w:rFonts w:ascii="Arial" w:eastAsia="Times New Roman" w:hAnsi="Arial" w:cs="Arial"/>
          <w:b/>
          <w:sz w:val="20"/>
          <w:szCs w:val="20"/>
        </w:rPr>
        <w:t>note d’analyse</w:t>
      </w:r>
      <w:r>
        <w:rPr>
          <w:rFonts w:ascii="Arial" w:eastAsia="Times New Roman" w:hAnsi="Arial" w:cs="Arial"/>
          <w:sz w:val="20"/>
          <w:szCs w:val="20"/>
        </w:rPr>
        <w:t xml:space="preserve"> sur (i) les implications économiques du MACF, (ii) le degré de responsabilité et de redevabilité du pays envers ce dispositif. Cette note pourra être agrémentée de webinaires sur le MACF à destination de la DGELF, des entreprises principalement touchées par ce dispositif et d’autres acteurs institutionnels. </w:t>
      </w:r>
    </w:p>
    <w:p w14:paraId="4C574D8A" w14:textId="77777777" w:rsidR="007B6F61" w:rsidRPr="00D3065D" w:rsidRDefault="007B6F61" w:rsidP="007B6F61">
      <w:pPr>
        <w:pStyle w:val="Paragraphedeliste"/>
        <w:spacing w:before="120" w:after="120" w:line="240" w:lineRule="auto"/>
        <w:jc w:val="both"/>
        <w:rPr>
          <w:rFonts w:ascii="Arial" w:eastAsia="Times New Roman" w:hAnsi="Arial" w:cs="Arial"/>
          <w:sz w:val="20"/>
          <w:szCs w:val="20"/>
        </w:rPr>
      </w:pPr>
    </w:p>
    <w:p w14:paraId="3B82DACC" w14:textId="1517D9D5" w:rsidR="00D65BAA" w:rsidRPr="00855341" w:rsidRDefault="007B6F61" w:rsidP="002F5730">
      <w:pPr>
        <w:pStyle w:val="Paragraphedeliste"/>
        <w:numPr>
          <w:ilvl w:val="0"/>
          <w:numId w:val="18"/>
        </w:numPr>
        <w:spacing w:before="120" w:after="120" w:line="240" w:lineRule="auto"/>
        <w:jc w:val="both"/>
        <w:rPr>
          <w:rFonts w:ascii="Arial" w:eastAsia="Times New Roman" w:hAnsi="Arial" w:cs="Arial"/>
          <w:b/>
          <w:sz w:val="20"/>
          <w:szCs w:val="20"/>
          <w:u w:val="single"/>
        </w:rPr>
      </w:pPr>
      <w:r w:rsidRPr="00433B7A">
        <w:rPr>
          <w:rFonts w:ascii="Arial" w:eastAsia="Times New Roman" w:hAnsi="Arial" w:cs="Arial"/>
          <w:b/>
          <w:color w:val="6E6E6E"/>
          <w:sz w:val="20"/>
          <w:szCs w:val="20"/>
          <w:u w:val="single"/>
        </w:rPr>
        <w:t xml:space="preserve">Etape 2 : </w:t>
      </w:r>
      <w:r w:rsidR="00B05FE3">
        <w:rPr>
          <w:rFonts w:ascii="Arial" w:eastAsia="Times New Roman" w:hAnsi="Arial" w:cs="Arial"/>
          <w:b/>
          <w:color w:val="6E6E6E"/>
          <w:sz w:val="20"/>
          <w:szCs w:val="20"/>
          <w:u w:val="single"/>
        </w:rPr>
        <w:t>Première étude de la</w:t>
      </w:r>
      <w:r w:rsidR="00DC7FF1">
        <w:rPr>
          <w:rFonts w:ascii="Arial" w:eastAsia="Times New Roman" w:hAnsi="Arial" w:cs="Arial"/>
          <w:b/>
          <w:color w:val="6E6E6E"/>
          <w:sz w:val="20"/>
          <w:szCs w:val="20"/>
          <w:u w:val="single"/>
        </w:rPr>
        <w:t xml:space="preserve"> faisa</w:t>
      </w:r>
      <w:r w:rsidR="009E77AF">
        <w:rPr>
          <w:rFonts w:ascii="Arial" w:eastAsia="Times New Roman" w:hAnsi="Arial" w:cs="Arial"/>
          <w:b/>
          <w:color w:val="6E6E6E"/>
          <w:sz w:val="20"/>
          <w:szCs w:val="20"/>
          <w:u w:val="single"/>
        </w:rPr>
        <w:t xml:space="preserve">bilité juridique, économique, </w:t>
      </w:r>
      <w:r w:rsidR="00DC7FF1">
        <w:rPr>
          <w:rFonts w:ascii="Arial" w:eastAsia="Times New Roman" w:hAnsi="Arial" w:cs="Arial"/>
          <w:b/>
          <w:color w:val="6E6E6E"/>
          <w:sz w:val="20"/>
          <w:szCs w:val="20"/>
          <w:u w:val="single"/>
        </w:rPr>
        <w:t xml:space="preserve">institutionnel </w:t>
      </w:r>
      <w:r w:rsidR="009E77AF">
        <w:rPr>
          <w:rFonts w:ascii="Arial" w:eastAsia="Times New Roman" w:hAnsi="Arial" w:cs="Arial"/>
          <w:b/>
          <w:color w:val="6E6E6E"/>
          <w:sz w:val="20"/>
          <w:szCs w:val="20"/>
          <w:u w:val="single"/>
        </w:rPr>
        <w:t xml:space="preserve">et social </w:t>
      </w:r>
      <w:r w:rsidR="00DC7FF1">
        <w:rPr>
          <w:rFonts w:ascii="Arial" w:eastAsia="Times New Roman" w:hAnsi="Arial" w:cs="Arial"/>
          <w:b/>
          <w:color w:val="6E6E6E"/>
          <w:sz w:val="20"/>
          <w:szCs w:val="20"/>
          <w:u w:val="single"/>
        </w:rPr>
        <w:t>de la mise en place et l’opérati</w:t>
      </w:r>
      <w:r w:rsidR="00DE5686">
        <w:rPr>
          <w:rFonts w:ascii="Arial" w:eastAsia="Times New Roman" w:hAnsi="Arial" w:cs="Arial"/>
          <w:b/>
          <w:color w:val="6E6E6E"/>
          <w:sz w:val="20"/>
          <w:szCs w:val="20"/>
          <w:u w:val="single"/>
        </w:rPr>
        <w:t>onnalisation d’une taxe carbone en Tunisie</w:t>
      </w:r>
    </w:p>
    <w:p w14:paraId="64188103" w14:textId="0A915810" w:rsidR="00D65BAA" w:rsidRDefault="00D65BAA" w:rsidP="002F5730">
      <w:pPr>
        <w:spacing w:before="120" w:after="120" w:line="240" w:lineRule="auto"/>
        <w:jc w:val="both"/>
        <w:rPr>
          <w:rFonts w:ascii="Arial" w:eastAsia="Times New Roman" w:hAnsi="Arial" w:cs="Arial"/>
          <w:sz w:val="20"/>
          <w:szCs w:val="20"/>
        </w:rPr>
      </w:pPr>
      <w:r w:rsidRPr="00855341">
        <w:rPr>
          <w:rFonts w:ascii="Arial" w:eastAsia="Times New Roman" w:hAnsi="Arial" w:cs="Arial"/>
          <w:sz w:val="20"/>
          <w:szCs w:val="20"/>
        </w:rPr>
        <w:t xml:space="preserve">Dans cette phase, les expert.es devront procéder à une évaluation approfondie de la faisabilité juridique, économique, institutionnelle et sociale </w:t>
      </w:r>
      <w:r w:rsidR="00855341">
        <w:rPr>
          <w:rFonts w:ascii="Arial" w:eastAsia="Times New Roman" w:hAnsi="Arial" w:cs="Arial"/>
          <w:sz w:val="20"/>
          <w:szCs w:val="20"/>
        </w:rPr>
        <w:t xml:space="preserve">de la mise en place et l’opérationnalisation d’une taxe carbone en Tunisie. </w:t>
      </w:r>
    </w:p>
    <w:p w14:paraId="2E013BB9" w14:textId="2C1F70B3" w:rsidR="00550361" w:rsidRDefault="00855341" w:rsidP="00E326F8">
      <w:pPr>
        <w:spacing w:before="120" w:after="120" w:line="240" w:lineRule="auto"/>
        <w:jc w:val="both"/>
        <w:rPr>
          <w:rFonts w:ascii="Arial" w:eastAsia="Times New Roman" w:hAnsi="Arial" w:cs="Arial"/>
          <w:sz w:val="20"/>
          <w:szCs w:val="20"/>
        </w:rPr>
      </w:pPr>
      <w:r>
        <w:rPr>
          <w:rFonts w:ascii="Arial" w:eastAsia="Times New Roman" w:hAnsi="Arial" w:cs="Arial"/>
          <w:sz w:val="20"/>
          <w:szCs w:val="20"/>
        </w:rPr>
        <w:t>Cette analyse multidimensionnelle visera à identifier de manière structurée les avantages, les contraintes, les opportunités et les risques liés à l’introduction d’un tel mécanisme dans le contexte tunisien, en s’appuyant notamment sur des éléments de droit, des données économiques, le fonctionnement institutionnel tuni</w:t>
      </w:r>
      <w:r w:rsidR="00703D6C">
        <w:rPr>
          <w:rFonts w:ascii="Arial" w:eastAsia="Times New Roman" w:hAnsi="Arial" w:cs="Arial"/>
          <w:sz w:val="20"/>
          <w:szCs w:val="20"/>
        </w:rPr>
        <w:t>sien et les impacts socio-économiques</w:t>
      </w:r>
      <w:r>
        <w:rPr>
          <w:rFonts w:ascii="Arial" w:eastAsia="Times New Roman" w:hAnsi="Arial" w:cs="Arial"/>
          <w:sz w:val="20"/>
          <w:szCs w:val="20"/>
        </w:rPr>
        <w:t xml:space="preserve"> potentiels. </w:t>
      </w:r>
    </w:p>
    <w:p w14:paraId="15843FA5" w14:textId="77777777" w:rsidR="00B56104" w:rsidRDefault="00E326F8" w:rsidP="00B56104">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L’objectif est de dégager </w:t>
      </w:r>
      <w:r w:rsidR="004969D7">
        <w:rPr>
          <w:rFonts w:ascii="Arial" w:eastAsia="Times New Roman" w:hAnsi="Arial" w:cs="Arial"/>
          <w:sz w:val="20"/>
          <w:szCs w:val="20"/>
        </w:rPr>
        <w:t xml:space="preserve">un premier rapport d’analyse de la faisabilité juridique, économique, social et institutionnel de la mise en place et de l’opérationnalisation d’une taxe carbone en Tunisie. </w:t>
      </w:r>
    </w:p>
    <w:p w14:paraId="0A8EDBB7" w14:textId="00173621" w:rsidR="009232DC" w:rsidRDefault="009232DC" w:rsidP="00B56104">
      <w:pPr>
        <w:spacing w:after="0" w:line="240" w:lineRule="auto"/>
        <w:jc w:val="both"/>
        <w:rPr>
          <w:rFonts w:ascii="Arial" w:eastAsia="Times New Roman" w:hAnsi="Arial" w:cs="Arial"/>
          <w:sz w:val="20"/>
          <w:szCs w:val="20"/>
        </w:rPr>
      </w:pPr>
      <w:r>
        <w:rPr>
          <w:rFonts w:ascii="Arial" w:eastAsia="Times New Roman" w:hAnsi="Arial" w:cs="Arial"/>
          <w:sz w:val="20"/>
          <w:szCs w:val="20"/>
        </w:rPr>
        <w:t>Il permettra également d’identifier des premiers contours de modèles de taxe carbone adaptés au contexte tunisien. Ces modèles devront être directement issus des enseignements tirés tout au long de la mission, et accompagnés d’une analyse comparative de leurs avantages, de leurs limites et des conditions nécessaires à leur mise en œuvre.</w:t>
      </w:r>
    </w:p>
    <w:p w14:paraId="3A55BA88" w14:textId="39AD7CF6" w:rsidR="00E326F8" w:rsidRDefault="00B05FE3" w:rsidP="00E326F8">
      <w:pPr>
        <w:spacing w:before="120" w:after="120" w:line="240" w:lineRule="auto"/>
        <w:jc w:val="both"/>
        <w:rPr>
          <w:rFonts w:ascii="Arial" w:eastAsia="Times New Roman" w:hAnsi="Arial" w:cs="Arial"/>
          <w:sz w:val="20"/>
          <w:szCs w:val="20"/>
        </w:rPr>
      </w:pPr>
      <w:r>
        <w:rPr>
          <w:rFonts w:ascii="Arial" w:eastAsia="Times New Roman" w:hAnsi="Arial" w:cs="Arial"/>
          <w:sz w:val="20"/>
          <w:szCs w:val="20"/>
        </w:rPr>
        <w:t xml:space="preserve">Ce premier rapport </w:t>
      </w:r>
      <w:r w:rsidR="009232DC">
        <w:rPr>
          <w:rFonts w:ascii="Arial" w:eastAsia="Times New Roman" w:hAnsi="Arial" w:cs="Arial"/>
          <w:sz w:val="20"/>
          <w:szCs w:val="20"/>
        </w:rPr>
        <w:t>et ses enseignements serviront</w:t>
      </w:r>
      <w:r>
        <w:rPr>
          <w:rFonts w:ascii="Arial" w:eastAsia="Times New Roman" w:hAnsi="Arial" w:cs="Arial"/>
          <w:sz w:val="20"/>
          <w:szCs w:val="20"/>
        </w:rPr>
        <w:t xml:space="preserve"> de socle commun pour la mise en place de l’étude de faisabilité </w:t>
      </w:r>
      <w:r w:rsidR="00085A38">
        <w:rPr>
          <w:rFonts w:ascii="Arial" w:eastAsia="Times New Roman" w:hAnsi="Arial" w:cs="Arial"/>
          <w:sz w:val="20"/>
          <w:szCs w:val="20"/>
        </w:rPr>
        <w:t xml:space="preserve">au début de 2026. </w:t>
      </w:r>
      <w:r w:rsidR="009232DC">
        <w:rPr>
          <w:rFonts w:ascii="Arial" w:eastAsia="Times New Roman" w:hAnsi="Arial" w:cs="Arial"/>
          <w:sz w:val="20"/>
          <w:szCs w:val="20"/>
        </w:rPr>
        <w:t xml:space="preserve"> </w:t>
      </w:r>
    </w:p>
    <w:p w14:paraId="577F2D58" w14:textId="33433B24" w:rsidR="00D65BAA" w:rsidRDefault="00703D6C" w:rsidP="002F5730">
      <w:pPr>
        <w:spacing w:before="120" w:after="120" w:line="240" w:lineRule="auto"/>
        <w:jc w:val="both"/>
        <w:rPr>
          <w:rFonts w:ascii="Arial" w:eastAsia="Times New Roman" w:hAnsi="Arial" w:cs="Arial"/>
          <w:sz w:val="20"/>
          <w:szCs w:val="20"/>
        </w:rPr>
      </w:pPr>
      <w:r>
        <w:rPr>
          <w:rFonts w:ascii="Arial" w:eastAsia="Times New Roman" w:hAnsi="Arial" w:cs="Arial"/>
          <w:sz w:val="20"/>
          <w:szCs w:val="20"/>
        </w:rPr>
        <w:t xml:space="preserve">Il s’agira également de démontrer comment une telle taxe pourrait être conçue de manière à ne pas alourdir excessivement la charge des entreprises ni des </w:t>
      </w:r>
      <w:proofErr w:type="spellStart"/>
      <w:proofErr w:type="gramStart"/>
      <w:r>
        <w:rPr>
          <w:rFonts w:ascii="Arial" w:eastAsia="Times New Roman" w:hAnsi="Arial" w:cs="Arial"/>
          <w:sz w:val="20"/>
          <w:szCs w:val="20"/>
        </w:rPr>
        <w:t>citoyen.ne.s</w:t>
      </w:r>
      <w:proofErr w:type="spellEnd"/>
      <w:proofErr w:type="gramEnd"/>
      <w:r>
        <w:rPr>
          <w:rFonts w:ascii="Arial" w:eastAsia="Times New Roman" w:hAnsi="Arial" w:cs="Arial"/>
          <w:sz w:val="20"/>
          <w:szCs w:val="20"/>
        </w:rPr>
        <w:t xml:space="preserve">, mais au contraire à </w:t>
      </w:r>
      <w:r>
        <w:rPr>
          <w:rFonts w:ascii="Arial" w:eastAsia="Times New Roman" w:hAnsi="Arial" w:cs="Arial"/>
          <w:b/>
          <w:sz w:val="20"/>
          <w:szCs w:val="20"/>
        </w:rPr>
        <w:t xml:space="preserve">simplifier, clarifier et renforcer la cohérence du système fiscal environnemental existant, </w:t>
      </w:r>
      <w:r w:rsidRPr="004969D7">
        <w:rPr>
          <w:rFonts w:ascii="Arial" w:eastAsia="Times New Roman" w:hAnsi="Arial" w:cs="Arial"/>
          <w:sz w:val="20"/>
          <w:szCs w:val="20"/>
        </w:rPr>
        <w:t xml:space="preserve">notamment en rationalisant les taxes actuelles autour d’un instrument unique, plus lisible et plus efficace. </w:t>
      </w:r>
      <w:r w:rsidR="00765E1B" w:rsidRPr="004969D7">
        <w:rPr>
          <w:rFonts w:ascii="Arial" w:eastAsia="Times New Roman" w:hAnsi="Arial" w:cs="Arial"/>
          <w:sz w:val="20"/>
          <w:szCs w:val="20"/>
        </w:rPr>
        <w:t>Elle devra également être articulée de façon à préserver les équilibres budgétaires nationaux et intégrer des mécanismes de redistribution équitables par les Fonds, afin d’accompagner les acteurs économiques dans la transition et éviter qu’elle ne soit perçue comme une charge supplémentaire.</w:t>
      </w:r>
    </w:p>
    <w:p w14:paraId="7CA19021" w14:textId="37F69588" w:rsidR="00B56104" w:rsidRDefault="00B56104" w:rsidP="00B56104">
      <w:pPr>
        <w:jc w:val="both"/>
        <w:rPr>
          <w:rFonts w:ascii="Arial" w:eastAsia="Times New Roman" w:hAnsi="Arial" w:cs="Arial"/>
          <w:sz w:val="20"/>
          <w:szCs w:val="20"/>
        </w:rPr>
      </w:pPr>
      <w:r>
        <w:rPr>
          <w:rFonts w:ascii="Arial" w:eastAsia="Times New Roman" w:hAnsi="Arial" w:cs="Arial"/>
          <w:sz w:val="20"/>
          <w:szCs w:val="20"/>
        </w:rPr>
        <w:t xml:space="preserve">Les expert.es devront, en particulier, démontrer comment la mise en place d’une taxe carbone nationale peut constituer une réponse stratégique à l’introduction du MACF de l’UE, prévu pour entrer en vigueur début 2026, en renforçant la compétitivité des entreprises tunisiennes sur les marchés d’exportation et en anticipant les exigences de </w:t>
      </w:r>
      <w:proofErr w:type="spellStart"/>
      <w:r>
        <w:rPr>
          <w:rFonts w:ascii="Arial" w:eastAsia="Times New Roman" w:hAnsi="Arial" w:cs="Arial"/>
          <w:sz w:val="20"/>
          <w:szCs w:val="20"/>
        </w:rPr>
        <w:t>décarbonation</w:t>
      </w:r>
      <w:proofErr w:type="spellEnd"/>
      <w:r>
        <w:rPr>
          <w:rFonts w:ascii="Arial" w:eastAsia="Times New Roman" w:hAnsi="Arial" w:cs="Arial"/>
          <w:sz w:val="20"/>
          <w:szCs w:val="20"/>
        </w:rPr>
        <w:t xml:space="preserve"> imposés par les partenaires commerciaux européens et </w:t>
      </w:r>
      <w:r w:rsidRPr="00B56104">
        <w:rPr>
          <w:rFonts w:ascii="Arial" w:eastAsia="Times New Roman" w:hAnsi="Arial" w:cs="Arial"/>
          <w:sz w:val="20"/>
          <w:szCs w:val="20"/>
        </w:rPr>
        <w:t>internationaux, tout en veillant en ce que cette mesure ne mette pas en péril les équilibres budgétaires nationaux.</w:t>
      </w:r>
      <w:r>
        <w:rPr>
          <w:rFonts w:ascii="Arial" w:eastAsia="Times New Roman" w:hAnsi="Arial" w:cs="Arial"/>
          <w:sz w:val="20"/>
          <w:szCs w:val="20"/>
        </w:rPr>
        <w:t xml:space="preserve"> </w:t>
      </w:r>
      <w:r w:rsidRPr="006135DF">
        <w:rPr>
          <w:rFonts w:ascii="Arial" w:eastAsia="Times New Roman" w:hAnsi="Arial" w:cs="Arial"/>
          <w:sz w:val="20"/>
          <w:szCs w:val="20"/>
        </w:rPr>
        <w:t xml:space="preserve"> </w:t>
      </w:r>
      <w:r>
        <w:rPr>
          <w:rFonts w:ascii="Arial" w:eastAsia="Times New Roman" w:hAnsi="Arial" w:cs="Arial"/>
          <w:sz w:val="20"/>
          <w:szCs w:val="20"/>
        </w:rPr>
        <w:t xml:space="preserve">Il est également essentiel que les expert.es intègrent dans leur réflexion le fait qu’une mise en œuvre progressive et maîtrisée de la taxe carbone est souhaitée, afin de garantir son acceptabilité sociale et économique, et de limiter les effets de rupture pour les secteurs concernés. Ainsi, la taxe carbone envisagé pour 2026 devra, dans un premier temps, </w:t>
      </w:r>
      <w:r>
        <w:rPr>
          <w:rFonts w:ascii="Arial" w:eastAsia="Times New Roman" w:hAnsi="Arial" w:cs="Arial"/>
          <w:b/>
          <w:sz w:val="20"/>
          <w:szCs w:val="20"/>
        </w:rPr>
        <w:t>cibler en priorité les secteurs directement concernés par le MACF</w:t>
      </w:r>
      <w:r>
        <w:rPr>
          <w:rFonts w:ascii="Arial" w:eastAsia="Times New Roman" w:hAnsi="Arial" w:cs="Arial"/>
          <w:sz w:val="20"/>
          <w:szCs w:val="20"/>
        </w:rPr>
        <w:t xml:space="preserve"> de l’Union Européenne, à commencer par le secteur du ciment, principal émetteur de CO2. D’autres secteurs à fort potentiel d’exportation tels que l’engrais ou le textile, pourront également être intégrés progressivement, en concertation avec la DGELF. </w:t>
      </w:r>
    </w:p>
    <w:p w14:paraId="5B319BEF" w14:textId="57A21F76" w:rsidR="00B05FE3" w:rsidRDefault="00B05FE3" w:rsidP="002F5730">
      <w:pPr>
        <w:spacing w:before="120" w:after="120" w:line="240" w:lineRule="auto"/>
        <w:jc w:val="both"/>
        <w:rPr>
          <w:rFonts w:ascii="Arial" w:eastAsia="Times New Roman" w:hAnsi="Arial" w:cs="Arial"/>
          <w:sz w:val="20"/>
          <w:szCs w:val="20"/>
        </w:rPr>
      </w:pPr>
      <w:r>
        <w:rPr>
          <w:rFonts w:ascii="Arial" w:eastAsia="Times New Roman" w:hAnsi="Arial" w:cs="Arial"/>
          <w:sz w:val="20"/>
          <w:szCs w:val="20"/>
        </w:rPr>
        <w:t>Au-delà de la rédaction de ce premier rapport d’analyse de faisabilité multidimensionnelle, les expert.es devront également fournir des contributions techniques en vue de l’élaboration du cahier des charges pour le recrutement d’un</w:t>
      </w:r>
      <w:r w:rsidR="009232DC">
        <w:rPr>
          <w:rFonts w:ascii="Arial" w:eastAsia="Times New Roman" w:hAnsi="Arial" w:cs="Arial"/>
          <w:sz w:val="20"/>
          <w:szCs w:val="20"/>
        </w:rPr>
        <w:t xml:space="preserve"> cabinet de conseil chargé de mener l’étude technique de faisabilité sur la mise en place et l’opérationnalisation d’une taxe carbone en Tunisie. </w:t>
      </w:r>
    </w:p>
    <w:p w14:paraId="46F42BF5" w14:textId="31CE8784" w:rsidR="007B6F61" w:rsidRDefault="00AE1DCA" w:rsidP="002F5730">
      <w:pPr>
        <w:spacing w:before="120" w:after="120" w:line="240" w:lineRule="auto"/>
        <w:jc w:val="both"/>
        <w:rPr>
          <w:rFonts w:ascii="Arial" w:eastAsia="Times New Roman" w:hAnsi="Arial" w:cs="Arial"/>
          <w:b/>
          <w:sz w:val="20"/>
          <w:szCs w:val="20"/>
          <w:u w:val="single"/>
        </w:rPr>
      </w:pPr>
      <w:r>
        <w:rPr>
          <w:rFonts w:ascii="Arial" w:eastAsia="Times New Roman" w:hAnsi="Arial" w:cs="Arial"/>
          <w:b/>
          <w:sz w:val="20"/>
          <w:szCs w:val="20"/>
          <w:u w:val="single"/>
        </w:rPr>
        <w:t>Livrable attendu</w:t>
      </w:r>
      <w:r w:rsidR="007B6F61" w:rsidRPr="002F5730">
        <w:rPr>
          <w:rFonts w:ascii="Arial" w:eastAsia="Times New Roman" w:hAnsi="Arial" w:cs="Arial"/>
          <w:b/>
          <w:sz w:val="20"/>
          <w:szCs w:val="20"/>
          <w:u w:val="single"/>
        </w:rPr>
        <w:t xml:space="preserve"> à la fin de l’étape 2</w:t>
      </w:r>
      <w:r w:rsidR="00750432">
        <w:rPr>
          <w:rFonts w:ascii="Arial" w:eastAsia="Times New Roman" w:hAnsi="Arial" w:cs="Arial"/>
          <w:b/>
          <w:sz w:val="20"/>
          <w:szCs w:val="20"/>
          <w:u w:val="single"/>
        </w:rPr>
        <w:t> :</w:t>
      </w:r>
    </w:p>
    <w:p w14:paraId="78220277" w14:textId="3631D4DD" w:rsidR="00516E07" w:rsidRDefault="00AE1DCA" w:rsidP="00516E07">
      <w:pPr>
        <w:pStyle w:val="Paragraphedeliste"/>
        <w:numPr>
          <w:ilvl w:val="0"/>
          <w:numId w:val="14"/>
        </w:numPr>
        <w:spacing w:before="120" w:after="120" w:line="240" w:lineRule="auto"/>
        <w:jc w:val="both"/>
        <w:rPr>
          <w:rFonts w:ascii="Arial" w:eastAsia="Times New Roman" w:hAnsi="Arial" w:cs="Arial"/>
          <w:sz w:val="20"/>
          <w:szCs w:val="20"/>
        </w:rPr>
      </w:pPr>
      <w:r>
        <w:rPr>
          <w:rFonts w:ascii="Arial" w:eastAsia="Times New Roman" w:hAnsi="Arial" w:cs="Arial"/>
          <w:sz w:val="20"/>
          <w:szCs w:val="20"/>
        </w:rPr>
        <w:t xml:space="preserve">Un </w:t>
      </w:r>
      <w:r w:rsidR="00B05FE3" w:rsidRPr="00B05FE3">
        <w:rPr>
          <w:rFonts w:ascii="Arial" w:eastAsia="Times New Roman" w:hAnsi="Arial" w:cs="Arial"/>
          <w:b/>
          <w:sz w:val="20"/>
          <w:szCs w:val="20"/>
        </w:rPr>
        <w:t xml:space="preserve">premier </w:t>
      </w:r>
      <w:r w:rsidRPr="00B05FE3">
        <w:rPr>
          <w:rFonts w:ascii="Arial" w:eastAsia="Times New Roman" w:hAnsi="Arial" w:cs="Arial"/>
          <w:b/>
          <w:sz w:val="20"/>
          <w:szCs w:val="20"/>
        </w:rPr>
        <w:t>r</w:t>
      </w:r>
      <w:r w:rsidR="00924C6E" w:rsidRPr="00B05FE3">
        <w:rPr>
          <w:rFonts w:ascii="Arial" w:eastAsia="Times New Roman" w:hAnsi="Arial" w:cs="Arial"/>
          <w:b/>
          <w:sz w:val="20"/>
          <w:szCs w:val="20"/>
        </w:rPr>
        <w:t>apport</w:t>
      </w:r>
      <w:r w:rsidR="00924C6E" w:rsidRPr="00F26D3F">
        <w:rPr>
          <w:rFonts w:ascii="Arial" w:eastAsia="Times New Roman" w:hAnsi="Arial" w:cs="Arial"/>
          <w:b/>
          <w:sz w:val="20"/>
          <w:szCs w:val="20"/>
        </w:rPr>
        <w:t xml:space="preserve"> d’analyse de</w:t>
      </w:r>
      <w:r w:rsidR="00DC7FF1" w:rsidRPr="00F26D3F">
        <w:rPr>
          <w:rFonts w:ascii="Arial" w:eastAsia="Times New Roman" w:hAnsi="Arial" w:cs="Arial"/>
          <w:b/>
          <w:sz w:val="20"/>
          <w:szCs w:val="20"/>
        </w:rPr>
        <w:t xml:space="preserve"> </w:t>
      </w:r>
      <w:r w:rsidRPr="00F26D3F">
        <w:rPr>
          <w:rFonts w:ascii="Arial" w:eastAsia="Times New Roman" w:hAnsi="Arial" w:cs="Arial"/>
          <w:b/>
          <w:sz w:val="20"/>
          <w:szCs w:val="20"/>
        </w:rPr>
        <w:t xml:space="preserve">la </w:t>
      </w:r>
      <w:r w:rsidR="00DC7FF1" w:rsidRPr="00F26D3F">
        <w:rPr>
          <w:rFonts w:ascii="Arial" w:eastAsia="Times New Roman" w:hAnsi="Arial" w:cs="Arial"/>
          <w:b/>
          <w:sz w:val="20"/>
          <w:szCs w:val="20"/>
        </w:rPr>
        <w:t>faisa</w:t>
      </w:r>
      <w:r w:rsidR="00924C6E" w:rsidRPr="00F26D3F">
        <w:rPr>
          <w:rFonts w:ascii="Arial" w:eastAsia="Times New Roman" w:hAnsi="Arial" w:cs="Arial"/>
          <w:b/>
          <w:sz w:val="20"/>
          <w:szCs w:val="20"/>
        </w:rPr>
        <w:t xml:space="preserve">bilité juridique, économique, social et </w:t>
      </w:r>
      <w:r w:rsidR="00DC7FF1" w:rsidRPr="00F26D3F">
        <w:rPr>
          <w:rFonts w:ascii="Arial" w:eastAsia="Times New Roman" w:hAnsi="Arial" w:cs="Arial"/>
          <w:b/>
          <w:sz w:val="20"/>
          <w:szCs w:val="20"/>
        </w:rPr>
        <w:t>institutionnel de la mise en place et l’opérationnalisation d’une taxe carbone</w:t>
      </w:r>
      <w:r w:rsidR="004516CD" w:rsidRPr="00F26D3F">
        <w:rPr>
          <w:rFonts w:ascii="Arial" w:eastAsia="Times New Roman" w:hAnsi="Arial" w:cs="Arial"/>
          <w:b/>
          <w:sz w:val="20"/>
          <w:szCs w:val="20"/>
        </w:rPr>
        <w:t xml:space="preserve"> en Tunisie</w:t>
      </w:r>
      <w:r w:rsidR="00E326F8">
        <w:rPr>
          <w:rFonts w:ascii="Arial" w:eastAsia="Times New Roman" w:hAnsi="Arial" w:cs="Arial"/>
          <w:b/>
          <w:sz w:val="20"/>
          <w:szCs w:val="20"/>
        </w:rPr>
        <w:t xml:space="preserve"> </w:t>
      </w:r>
      <w:r w:rsidR="00E326F8">
        <w:rPr>
          <w:rFonts w:ascii="Arial" w:eastAsia="Times New Roman" w:hAnsi="Arial" w:cs="Arial"/>
          <w:sz w:val="20"/>
          <w:szCs w:val="20"/>
        </w:rPr>
        <w:t>incluant (i) une analyse des avantages, contraintes, opportunités et risques pour l’introduction d’une taxe dans ces différentes dimensions ainsi (ii) que les premiers contours de modèle de taxe carbone jugés pertinents pour la Tunisie</w:t>
      </w:r>
      <w:r w:rsidR="009232DC">
        <w:rPr>
          <w:rFonts w:ascii="Arial" w:eastAsia="Times New Roman" w:hAnsi="Arial" w:cs="Arial"/>
          <w:sz w:val="20"/>
          <w:szCs w:val="20"/>
        </w:rPr>
        <w:t xml:space="preserve"> ; </w:t>
      </w:r>
    </w:p>
    <w:p w14:paraId="30C002B8" w14:textId="09D34DCA" w:rsidR="009232DC" w:rsidRDefault="009232DC" w:rsidP="00516E07">
      <w:pPr>
        <w:pStyle w:val="Paragraphedeliste"/>
        <w:numPr>
          <w:ilvl w:val="0"/>
          <w:numId w:val="14"/>
        </w:numPr>
        <w:spacing w:before="120" w:after="120" w:line="240" w:lineRule="auto"/>
        <w:jc w:val="both"/>
        <w:rPr>
          <w:rFonts w:ascii="Arial" w:eastAsia="Times New Roman" w:hAnsi="Arial" w:cs="Arial"/>
          <w:sz w:val="20"/>
          <w:szCs w:val="20"/>
        </w:rPr>
      </w:pPr>
      <w:r w:rsidRPr="00B56104">
        <w:rPr>
          <w:rFonts w:ascii="Arial" w:eastAsia="Times New Roman" w:hAnsi="Arial" w:cs="Arial"/>
          <w:b/>
          <w:sz w:val="20"/>
          <w:szCs w:val="20"/>
        </w:rPr>
        <w:t>Contributions techniques</w:t>
      </w:r>
      <w:r>
        <w:rPr>
          <w:rFonts w:ascii="Arial" w:eastAsia="Times New Roman" w:hAnsi="Arial" w:cs="Arial"/>
          <w:sz w:val="20"/>
          <w:szCs w:val="20"/>
        </w:rPr>
        <w:t xml:space="preserve"> pour l’élaboration du cahier des charges pour l’étude de faisabilité sur la mise en place et l’opérationnalisation de la taxe carbone en Tunisie</w:t>
      </w:r>
    </w:p>
    <w:p w14:paraId="0A5BE786" w14:textId="77777777" w:rsidR="00B56104" w:rsidRPr="00B56104" w:rsidRDefault="00B56104" w:rsidP="00B56104">
      <w:pPr>
        <w:spacing w:before="120" w:after="120" w:line="240" w:lineRule="auto"/>
        <w:jc w:val="both"/>
        <w:rPr>
          <w:rFonts w:ascii="Arial" w:eastAsia="Times New Roman" w:hAnsi="Arial" w:cs="Arial"/>
          <w:sz w:val="20"/>
          <w:szCs w:val="20"/>
        </w:rPr>
      </w:pPr>
    </w:p>
    <w:p w14:paraId="204735B1" w14:textId="77777777" w:rsidR="007B6F61" w:rsidRPr="00105FFD" w:rsidRDefault="007B6F61" w:rsidP="007B6F61">
      <w:pPr>
        <w:pStyle w:val="Paragraphedeliste"/>
        <w:spacing w:before="120" w:after="120" w:line="240" w:lineRule="auto"/>
        <w:ind w:left="1440"/>
        <w:jc w:val="both"/>
        <w:rPr>
          <w:rFonts w:ascii="Arial" w:eastAsia="Times New Roman" w:hAnsi="Arial" w:cs="Arial"/>
          <w:sz w:val="20"/>
          <w:szCs w:val="20"/>
        </w:rPr>
      </w:pPr>
      <w:r w:rsidRPr="00105FFD">
        <w:rPr>
          <w:rFonts w:ascii="Arial" w:eastAsia="Times New Roman" w:hAnsi="Arial" w:cs="Arial"/>
          <w:sz w:val="20"/>
          <w:szCs w:val="20"/>
        </w:rPr>
        <w:t xml:space="preserve"> </w:t>
      </w:r>
    </w:p>
    <w:p w14:paraId="4AB3E4D3" w14:textId="77777777" w:rsidR="007B6F61" w:rsidRPr="00433B7A" w:rsidRDefault="007B6F61" w:rsidP="007B6F61">
      <w:pPr>
        <w:pStyle w:val="Paragraphedeliste"/>
        <w:numPr>
          <w:ilvl w:val="0"/>
          <w:numId w:val="2"/>
        </w:numPr>
        <w:spacing w:line="240" w:lineRule="auto"/>
        <w:jc w:val="both"/>
        <w:outlineLvl w:val="1"/>
        <w:rPr>
          <w:rFonts w:ascii="Arial" w:eastAsia="Times New Roman" w:hAnsi="Arial" w:cs="Arial"/>
          <w:b/>
          <w:color w:val="009CA6"/>
          <w:sz w:val="20"/>
          <w:szCs w:val="20"/>
        </w:rPr>
      </w:pPr>
      <w:r w:rsidRPr="00433B7A">
        <w:rPr>
          <w:rFonts w:ascii="Arial" w:eastAsia="Times New Roman" w:hAnsi="Arial" w:cs="Arial"/>
          <w:b/>
          <w:color w:val="009CA6"/>
          <w:sz w:val="20"/>
          <w:szCs w:val="20"/>
        </w:rPr>
        <w:t>Calendrier prévisionnel et livrables</w:t>
      </w:r>
      <w:r>
        <w:rPr>
          <w:rFonts w:ascii="Arial" w:eastAsia="Times New Roman" w:hAnsi="Arial" w:cs="Arial"/>
          <w:b/>
          <w:color w:val="009CA6"/>
          <w:sz w:val="20"/>
          <w:szCs w:val="20"/>
        </w:rPr>
        <w:t xml:space="preserve"> </w:t>
      </w:r>
      <w:r w:rsidRPr="00433B7A">
        <w:rPr>
          <w:rFonts w:ascii="Arial" w:eastAsia="Times New Roman" w:hAnsi="Arial" w:cs="Arial"/>
          <w:b/>
          <w:color w:val="009CA6"/>
          <w:sz w:val="20"/>
          <w:szCs w:val="20"/>
        </w:rPr>
        <w:t>attendus</w:t>
      </w:r>
    </w:p>
    <w:p w14:paraId="725E42AC" w14:textId="77777777" w:rsidR="007B6F61" w:rsidRPr="00343EBF" w:rsidRDefault="007B6F61" w:rsidP="007B6F61">
      <w:pPr>
        <w:spacing w:line="240" w:lineRule="auto"/>
        <w:jc w:val="both"/>
        <w:outlineLvl w:val="1"/>
        <w:rPr>
          <w:rFonts w:ascii="Arial" w:eastAsia="Times New Roman" w:hAnsi="Arial" w:cs="Arial"/>
          <w:sz w:val="20"/>
          <w:szCs w:val="20"/>
        </w:rPr>
      </w:pPr>
      <w:r w:rsidRPr="00343EBF">
        <w:rPr>
          <w:rFonts w:ascii="Arial" w:eastAsia="Times New Roman" w:hAnsi="Arial" w:cs="Arial"/>
          <w:sz w:val="20"/>
          <w:szCs w:val="20"/>
        </w:rPr>
        <w:t xml:space="preserve">La durée globale estimée de l’ensemble des prestations de ce cahier des charges est fixée à </w:t>
      </w:r>
      <w:r w:rsidR="002F5730">
        <w:rPr>
          <w:rFonts w:ascii="Arial" w:eastAsia="Times New Roman" w:hAnsi="Arial" w:cs="Arial"/>
          <w:sz w:val="20"/>
          <w:szCs w:val="20"/>
        </w:rPr>
        <w:t>3</w:t>
      </w:r>
      <w:r>
        <w:rPr>
          <w:rFonts w:ascii="Arial" w:eastAsia="Times New Roman" w:hAnsi="Arial" w:cs="Arial"/>
          <w:sz w:val="20"/>
          <w:szCs w:val="20"/>
        </w:rPr>
        <w:t xml:space="preserve"> </w:t>
      </w:r>
      <w:r w:rsidRPr="001B20E6">
        <w:rPr>
          <w:rFonts w:ascii="Arial" w:eastAsia="Times New Roman" w:hAnsi="Arial" w:cs="Arial"/>
          <w:sz w:val="20"/>
          <w:szCs w:val="20"/>
        </w:rPr>
        <w:t>mois</w:t>
      </w:r>
      <w:r w:rsidRPr="00343EBF">
        <w:rPr>
          <w:rFonts w:ascii="Arial" w:eastAsia="Times New Roman" w:hAnsi="Arial" w:cs="Arial"/>
          <w:sz w:val="20"/>
          <w:szCs w:val="20"/>
        </w:rPr>
        <w:t xml:space="preserve"> à compter de la date de notification par le commanditaire. Le prestataire devra produire les livrables tels qu’indiqués dans le tableau ci-dessous. A l’issue de la remise de chaque livrable, Expertise France aura un délai de deux semaines pour formuler ses remarques écrites.</w:t>
      </w:r>
    </w:p>
    <w:p w14:paraId="18CFA81F" w14:textId="16DF66DC" w:rsidR="007B6F61" w:rsidRDefault="007B6F61" w:rsidP="007B6F61">
      <w:pPr>
        <w:spacing w:line="240" w:lineRule="auto"/>
        <w:jc w:val="both"/>
        <w:outlineLvl w:val="1"/>
        <w:rPr>
          <w:rFonts w:ascii="Arial" w:eastAsia="Times New Roman" w:hAnsi="Arial" w:cs="Arial"/>
          <w:sz w:val="20"/>
          <w:szCs w:val="20"/>
        </w:rPr>
      </w:pPr>
      <w:r w:rsidRPr="00343EBF">
        <w:rPr>
          <w:rFonts w:ascii="Arial" w:eastAsia="Times New Roman" w:hAnsi="Arial" w:cs="Arial"/>
          <w:sz w:val="20"/>
          <w:szCs w:val="20"/>
        </w:rPr>
        <w:t>Les dates de remise des livrables sont prévisionnelles.</w:t>
      </w:r>
      <w:r w:rsidR="00085A38">
        <w:rPr>
          <w:rFonts w:ascii="Arial" w:eastAsia="Times New Roman" w:hAnsi="Arial" w:cs="Arial"/>
          <w:sz w:val="20"/>
          <w:szCs w:val="20"/>
        </w:rPr>
        <w:t xml:space="preserve"> </w:t>
      </w:r>
    </w:p>
    <w:tbl>
      <w:tblPr>
        <w:tblW w:w="8916" w:type="dxa"/>
        <w:tblInd w:w="5" w:type="dxa"/>
        <w:tbl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blBorders>
        <w:tblLayout w:type="fixed"/>
        <w:tblLook w:val="0400" w:firstRow="0" w:lastRow="0" w:firstColumn="0" w:lastColumn="0" w:noHBand="0" w:noVBand="1"/>
      </w:tblPr>
      <w:tblGrid>
        <w:gridCol w:w="978"/>
        <w:gridCol w:w="283"/>
        <w:gridCol w:w="5670"/>
        <w:gridCol w:w="1985"/>
      </w:tblGrid>
      <w:tr w:rsidR="007B6F61" w:rsidRPr="00D3065D" w14:paraId="68792653" w14:textId="77777777" w:rsidTr="00516E07">
        <w:trPr>
          <w:trHeight w:val="182"/>
        </w:trPr>
        <w:tc>
          <w:tcPr>
            <w:tcW w:w="1261" w:type="dxa"/>
            <w:gridSpan w:val="2"/>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F243E"/>
            <w:vAlign w:val="center"/>
          </w:tcPr>
          <w:p w14:paraId="7171611C" w14:textId="77777777" w:rsidR="007B6F61" w:rsidRPr="00D3065D" w:rsidRDefault="007B6F61" w:rsidP="00516E07">
            <w:pPr>
              <w:spacing w:line="240" w:lineRule="auto"/>
              <w:jc w:val="center"/>
              <w:rPr>
                <w:rFonts w:ascii="Arial" w:eastAsia="Calibri" w:hAnsi="Arial" w:cs="Arial"/>
                <w:b/>
                <w:sz w:val="16"/>
                <w:szCs w:val="20"/>
              </w:rPr>
            </w:pPr>
            <w:r w:rsidRPr="00D3065D">
              <w:rPr>
                <w:rFonts w:ascii="Arial" w:eastAsia="Calibri" w:hAnsi="Arial" w:cs="Arial"/>
                <w:b/>
                <w:sz w:val="16"/>
                <w:szCs w:val="20"/>
              </w:rPr>
              <w:t>Livrables</w:t>
            </w:r>
          </w:p>
        </w:tc>
        <w:tc>
          <w:tcPr>
            <w:tcW w:w="5670" w:type="dxa"/>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F243E"/>
            <w:vAlign w:val="center"/>
          </w:tcPr>
          <w:p w14:paraId="25A76F30" w14:textId="77777777" w:rsidR="007B6F61" w:rsidRPr="00D3065D" w:rsidRDefault="007B6F61" w:rsidP="00516E07">
            <w:pPr>
              <w:spacing w:line="240" w:lineRule="auto"/>
              <w:rPr>
                <w:rFonts w:ascii="Arial" w:eastAsia="Calibri" w:hAnsi="Arial" w:cs="Arial"/>
                <w:b/>
                <w:sz w:val="16"/>
                <w:szCs w:val="20"/>
              </w:rPr>
            </w:pPr>
            <w:r w:rsidRPr="00D3065D">
              <w:rPr>
                <w:rFonts w:ascii="Arial" w:eastAsia="Calibri" w:hAnsi="Arial" w:cs="Arial"/>
                <w:b/>
                <w:sz w:val="16"/>
                <w:szCs w:val="20"/>
              </w:rPr>
              <w:t>Intitulé</w:t>
            </w:r>
          </w:p>
        </w:tc>
        <w:tc>
          <w:tcPr>
            <w:tcW w:w="1985" w:type="dxa"/>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F243E"/>
            <w:vAlign w:val="center"/>
          </w:tcPr>
          <w:p w14:paraId="236157FC" w14:textId="77777777" w:rsidR="007B6F61" w:rsidRPr="00D3065D" w:rsidRDefault="007B6F61" w:rsidP="00516E07">
            <w:pPr>
              <w:spacing w:line="240" w:lineRule="auto"/>
              <w:jc w:val="center"/>
              <w:rPr>
                <w:rFonts w:ascii="Arial" w:eastAsia="Calibri" w:hAnsi="Arial" w:cs="Arial"/>
                <w:b/>
                <w:sz w:val="16"/>
                <w:szCs w:val="20"/>
              </w:rPr>
            </w:pPr>
            <w:r w:rsidRPr="00D3065D">
              <w:rPr>
                <w:rFonts w:ascii="Arial" w:eastAsia="Calibri" w:hAnsi="Arial" w:cs="Arial"/>
                <w:b/>
                <w:sz w:val="16"/>
                <w:szCs w:val="20"/>
              </w:rPr>
              <w:t>Date de remise des livrables (indicatif)</w:t>
            </w:r>
          </w:p>
        </w:tc>
      </w:tr>
      <w:tr w:rsidR="007B6F61" w:rsidRPr="00D3065D" w14:paraId="175A2CAB" w14:textId="77777777" w:rsidTr="00516E07">
        <w:trPr>
          <w:trHeight w:val="373"/>
        </w:trPr>
        <w:tc>
          <w:tcPr>
            <w:tcW w:w="6931" w:type="dxa"/>
            <w:gridSpan w:val="3"/>
            <w:shd w:val="clear" w:color="auto" w:fill="DBE5F1"/>
            <w:vAlign w:val="center"/>
          </w:tcPr>
          <w:p w14:paraId="0AC03ECF" w14:textId="26F01FB4" w:rsidR="007B6F61" w:rsidRPr="00DC7FF1" w:rsidRDefault="00DC7FF1" w:rsidP="007B6F61">
            <w:pPr>
              <w:pStyle w:val="Paragraphedeliste"/>
              <w:numPr>
                <w:ilvl w:val="0"/>
                <w:numId w:val="12"/>
              </w:numPr>
              <w:spacing w:line="240" w:lineRule="auto"/>
              <w:jc w:val="both"/>
              <w:rPr>
                <w:rFonts w:ascii="Arial" w:eastAsia="Calibri" w:hAnsi="Arial" w:cs="Arial"/>
                <w:b/>
                <w:sz w:val="16"/>
                <w:szCs w:val="20"/>
              </w:rPr>
            </w:pPr>
            <w:r w:rsidRPr="00B70E7A">
              <w:rPr>
                <w:rFonts w:ascii="Arial" w:eastAsia="Times New Roman" w:hAnsi="Arial" w:cs="Arial"/>
                <w:b/>
                <w:sz w:val="18"/>
                <w:szCs w:val="20"/>
              </w:rPr>
              <w:t>Diagnostic des taxes environnementales existantes en Tunisie &amp; benchmark de la mise en œuvre et de l’opérationnalisation des taxes carbones dans des pays ayant des structures commerciales similaires</w:t>
            </w:r>
          </w:p>
        </w:tc>
        <w:tc>
          <w:tcPr>
            <w:tcW w:w="1985" w:type="dxa"/>
            <w:shd w:val="clear" w:color="auto" w:fill="DBE5F1"/>
            <w:vAlign w:val="center"/>
          </w:tcPr>
          <w:p w14:paraId="0C3639F5" w14:textId="04B402F5" w:rsidR="007B6F61" w:rsidRPr="00D3065D" w:rsidRDefault="007B6F61" w:rsidP="002F5730">
            <w:pPr>
              <w:spacing w:line="240" w:lineRule="auto"/>
              <w:jc w:val="center"/>
              <w:rPr>
                <w:rFonts w:ascii="Arial" w:eastAsia="Calibri" w:hAnsi="Arial" w:cs="Arial"/>
                <w:b/>
                <w:sz w:val="16"/>
                <w:szCs w:val="20"/>
              </w:rPr>
            </w:pPr>
            <w:r w:rsidRPr="00D3065D">
              <w:rPr>
                <w:rFonts w:ascii="Arial" w:eastAsia="Calibri" w:hAnsi="Arial" w:cs="Arial"/>
                <w:b/>
                <w:sz w:val="16"/>
                <w:szCs w:val="20"/>
              </w:rPr>
              <w:t>T0</w:t>
            </w:r>
            <w:r w:rsidR="002F5730">
              <w:rPr>
                <w:rFonts w:ascii="Arial" w:eastAsia="Calibri" w:hAnsi="Arial" w:cs="Arial"/>
                <w:b/>
                <w:sz w:val="16"/>
                <w:szCs w:val="20"/>
              </w:rPr>
              <w:t xml:space="preserve"> </w:t>
            </w:r>
            <w:r w:rsidRPr="00D3065D">
              <w:rPr>
                <w:rFonts w:ascii="Arial" w:eastAsia="Calibri" w:hAnsi="Arial" w:cs="Arial"/>
                <w:b/>
                <w:sz w:val="16"/>
                <w:szCs w:val="20"/>
              </w:rPr>
              <w:t xml:space="preserve">+ </w:t>
            </w:r>
            <w:r w:rsidR="004A4023">
              <w:rPr>
                <w:rFonts w:ascii="Arial" w:eastAsia="Calibri" w:hAnsi="Arial" w:cs="Arial"/>
                <w:b/>
                <w:sz w:val="16"/>
                <w:szCs w:val="20"/>
              </w:rPr>
              <w:t>1</w:t>
            </w:r>
            <w:r w:rsidR="00B05FE3">
              <w:rPr>
                <w:rFonts w:ascii="Arial" w:eastAsia="Calibri" w:hAnsi="Arial" w:cs="Arial"/>
                <w:b/>
                <w:sz w:val="16"/>
                <w:szCs w:val="20"/>
              </w:rPr>
              <w:t>,5</w:t>
            </w:r>
            <w:r w:rsidR="004A4023">
              <w:rPr>
                <w:rFonts w:ascii="Arial" w:eastAsia="Calibri" w:hAnsi="Arial" w:cs="Arial"/>
                <w:b/>
                <w:sz w:val="16"/>
                <w:szCs w:val="20"/>
              </w:rPr>
              <w:t xml:space="preserve"> mois</w:t>
            </w:r>
          </w:p>
        </w:tc>
      </w:tr>
      <w:tr w:rsidR="007B6F61" w:rsidRPr="00D3065D" w14:paraId="37096FEE" w14:textId="77777777" w:rsidTr="00516E07">
        <w:trPr>
          <w:trHeight w:val="535"/>
        </w:trPr>
        <w:tc>
          <w:tcPr>
            <w:tcW w:w="978" w:type="dxa"/>
            <w:shd w:val="clear" w:color="auto" w:fill="auto"/>
            <w:vAlign w:val="center"/>
          </w:tcPr>
          <w:p w14:paraId="79706C97" w14:textId="77777777" w:rsidR="007B6F61" w:rsidRPr="00D3065D" w:rsidRDefault="007B6F61" w:rsidP="00516E07">
            <w:pPr>
              <w:spacing w:line="240" w:lineRule="auto"/>
              <w:jc w:val="center"/>
              <w:rPr>
                <w:rFonts w:ascii="Arial" w:eastAsia="Calibri" w:hAnsi="Arial" w:cs="Arial"/>
                <w:sz w:val="16"/>
                <w:szCs w:val="20"/>
              </w:rPr>
            </w:pPr>
            <w:r w:rsidRPr="00D3065D">
              <w:rPr>
                <w:rFonts w:ascii="Arial" w:eastAsia="Calibri" w:hAnsi="Arial" w:cs="Arial"/>
                <w:sz w:val="16"/>
                <w:szCs w:val="20"/>
              </w:rPr>
              <w:t>L1.1</w:t>
            </w:r>
          </w:p>
        </w:tc>
        <w:tc>
          <w:tcPr>
            <w:tcW w:w="5953" w:type="dxa"/>
            <w:gridSpan w:val="2"/>
            <w:shd w:val="clear" w:color="auto" w:fill="auto"/>
            <w:vAlign w:val="center"/>
          </w:tcPr>
          <w:p w14:paraId="6902E034" w14:textId="19989F52" w:rsidR="007B6F61" w:rsidRPr="00D3065D" w:rsidRDefault="009E77AF" w:rsidP="00516E07">
            <w:pPr>
              <w:spacing w:after="0" w:line="240" w:lineRule="auto"/>
              <w:jc w:val="both"/>
              <w:rPr>
                <w:rFonts w:ascii="Arial" w:eastAsia="Calibri" w:hAnsi="Arial" w:cs="Arial"/>
                <w:sz w:val="16"/>
                <w:szCs w:val="20"/>
              </w:rPr>
            </w:pPr>
            <w:r w:rsidRPr="005332B6">
              <w:rPr>
                <w:rFonts w:ascii="Arial" w:eastAsia="Calibri" w:hAnsi="Arial" w:cs="Arial"/>
                <w:b/>
                <w:sz w:val="18"/>
                <w:szCs w:val="20"/>
              </w:rPr>
              <w:t>Note de cadrage</w:t>
            </w:r>
            <w:r w:rsidRPr="00B70E7A">
              <w:rPr>
                <w:rFonts w:ascii="Arial" w:eastAsia="Calibri" w:hAnsi="Arial" w:cs="Arial"/>
                <w:sz w:val="18"/>
                <w:szCs w:val="20"/>
              </w:rPr>
              <w:t xml:space="preserve"> incluant (i) la méthodologie proposée et (ii) un calendrier révisionnel actualisé </w:t>
            </w:r>
          </w:p>
        </w:tc>
        <w:tc>
          <w:tcPr>
            <w:tcW w:w="1985" w:type="dxa"/>
            <w:shd w:val="clear" w:color="auto" w:fill="auto"/>
            <w:vAlign w:val="center"/>
          </w:tcPr>
          <w:p w14:paraId="2E6014C4" w14:textId="041D2592" w:rsidR="007B6F61" w:rsidRPr="00D3065D" w:rsidRDefault="007B6F61" w:rsidP="002F5730">
            <w:pPr>
              <w:spacing w:line="240" w:lineRule="auto"/>
              <w:jc w:val="center"/>
              <w:rPr>
                <w:rFonts w:ascii="Arial" w:eastAsia="Calibri" w:hAnsi="Arial" w:cs="Arial"/>
                <w:sz w:val="16"/>
                <w:szCs w:val="20"/>
              </w:rPr>
            </w:pPr>
            <w:r w:rsidRPr="00D3065D">
              <w:rPr>
                <w:rFonts w:ascii="Arial" w:eastAsia="Calibri" w:hAnsi="Arial" w:cs="Arial"/>
                <w:sz w:val="16"/>
                <w:szCs w:val="20"/>
              </w:rPr>
              <w:t xml:space="preserve">T0 + </w:t>
            </w:r>
            <w:r w:rsidR="009E77AF">
              <w:rPr>
                <w:rFonts w:ascii="Arial" w:eastAsia="Calibri" w:hAnsi="Arial" w:cs="Arial"/>
                <w:sz w:val="16"/>
                <w:szCs w:val="20"/>
              </w:rPr>
              <w:t xml:space="preserve">10 jours </w:t>
            </w:r>
          </w:p>
        </w:tc>
      </w:tr>
      <w:tr w:rsidR="007B6F61" w:rsidRPr="00D3065D" w14:paraId="074FA5BF" w14:textId="77777777" w:rsidTr="00516E07">
        <w:trPr>
          <w:trHeight w:val="535"/>
        </w:trPr>
        <w:tc>
          <w:tcPr>
            <w:tcW w:w="978" w:type="dxa"/>
            <w:shd w:val="clear" w:color="auto" w:fill="auto"/>
            <w:vAlign w:val="center"/>
          </w:tcPr>
          <w:p w14:paraId="0017D74E" w14:textId="77777777" w:rsidR="007B6F61" w:rsidRPr="00D3065D" w:rsidRDefault="007B6F61" w:rsidP="00516E07">
            <w:pPr>
              <w:spacing w:line="240" w:lineRule="auto"/>
              <w:jc w:val="center"/>
              <w:rPr>
                <w:rFonts w:ascii="Arial" w:eastAsia="Calibri" w:hAnsi="Arial" w:cs="Arial"/>
                <w:sz w:val="16"/>
                <w:szCs w:val="20"/>
              </w:rPr>
            </w:pPr>
            <w:r w:rsidRPr="00D3065D">
              <w:rPr>
                <w:rFonts w:ascii="Arial" w:eastAsia="Calibri" w:hAnsi="Arial" w:cs="Arial"/>
                <w:sz w:val="16"/>
                <w:szCs w:val="20"/>
              </w:rPr>
              <w:t>L1.2</w:t>
            </w:r>
          </w:p>
        </w:tc>
        <w:tc>
          <w:tcPr>
            <w:tcW w:w="5953" w:type="dxa"/>
            <w:gridSpan w:val="2"/>
            <w:shd w:val="clear" w:color="auto" w:fill="auto"/>
            <w:vAlign w:val="center"/>
          </w:tcPr>
          <w:p w14:paraId="2DAB76A5" w14:textId="7D5434A8" w:rsidR="007B6F61" w:rsidRPr="009B5947" w:rsidRDefault="00B70E7A" w:rsidP="00516E07">
            <w:pPr>
              <w:spacing w:after="0" w:line="240" w:lineRule="auto"/>
              <w:jc w:val="both"/>
              <w:rPr>
                <w:rFonts w:ascii="Arial" w:eastAsia="Calibri" w:hAnsi="Arial" w:cs="Arial"/>
                <w:sz w:val="18"/>
                <w:szCs w:val="18"/>
              </w:rPr>
            </w:pPr>
            <w:r w:rsidRPr="009B5947">
              <w:rPr>
                <w:rFonts w:ascii="Arial" w:eastAsia="Times New Roman" w:hAnsi="Arial" w:cs="Arial"/>
                <w:sz w:val="18"/>
                <w:szCs w:val="18"/>
              </w:rPr>
              <w:t xml:space="preserve">Un </w:t>
            </w:r>
            <w:r w:rsidRPr="009B5947">
              <w:rPr>
                <w:rFonts w:ascii="Arial" w:eastAsia="Times New Roman" w:hAnsi="Arial" w:cs="Arial"/>
                <w:b/>
                <w:sz w:val="18"/>
                <w:szCs w:val="18"/>
              </w:rPr>
              <w:t>rapport de diagnostic</w:t>
            </w:r>
            <w:r w:rsidRPr="009B5947">
              <w:rPr>
                <w:rFonts w:ascii="Arial" w:eastAsia="Times New Roman" w:hAnsi="Arial" w:cs="Arial"/>
                <w:sz w:val="18"/>
                <w:szCs w:val="18"/>
              </w:rPr>
              <w:t xml:space="preserve"> comprenant (i) un tableau récapitulatif des différentes taxes environnementales en Tunisie, ainsi que des fonds auxquels elles sont affectées, (ii) une analyse critique de chaque taxe, portant sur ses avantages, ses limites (environnementales, sociales, économiques, institutionnelles) et sa pertinence au regard des objectifs de durabilité et d’efficacité fiscale</w:t>
            </w:r>
            <w:r w:rsidRPr="00B05FE3">
              <w:rPr>
                <w:rFonts w:ascii="Arial" w:eastAsia="Times New Roman" w:hAnsi="Arial" w:cs="Arial"/>
                <w:sz w:val="18"/>
                <w:szCs w:val="18"/>
              </w:rPr>
              <w:t xml:space="preserve">, </w:t>
            </w:r>
            <w:r w:rsidR="009B5947" w:rsidRPr="00B05FE3">
              <w:rPr>
                <w:rFonts w:ascii="Arial" w:eastAsia="Times New Roman" w:hAnsi="Arial" w:cs="Arial"/>
                <w:sz w:val="18"/>
                <w:szCs w:val="18"/>
              </w:rPr>
              <w:t>(iii) une cartographie des parties prenantes liée à la taxe carbone (rôle, responsabilités et implications pour chacun des acteurs institutionnels et économiques)</w:t>
            </w:r>
            <w:r w:rsidR="003377A2" w:rsidRPr="00B05FE3">
              <w:rPr>
                <w:rFonts w:ascii="Arial" w:eastAsia="Times New Roman" w:hAnsi="Arial" w:cs="Arial"/>
                <w:sz w:val="18"/>
                <w:szCs w:val="18"/>
              </w:rPr>
              <w:t xml:space="preserve">, </w:t>
            </w:r>
            <w:r w:rsidR="009B5947" w:rsidRPr="00B05FE3">
              <w:rPr>
                <w:rFonts w:ascii="Arial" w:eastAsia="Times New Roman" w:hAnsi="Arial" w:cs="Arial"/>
                <w:sz w:val="18"/>
                <w:szCs w:val="18"/>
              </w:rPr>
              <w:t>(iv)</w:t>
            </w:r>
            <w:r w:rsidRPr="00B05FE3">
              <w:rPr>
                <w:rFonts w:ascii="Arial" w:eastAsia="Times New Roman" w:hAnsi="Arial" w:cs="Arial"/>
                <w:sz w:val="18"/>
                <w:szCs w:val="18"/>
              </w:rPr>
              <w:t xml:space="preserve"> des premières pistes de recommandation en vue de la rationalisation du système, notamment par la mutualisation ou le regroupement de certaines taxes existantes au sein d’une taxe carbone unique plus cohérente et lisible </w:t>
            </w:r>
            <w:r w:rsidR="003377A2" w:rsidRPr="00B05FE3">
              <w:rPr>
                <w:rFonts w:ascii="Arial" w:eastAsia="Times New Roman" w:hAnsi="Arial" w:cs="Arial"/>
                <w:sz w:val="20"/>
                <w:szCs w:val="20"/>
              </w:rPr>
              <w:t xml:space="preserve">et </w:t>
            </w:r>
            <w:r w:rsidR="003377A2" w:rsidRPr="00B05FE3">
              <w:rPr>
                <w:rFonts w:ascii="Arial" w:eastAsia="Times New Roman" w:hAnsi="Arial" w:cs="Arial"/>
                <w:sz w:val="18"/>
                <w:szCs w:val="20"/>
              </w:rPr>
              <w:t>(v) la liste des personnes interrogées ainsi que leurs fonctions au cours de cette phase de diagnostic.</w:t>
            </w:r>
          </w:p>
        </w:tc>
        <w:tc>
          <w:tcPr>
            <w:tcW w:w="1985" w:type="dxa"/>
            <w:shd w:val="clear" w:color="auto" w:fill="auto"/>
            <w:vAlign w:val="center"/>
          </w:tcPr>
          <w:p w14:paraId="25F37156" w14:textId="0FCB98A3" w:rsidR="007B6F61" w:rsidRPr="00D3065D" w:rsidRDefault="007B6F61" w:rsidP="002F5730">
            <w:pPr>
              <w:spacing w:line="240" w:lineRule="auto"/>
              <w:jc w:val="center"/>
              <w:rPr>
                <w:rFonts w:ascii="Arial" w:eastAsia="Calibri" w:hAnsi="Arial" w:cs="Arial"/>
                <w:sz w:val="16"/>
                <w:szCs w:val="20"/>
              </w:rPr>
            </w:pPr>
            <w:r w:rsidRPr="00D3065D">
              <w:rPr>
                <w:rFonts w:ascii="Arial" w:eastAsia="Calibri" w:hAnsi="Arial" w:cs="Arial"/>
                <w:sz w:val="16"/>
                <w:szCs w:val="20"/>
              </w:rPr>
              <w:t xml:space="preserve">T0 + </w:t>
            </w:r>
            <w:r w:rsidR="00B70E7A">
              <w:rPr>
                <w:rFonts w:ascii="Arial" w:eastAsia="Calibri" w:hAnsi="Arial" w:cs="Arial"/>
                <w:sz w:val="16"/>
                <w:szCs w:val="20"/>
              </w:rPr>
              <w:t>1 mois</w:t>
            </w:r>
          </w:p>
        </w:tc>
      </w:tr>
      <w:tr w:rsidR="007B6F61" w:rsidRPr="00D3065D" w14:paraId="692EB6E1" w14:textId="77777777" w:rsidTr="00516E07">
        <w:trPr>
          <w:trHeight w:val="535"/>
        </w:trPr>
        <w:tc>
          <w:tcPr>
            <w:tcW w:w="978" w:type="dxa"/>
            <w:shd w:val="clear" w:color="auto" w:fill="auto"/>
            <w:vAlign w:val="center"/>
          </w:tcPr>
          <w:p w14:paraId="15963807" w14:textId="77777777" w:rsidR="007B6F61" w:rsidRPr="00D3065D" w:rsidRDefault="007B6F61" w:rsidP="00516E07">
            <w:pPr>
              <w:spacing w:line="240" w:lineRule="auto"/>
              <w:jc w:val="center"/>
              <w:rPr>
                <w:rFonts w:ascii="Arial" w:eastAsia="Calibri" w:hAnsi="Arial" w:cs="Arial"/>
                <w:sz w:val="16"/>
                <w:szCs w:val="20"/>
              </w:rPr>
            </w:pPr>
            <w:r w:rsidRPr="00D3065D">
              <w:rPr>
                <w:rFonts w:ascii="Arial" w:eastAsia="Calibri" w:hAnsi="Arial" w:cs="Arial"/>
                <w:sz w:val="16"/>
                <w:szCs w:val="20"/>
              </w:rPr>
              <w:t>L1.3</w:t>
            </w:r>
          </w:p>
        </w:tc>
        <w:tc>
          <w:tcPr>
            <w:tcW w:w="5953" w:type="dxa"/>
            <w:gridSpan w:val="2"/>
            <w:shd w:val="clear" w:color="auto" w:fill="auto"/>
            <w:vAlign w:val="center"/>
          </w:tcPr>
          <w:p w14:paraId="1AE70824" w14:textId="77777777" w:rsidR="005332B6" w:rsidRPr="005332B6" w:rsidRDefault="005332B6" w:rsidP="005332B6">
            <w:pPr>
              <w:spacing w:before="120" w:after="120" w:line="240" w:lineRule="auto"/>
              <w:jc w:val="both"/>
              <w:rPr>
                <w:rFonts w:ascii="Arial" w:eastAsia="Times New Roman" w:hAnsi="Arial" w:cs="Arial"/>
                <w:sz w:val="18"/>
                <w:szCs w:val="20"/>
              </w:rPr>
            </w:pPr>
            <w:r w:rsidRPr="005332B6">
              <w:rPr>
                <w:rFonts w:ascii="Arial" w:eastAsia="Times New Roman" w:hAnsi="Arial" w:cs="Arial"/>
                <w:sz w:val="18"/>
                <w:szCs w:val="20"/>
              </w:rPr>
              <w:t xml:space="preserve">Un </w:t>
            </w:r>
            <w:r w:rsidRPr="005332B6">
              <w:rPr>
                <w:rFonts w:ascii="Arial" w:eastAsia="Times New Roman" w:hAnsi="Arial" w:cs="Arial"/>
                <w:b/>
                <w:sz w:val="18"/>
                <w:szCs w:val="20"/>
              </w:rPr>
              <w:t xml:space="preserve">benchmark international portant sur les taxes carbone mises en place dans 4 à 5 pays présentant des structures économiques et commerciales similaires à la Tunisie </w:t>
            </w:r>
            <w:r w:rsidRPr="005332B6">
              <w:rPr>
                <w:rFonts w:ascii="Arial" w:eastAsia="Times New Roman" w:hAnsi="Arial" w:cs="Arial"/>
                <w:sz w:val="18"/>
                <w:szCs w:val="20"/>
              </w:rPr>
              <w:t xml:space="preserve">incluant (i) une description analytique de la taxe carbone dans chaque pays sélectionné, (ii) les modalités de mise en place, de gouvernance et d’opérationnalisation de ces dispositifs et (iii) une analyse comparative des avantages, des inconvénients et des opportunités associées à chaque modèle, en vue d’en tirer des enseignements transférables au contexte tunisien. Cette analyse pourra être effectuée sur la base de SWOT. </w:t>
            </w:r>
          </w:p>
          <w:p w14:paraId="3EF01B64" w14:textId="77777777" w:rsidR="007B6F61" w:rsidRPr="00D3065D" w:rsidRDefault="007B6F61" w:rsidP="00516E07">
            <w:pPr>
              <w:spacing w:after="0" w:line="240" w:lineRule="auto"/>
              <w:jc w:val="both"/>
              <w:rPr>
                <w:rFonts w:ascii="Arial" w:eastAsia="Calibri" w:hAnsi="Arial" w:cs="Arial"/>
                <w:sz w:val="16"/>
                <w:szCs w:val="20"/>
              </w:rPr>
            </w:pPr>
          </w:p>
        </w:tc>
        <w:tc>
          <w:tcPr>
            <w:tcW w:w="1985" w:type="dxa"/>
            <w:shd w:val="clear" w:color="auto" w:fill="auto"/>
            <w:vAlign w:val="center"/>
          </w:tcPr>
          <w:p w14:paraId="1C57A3AC" w14:textId="18F8AEBF" w:rsidR="007B6F61" w:rsidRPr="00D3065D" w:rsidRDefault="007B6F61" w:rsidP="002F5730">
            <w:pPr>
              <w:spacing w:line="240" w:lineRule="auto"/>
              <w:jc w:val="center"/>
              <w:rPr>
                <w:rFonts w:ascii="Arial" w:eastAsia="Calibri" w:hAnsi="Arial" w:cs="Arial"/>
                <w:sz w:val="16"/>
                <w:szCs w:val="20"/>
              </w:rPr>
            </w:pPr>
            <w:r w:rsidRPr="00D3065D">
              <w:rPr>
                <w:rFonts w:ascii="Arial" w:eastAsia="Calibri" w:hAnsi="Arial" w:cs="Arial"/>
                <w:sz w:val="16"/>
                <w:szCs w:val="20"/>
              </w:rPr>
              <w:t xml:space="preserve">T0 + </w:t>
            </w:r>
            <w:r w:rsidR="00B70E7A">
              <w:rPr>
                <w:rFonts w:ascii="Arial" w:eastAsia="Calibri" w:hAnsi="Arial" w:cs="Arial"/>
                <w:sz w:val="16"/>
                <w:szCs w:val="20"/>
              </w:rPr>
              <w:t>1 mois</w:t>
            </w:r>
          </w:p>
        </w:tc>
      </w:tr>
      <w:tr w:rsidR="00B05FE3" w:rsidRPr="00D3065D" w14:paraId="433D0597" w14:textId="77777777" w:rsidTr="00516E07">
        <w:trPr>
          <w:trHeight w:val="535"/>
        </w:trPr>
        <w:tc>
          <w:tcPr>
            <w:tcW w:w="978" w:type="dxa"/>
            <w:shd w:val="clear" w:color="auto" w:fill="auto"/>
            <w:vAlign w:val="center"/>
          </w:tcPr>
          <w:p w14:paraId="6E2292E8" w14:textId="318CE78F" w:rsidR="00B05FE3" w:rsidRPr="00D3065D" w:rsidRDefault="00B05FE3" w:rsidP="00516E07">
            <w:pPr>
              <w:spacing w:line="240" w:lineRule="auto"/>
              <w:jc w:val="center"/>
              <w:rPr>
                <w:rFonts w:ascii="Arial" w:eastAsia="Calibri" w:hAnsi="Arial" w:cs="Arial"/>
                <w:sz w:val="16"/>
                <w:szCs w:val="20"/>
              </w:rPr>
            </w:pPr>
            <w:r>
              <w:rPr>
                <w:rFonts w:ascii="Arial" w:eastAsia="Calibri" w:hAnsi="Arial" w:cs="Arial"/>
                <w:sz w:val="16"/>
                <w:szCs w:val="20"/>
              </w:rPr>
              <w:t>L1.4</w:t>
            </w:r>
          </w:p>
        </w:tc>
        <w:tc>
          <w:tcPr>
            <w:tcW w:w="5953" w:type="dxa"/>
            <w:gridSpan w:val="2"/>
            <w:shd w:val="clear" w:color="auto" w:fill="auto"/>
            <w:vAlign w:val="center"/>
          </w:tcPr>
          <w:p w14:paraId="3F6AAF50" w14:textId="2F9A8E4F" w:rsidR="00B05FE3" w:rsidRPr="00B05FE3" w:rsidRDefault="00B05FE3" w:rsidP="005332B6">
            <w:pPr>
              <w:spacing w:before="120" w:after="120" w:line="240" w:lineRule="auto"/>
              <w:jc w:val="both"/>
              <w:rPr>
                <w:rFonts w:ascii="Arial" w:eastAsia="Times New Roman" w:hAnsi="Arial" w:cs="Arial"/>
                <w:sz w:val="20"/>
                <w:szCs w:val="20"/>
              </w:rPr>
            </w:pPr>
            <w:r w:rsidRPr="00B05FE3">
              <w:rPr>
                <w:rFonts w:ascii="Arial" w:eastAsia="Times New Roman" w:hAnsi="Arial" w:cs="Arial"/>
                <w:sz w:val="18"/>
                <w:szCs w:val="20"/>
              </w:rPr>
              <w:t xml:space="preserve">Une note d’analyse sur (i) les implications économiques du MACF, (ii) le degré de responsabilité et de redevabilité du pays envers ce dispositif. Cette note pourra être agrémentée de webinaires sur le MACF à destination de la DGELF, des entreprises principalement touchées par ce dispositif et d’autres acteurs institutionnels. </w:t>
            </w:r>
          </w:p>
        </w:tc>
        <w:tc>
          <w:tcPr>
            <w:tcW w:w="1985" w:type="dxa"/>
            <w:shd w:val="clear" w:color="auto" w:fill="auto"/>
            <w:vAlign w:val="center"/>
          </w:tcPr>
          <w:p w14:paraId="7AD47297" w14:textId="582B8130" w:rsidR="00B05FE3" w:rsidRPr="00D3065D" w:rsidRDefault="00B05FE3" w:rsidP="002F5730">
            <w:pPr>
              <w:spacing w:line="240" w:lineRule="auto"/>
              <w:jc w:val="center"/>
              <w:rPr>
                <w:rFonts w:ascii="Arial" w:eastAsia="Calibri" w:hAnsi="Arial" w:cs="Arial"/>
                <w:sz w:val="16"/>
                <w:szCs w:val="20"/>
              </w:rPr>
            </w:pPr>
            <w:r>
              <w:rPr>
                <w:rFonts w:ascii="Arial" w:eastAsia="Calibri" w:hAnsi="Arial" w:cs="Arial"/>
                <w:sz w:val="16"/>
                <w:szCs w:val="20"/>
              </w:rPr>
              <w:t>T0 + 1,5 mois</w:t>
            </w:r>
          </w:p>
        </w:tc>
      </w:tr>
      <w:tr w:rsidR="007B6F61" w:rsidRPr="00D3065D" w14:paraId="45A5A06C" w14:textId="77777777" w:rsidTr="00516E07">
        <w:trPr>
          <w:trHeight w:val="400"/>
        </w:trPr>
        <w:tc>
          <w:tcPr>
            <w:tcW w:w="6931" w:type="dxa"/>
            <w:gridSpan w:val="3"/>
            <w:shd w:val="clear" w:color="auto" w:fill="DBE5F1"/>
            <w:vAlign w:val="center"/>
          </w:tcPr>
          <w:p w14:paraId="402AB4D3" w14:textId="4534DEF7" w:rsidR="007B6F61" w:rsidRPr="00DC7FF1" w:rsidRDefault="009232DC" w:rsidP="009232DC">
            <w:pPr>
              <w:pStyle w:val="Paragraphedeliste"/>
              <w:numPr>
                <w:ilvl w:val="0"/>
                <w:numId w:val="12"/>
              </w:numPr>
              <w:spacing w:line="240" w:lineRule="auto"/>
              <w:jc w:val="both"/>
              <w:rPr>
                <w:rFonts w:ascii="Arial" w:eastAsia="Calibri" w:hAnsi="Arial" w:cs="Arial"/>
                <w:b/>
                <w:sz w:val="16"/>
                <w:szCs w:val="20"/>
              </w:rPr>
            </w:pPr>
            <w:r>
              <w:rPr>
                <w:rFonts w:ascii="Arial" w:eastAsia="Times New Roman" w:hAnsi="Arial" w:cs="Arial"/>
                <w:b/>
                <w:sz w:val="18"/>
                <w:szCs w:val="20"/>
              </w:rPr>
              <w:t xml:space="preserve">Première étude </w:t>
            </w:r>
            <w:r w:rsidR="00DC7FF1" w:rsidRPr="00B70E7A">
              <w:rPr>
                <w:rFonts w:ascii="Arial" w:eastAsia="Times New Roman" w:hAnsi="Arial" w:cs="Arial"/>
                <w:b/>
                <w:sz w:val="18"/>
                <w:szCs w:val="20"/>
              </w:rPr>
              <w:t>de la faisa</w:t>
            </w:r>
            <w:r w:rsidR="009E77AF" w:rsidRPr="00B70E7A">
              <w:rPr>
                <w:rFonts w:ascii="Arial" w:eastAsia="Times New Roman" w:hAnsi="Arial" w:cs="Arial"/>
                <w:b/>
                <w:sz w:val="18"/>
                <w:szCs w:val="20"/>
              </w:rPr>
              <w:t xml:space="preserve">bilité juridique, économique, </w:t>
            </w:r>
            <w:r w:rsidR="00DC7FF1" w:rsidRPr="00B70E7A">
              <w:rPr>
                <w:rFonts w:ascii="Arial" w:eastAsia="Times New Roman" w:hAnsi="Arial" w:cs="Arial"/>
                <w:b/>
                <w:sz w:val="18"/>
                <w:szCs w:val="20"/>
              </w:rPr>
              <w:t xml:space="preserve">institutionnel </w:t>
            </w:r>
            <w:r w:rsidR="009E77AF" w:rsidRPr="00B70E7A">
              <w:rPr>
                <w:rFonts w:ascii="Arial" w:eastAsia="Times New Roman" w:hAnsi="Arial" w:cs="Arial"/>
                <w:b/>
                <w:sz w:val="18"/>
                <w:szCs w:val="20"/>
              </w:rPr>
              <w:t xml:space="preserve">et social </w:t>
            </w:r>
            <w:r w:rsidR="00DC7FF1" w:rsidRPr="00B70E7A">
              <w:rPr>
                <w:rFonts w:ascii="Arial" w:eastAsia="Times New Roman" w:hAnsi="Arial" w:cs="Arial"/>
                <w:b/>
                <w:sz w:val="18"/>
                <w:szCs w:val="20"/>
              </w:rPr>
              <w:t>de la mise en place et l’opérationnalisation d’une taxe carbone</w:t>
            </w:r>
            <w:r w:rsidR="00DE5686" w:rsidRPr="00B70E7A">
              <w:rPr>
                <w:rFonts w:ascii="Arial" w:eastAsia="Times New Roman" w:hAnsi="Arial" w:cs="Arial"/>
                <w:b/>
                <w:sz w:val="18"/>
                <w:szCs w:val="20"/>
              </w:rPr>
              <w:t xml:space="preserve"> en Tunisie</w:t>
            </w:r>
            <w:r>
              <w:rPr>
                <w:rFonts w:ascii="Arial" w:eastAsia="Times New Roman" w:hAnsi="Arial" w:cs="Arial"/>
                <w:b/>
                <w:sz w:val="18"/>
                <w:szCs w:val="20"/>
              </w:rPr>
              <w:t xml:space="preserve"> </w:t>
            </w:r>
          </w:p>
        </w:tc>
        <w:tc>
          <w:tcPr>
            <w:tcW w:w="1985" w:type="dxa"/>
            <w:shd w:val="clear" w:color="auto" w:fill="DBE5F1"/>
            <w:vAlign w:val="center"/>
          </w:tcPr>
          <w:p w14:paraId="4167C963" w14:textId="4A17D908" w:rsidR="007B6F61" w:rsidRPr="00D3065D" w:rsidRDefault="002F5730" w:rsidP="002F5730">
            <w:pPr>
              <w:spacing w:line="240" w:lineRule="auto"/>
              <w:jc w:val="center"/>
              <w:rPr>
                <w:rFonts w:ascii="Arial" w:eastAsia="Calibri" w:hAnsi="Arial" w:cs="Arial"/>
                <w:b/>
                <w:sz w:val="16"/>
                <w:szCs w:val="20"/>
              </w:rPr>
            </w:pPr>
            <w:r>
              <w:rPr>
                <w:rFonts w:ascii="Arial" w:eastAsia="Calibri" w:hAnsi="Arial" w:cs="Arial"/>
                <w:b/>
                <w:sz w:val="16"/>
                <w:szCs w:val="20"/>
              </w:rPr>
              <w:t xml:space="preserve">T1+ </w:t>
            </w:r>
            <w:r w:rsidR="009232DC">
              <w:rPr>
                <w:rFonts w:ascii="Arial" w:eastAsia="Calibri" w:hAnsi="Arial" w:cs="Arial"/>
                <w:b/>
                <w:sz w:val="16"/>
                <w:szCs w:val="20"/>
              </w:rPr>
              <w:t xml:space="preserve">1,5 </w:t>
            </w:r>
            <w:r w:rsidR="004A4023">
              <w:rPr>
                <w:rFonts w:ascii="Arial" w:eastAsia="Calibri" w:hAnsi="Arial" w:cs="Arial"/>
                <w:b/>
                <w:sz w:val="16"/>
                <w:szCs w:val="20"/>
              </w:rPr>
              <w:t>mois</w:t>
            </w:r>
          </w:p>
        </w:tc>
      </w:tr>
      <w:tr w:rsidR="007B6F61" w:rsidRPr="00D3065D" w14:paraId="6E39D861" w14:textId="77777777" w:rsidTr="00516E07">
        <w:trPr>
          <w:trHeight w:val="400"/>
        </w:trPr>
        <w:tc>
          <w:tcPr>
            <w:tcW w:w="978" w:type="dxa"/>
            <w:shd w:val="clear" w:color="auto" w:fill="auto"/>
            <w:vAlign w:val="center"/>
          </w:tcPr>
          <w:p w14:paraId="7E0837AE" w14:textId="77777777" w:rsidR="007B6F61" w:rsidRPr="00D3065D" w:rsidRDefault="007B6F61" w:rsidP="00516E07">
            <w:pPr>
              <w:spacing w:line="240" w:lineRule="auto"/>
              <w:jc w:val="center"/>
              <w:rPr>
                <w:rFonts w:ascii="Arial" w:eastAsia="Calibri" w:hAnsi="Arial" w:cs="Arial"/>
                <w:sz w:val="16"/>
                <w:szCs w:val="20"/>
              </w:rPr>
            </w:pPr>
            <w:r w:rsidRPr="00D3065D">
              <w:rPr>
                <w:rFonts w:ascii="Arial" w:eastAsia="Calibri" w:hAnsi="Arial" w:cs="Arial"/>
                <w:sz w:val="16"/>
                <w:szCs w:val="20"/>
              </w:rPr>
              <w:t>L2.1</w:t>
            </w:r>
          </w:p>
        </w:tc>
        <w:tc>
          <w:tcPr>
            <w:tcW w:w="5953" w:type="dxa"/>
            <w:gridSpan w:val="2"/>
            <w:shd w:val="clear" w:color="auto" w:fill="auto"/>
            <w:vAlign w:val="center"/>
          </w:tcPr>
          <w:p w14:paraId="1C4D165C" w14:textId="381343BC" w:rsidR="007B6F61" w:rsidRPr="00F26D3F" w:rsidRDefault="00F26D3F" w:rsidP="00F26D3F">
            <w:pPr>
              <w:spacing w:before="120" w:after="120" w:line="240" w:lineRule="auto"/>
              <w:jc w:val="both"/>
              <w:rPr>
                <w:rFonts w:ascii="Arial" w:eastAsia="Times New Roman" w:hAnsi="Arial" w:cs="Arial"/>
                <w:sz w:val="20"/>
                <w:szCs w:val="20"/>
              </w:rPr>
            </w:pPr>
            <w:r w:rsidRPr="00F26D3F">
              <w:rPr>
                <w:rFonts w:ascii="Arial" w:eastAsia="Times New Roman" w:hAnsi="Arial" w:cs="Arial"/>
                <w:sz w:val="18"/>
                <w:szCs w:val="20"/>
              </w:rPr>
              <w:t xml:space="preserve">Un </w:t>
            </w:r>
            <w:r w:rsidR="00B56104" w:rsidRPr="00B56104">
              <w:rPr>
                <w:rFonts w:ascii="Arial" w:eastAsia="Times New Roman" w:hAnsi="Arial" w:cs="Arial"/>
                <w:b/>
                <w:sz w:val="18"/>
                <w:szCs w:val="20"/>
              </w:rPr>
              <w:t xml:space="preserve">premier </w:t>
            </w:r>
            <w:r w:rsidRPr="00B56104">
              <w:rPr>
                <w:rFonts w:ascii="Arial" w:eastAsia="Times New Roman" w:hAnsi="Arial" w:cs="Arial"/>
                <w:b/>
                <w:sz w:val="18"/>
                <w:szCs w:val="20"/>
              </w:rPr>
              <w:t>rapport</w:t>
            </w:r>
            <w:r w:rsidRPr="00F26D3F">
              <w:rPr>
                <w:rFonts w:ascii="Arial" w:eastAsia="Times New Roman" w:hAnsi="Arial" w:cs="Arial"/>
                <w:b/>
                <w:sz w:val="18"/>
                <w:szCs w:val="20"/>
              </w:rPr>
              <w:t xml:space="preserve"> d’analyse de la faisabilité juridique, économique, social et institutionnel de la mise en place et l’opérationnalisation d’une taxe carbone en Tunisie</w:t>
            </w:r>
            <w:r w:rsidR="00E326F8">
              <w:rPr>
                <w:rFonts w:ascii="Arial" w:eastAsia="Times New Roman" w:hAnsi="Arial" w:cs="Arial"/>
                <w:sz w:val="18"/>
                <w:szCs w:val="20"/>
              </w:rPr>
              <w:t xml:space="preserve"> </w:t>
            </w:r>
            <w:r w:rsidR="00E326F8" w:rsidRPr="00E326F8">
              <w:rPr>
                <w:rFonts w:ascii="Arial" w:eastAsia="Times New Roman" w:hAnsi="Arial" w:cs="Arial"/>
                <w:sz w:val="18"/>
                <w:szCs w:val="20"/>
              </w:rPr>
              <w:t>incluant (i) une analyse des avantages, contraintes, opportunités et risques pour l’introduction d’une taxe dans ces différentes dimensions ainsi (ii) que les premiers contours de modèle de taxe carbone jugés pertinents pour la Tunisie.</w:t>
            </w:r>
          </w:p>
        </w:tc>
        <w:tc>
          <w:tcPr>
            <w:tcW w:w="1985" w:type="dxa"/>
            <w:shd w:val="clear" w:color="auto" w:fill="auto"/>
            <w:vAlign w:val="center"/>
          </w:tcPr>
          <w:p w14:paraId="545F7C8C" w14:textId="3F29A231" w:rsidR="007B6F61" w:rsidRPr="00D3065D" w:rsidRDefault="002F5730" w:rsidP="00516E07">
            <w:pPr>
              <w:spacing w:line="240" w:lineRule="auto"/>
              <w:jc w:val="center"/>
              <w:rPr>
                <w:rFonts w:ascii="Arial" w:eastAsia="Calibri" w:hAnsi="Arial" w:cs="Arial"/>
                <w:sz w:val="16"/>
                <w:szCs w:val="20"/>
              </w:rPr>
            </w:pPr>
            <w:r>
              <w:rPr>
                <w:rFonts w:ascii="Arial" w:eastAsia="Calibri" w:hAnsi="Arial" w:cs="Arial"/>
                <w:sz w:val="16"/>
                <w:szCs w:val="20"/>
              </w:rPr>
              <w:t xml:space="preserve">T1 + </w:t>
            </w:r>
            <w:r w:rsidR="007B61B0">
              <w:rPr>
                <w:rFonts w:ascii="Arial" w:eastAsia="Calibri" w:hAnsi="Arial" w:cs="Arial"/>
                <w:sz w:val="16"/>
                <w:szCs w:val="20"/>
              </w:rPr>
              <w:t>1 mois</w:t>
            </w:r>
          </w:p>
        </w:tc>
      </w:tr>
      <w:tr w:rsidR="00B56104" w:rsidRPr="00D3065D" w14:paraId="1F95D702" w14:textId="77777777" w:rsidTr="00516E07">
        <w:trPr>
          <w:trHeight w:val="400"/>
        </w:trPr>
        <w:tc>
          <w:tcPr>
            <w:tcW w:w="978" w:type="dxa"/>
            <w:shd w:val="clear" w:color="auto" w:fill="auto"/>
            <w:vAlign w:val="center"/>
          </w:tcPr>
          <w:p w14:paraId="103FA206" w14:textId="0C0F8B4E" w:rsidR="00B56104" w:rsidRPr="00D3065D" w:rsidRDefault="00B56104" w:rsidP="00516E07">
            <w:pPr>
              <w:spacing w:line="240" w:lineRule="auto"/>
              <w:jc w:val="center"/>
              <w:rPr>
                <w:rFonts w:ascii="Arial" w:eastAsia="Calibri" w:hAnsi="Arial" w:cs="Arial"/>
                <w:sz w:val="16"/>
                <w:szCs w:val="20"/>
              </w:rPr>
            </w:pPr>
            <w:r>
              <w:rPr>
                <w:rFonts w:ascii="Arial" w:eastAsia="Calibri" w:hAnsi="Arial" w:cs="Arial"/>
                <w:sz w:val="16"/>
                <w:szCs w:val="20"/>
              </w:rPr>
              <w:lastRenderedPageBreak/>
              <w:t>L2.2</w:t>
            </w:r>
          </w:p>
        </w:tc>
        <w:tc>
          <w:tcPr>
            <w:tcW w:w="5953" w:type="dxa"/>
            <w:gridSpan w:val="2"/>
            <w:shd w:val="clear" w:color="auto" w:fill="auto"/>
            <w:vAlign w:val="center"/>
          </w:tcPr>
          <w:p w14:paraId="4B5FF206" w14:textId="77777777" w:rsidR="00B56104" w:rsidRPr="00B56104" w:rsidRDefault="00B56104" w:rsidP="00B56104">
            <w:pPr>
              <w:spacing w:before="120" w:after="120" w:line="240" w:lineRule="auto"/>
              <w:jc w:val="both"/>
              <w:rPr>
                <w:rFonts w:ascii="Arial" w:eastAsia="Times New Roman" w:hAnsi="Arial" w:cs="Arial"/>
                <w:sz w:val="18"/>
                <w:szCs w:val="20"/>
              </w:rPr>
            </w:pPr>
            <w:r w:rsidRPr="00B56104">
              <w:rPr>
                <w:rFonts w:ascii="Arial" w:eastAsia="Times New Roman" w:hAnsi="Arial" w:cs="Arial"/>
                <w:b/>
                <w:sz w:val="18"/>
                <w:szCs w:val="20"/>
              </w:rPr>
              <w:t>Contributions techniques</w:t>
            </w:r>
            <w:r w:rsidRPr="00B56104">
              <w:rPr>
                <w:rFonts w:ascii="Arial" w:eastAsia="Times New Roman" w:hAnsi="Arial" w:cs="Arial"/>
                <w:sz w:val="18"/>
                <w:szCs w:val="20"/>
              </w:rPr>
              <w:t xml:space="preserve"> pour l’élaboration du cahier des charges pour l’étude de faisabilité sur la mise en place et l’opérationnalisation de la taxe carbone en Tunisie</w:t>
            </w:r>
          </w:p>
          <w:p w14:paraId="74378350" w14:textId="77777777" w:rsidR="00B56104" w:rsidRPr="00F26D3F" w:rsidRDefault="00B56104" w:rsidP="00F26D3F">
            <w:pPr>
              <w:spacing w:before="120" w:after="120" w:line="240" w:lineRule="auto"/>
              <w:jc w:val="both"/>
              <w:rPr>
                <w:rFonts w:ascii="Arial" w:eastAsia="Times New Roman" w:hAnsi="Arial" w:cs="Arial"/>
                <w:sz w:val="18"/>
                <w:szCs w:val="20"/>
              </w:rPr>
            </w:pPr>
          </w:p>
        </w:tc>
        <w:tc>
          <w:tcPr>
            <w:tcW w:w="1985" w:type="dxa"/>
            <w:shd w:val="clear" w:color="auto" w:fill="auto"/>
            <w:vAlign w:val="center"/>
          </w:tcPr>
          <w:p w14:paraId="10B58AAD" w14:textId="5320AE51" w:rsidR="00B56104" w:rsidRDefault="00B56104" w:rsidP="00516E07">
            <w:pPr>
              <w:spacing w:line="240" w:lineRule="auto"/>
              <w:jc w:val="center"/>
              <w:rPr>
                <w:rFonts w:ascii="Arial" w:eastAsia="Calibri" w:hAnsi="Arial" w:cs="Arial"/>
                <w:sz w:val="16"/>
                <w:szCs w:val="20"/>
              </w:rPr>
            </w:pPr>
            <w:r>
              <w:rPr>
                <w:rFonts w:ascii="Arial" w:eastAsia="Calibri" w:hAnsi="Arial" w:cs="Arial"/>
                <w:sz w:val="16"/>
                <w:szCs w:val="20"/>
              </w:rPr>
              <w:t>T1 + 1,5</w:t>
            </w:r>
          </w:p>
        </w:tc>
      </w:tr>
    </w:tbl>
    <w:p w14:paraId="17389067" w14:textId="77777777" w:rsidR="007B6F61" w:rsidRPr="0067016D" w:rsidRDefault="007B6F61" w:rsidP="007B6F61">
      <w:pPr>
        <w:spacing w:line="240" w:lineRule="auto"/>
        <w:jc w:val="both"/>
        <w:rPr>
          <w:rFonts w:ascii="Arial" w:eastAsia="Times New Roman" w:hAnsi="Arial" w:cs="Arial"/>
          <w:b/>
          <w:sz w:val="20"/>
          <w:szCs w:val="20"/>
        </w:rPr>
      </w:pPr>
    </w:p>
    <w:p w14:paraId="70086DDF" w14:textId="77777777" w:rsidR="007B6F61" w:rsidRPr="0067016D" w:rsidRDefault="007B6F61" w:rsidP="007B6F61">
      <w:pPr>
        <w:spacing w:line="240" w:lineRule="auto"/>
        <w:jc w:val="both"/>
        <w:rPr>
          <w:rFonts w:ascii="Arial" w:eastAsia="Times New Roman" w:hAnsi="Arial" w:cs="Arial"/>
          <w:sz w:val="20"/>
          <w:szCs w:val="20"/>
        </w:rPr>
      </w:pPr>
      <w:r w:rsidRPr="0067016D">
        <w:rPr>
          <w:rFonts w:ascii="Arial" w:eastAsia="Times New Roman" w:hAnsi="Arial" w:cs="Arial"/>
          <w:sz w:val="20"/>
          <w:szCs w:val="20"/>
        </w:rPr>
        <w:t>L</w:t>
      </w:r>
      <w:r>
        <w:rPr>
          <w:rFonts w:ascii="Arial" w:eastAsia="Times New Roman" w:hAnsi="Arial" w:cs="Arial"/>
          <w:sz w:val="20"/>
          <w:szCs w:val="20"/>
        </w:rPr>
        <w:t xml:space="preserve">es </w:t>
      </w:r>
      <w:r w:rsidRPr="0067016D">
        <w:rPr>
          <w:rFonts w:ascii="Arial" w:eastAsia="Times New Roman" w:hAnsi="Arial" w:cs="Arial"/>
          <w:sz w:val="20"/>
          <w:szCs w:val="20"/>
        </w:rPr>
        <w:t>prestataire</w:t>
      </w:r>
      <w:r>
        <w:rPr>
          <w:rFonts w:ascii="Arial" w:eastAsia="Times New Roman" w:hAnsi="Arial" w:cs="Arial"/>
          <w:sz w:val="20"/>
          <w:szCs w:val="20"/>
        </w:rPr>
        <w:t>s désigneront</w:t>
      </w:r>
      <w:r w:rsidRPr="0067016D">
        <w:rPr>
          <w:rFonts w:ascii="Arial" w:eastAsia="Times New Roman" w:hAnsi="Arial" w:cs="Arial"/>
          <w:sz w:val="20"/>
          <w:szCs w:val="20"/>
        </w:rPr>
        <w:t xml:space="preserve"> un interlocuteur unique pour la mise en œuvre du projet. </w:t>
      </w:r>
    </w:p>
    <w:p w14:paraId="0E6BF588" w14:textId="2D51F65F" w:rsidR="00750432" w:rsidRDefault="00750432" w:rsidP="007B6F61">
      <w:pPr>
        <w:spacing w:line="240" w:lineRule="auto"/>
        <w:jc w:val="both"/>
      </w:pPr>
      <w:r>
        <w:rPr>
          <w:rFonts w:ascii="Arial" w:eastAsia="Times New Roman" w:hAnsi="Arial" w:cs="Arial"/>
          <w:sz w:val="20"/>
          <w:szCs w:val="20"/>
        </w:rPr>
        <w:t>Jennifer Jones</w:t>
      </w:r>
      <w:r w:rsidR="007B6F61" w:rsidRPr="00343EBF">
        <w:rPr>
          <w:rFonts w:ascii="Arial" w:eastAsia="Times New Roman" w:hAnsi="Arial" w:cs="Arial"/>
          <w:sz w:val="20"/>
          <w:szCs w:val="20"/>
        </w:rPr>
        <w:t xml:space="preserve">, Cheffe de projet </w:t>
      </w:r>
      <w:proofErr w:type="spellStart"/>
      <w:r w:rsidR="007B6F61" w:rsidRPr="00343EBF">
        <w:rPr>
          <w:rFonts w:ascii="Arial" w:eastAsia="Times New Roman" w:hAnsi="Arial" w:cs="Arial"/>
          <w:sz w:val="20"/>
          <w:szCs w:val="20"/>
        </w:rPr>
        <w:t>Greenov’i</w:t>
      </w:r>
      <w:proofErr w:type="spellEnd"/>
      <w:r w:rsidR="007B6F61" w:rsidRPr="00343EBF">
        <w:rPr>
          <w:rFonts w:ascii="Arial" w:eastAsia="Times New Roman" w:hAnsi="Arial" w:cs="Arial"/>
          <w:sz w:val="20"/>
          <w:szCs w:val="20"/>
        </w:rPr>
        <w:t xml:space="preserve">, sera l’interlocutrice principale du prestataire pour Expertise France. </w:t>
      </w:r>
    </w:p>
    <w:p w14:paraId="5EB71D13" w14:textId="77777777" w:rsidR="007B6F61" w:rsidRPr="007408AE" w:rsidRDefault="007B6F61" w:rsidP="007B6F61">
      <w:pPr>
        <w:spacing w:line="240" w:lineRule="auto"/>
        <w:jc w:val="both"/>
        <w:rPr>
          <w:rFonts w:ascii="Arial" w:eastAsia="Times New Roman" w:hAnsi="Arial" w:cs="Arial"/>
          <w:sz w:val="20"/>
          <w:szCs w:val="20"/>
        </w:rPr>
      </w:pPr>
      <w:r w:rsidRPr="0067016D">
        <w:rPr>
          <w:rFonts w:ascii="Arial" w:eastAsia="Times New Roman" w:hAnsi="Arial" w:cs="Arial"/>
          <w:sz w:val="20"/>
          <w:szCs w:val="20"/>
        </w:rPr>
        <w:t xml:space="preserve">Une coordination étroite avec l’équipe </w:t>
      </w:r>
      <w:proofErr w:type="spellStart"/>
      <w:r w:rsidRPr="0067016D">
        <w:rPr>
          <w:rFonts w:ascii="Arial" w:eastAsia="Times New Roman" w:hAnsi="Arial" w:cs="Arial"/>
          <w:sz w:val="20"/>
          <w:szCs w:val="20"/>
        </w:rPr>
        <w:t>Greenov’i</w:t>
      </w:r>
      <w:proofErr w:type="spellEnd"/>
      <w:r w:rsidRPr="0067016D">
        <w:rPr>
          <w:rFonts w:ascii="Arial" w:eastAsia="Times New Roman" w:hAnsi="Arial" w:cs="Arial"/>
          <w:sz w:val="20"/>
          <w:szCs w:val="20"/>
        </w:rPr>
        <w:t xml:space="preserve"> sera mise en place dès la préparation des missions et jusqu’à leur finalisation. En outre, des échanges réguliers seront à prévoir sur l’état d’avancement des missions et éventuellement les difficultés rencontrées.</w:t>
      </w:r>
    </w:p>
    <w:p w14:paraId="31E3445C" w14:textId="77777777" w:rsidR="007B6F61" w:rsidRPr="00433B7A" w:rsidRDefault="007B6F61" w:rsidP="007B6F61">
      <w:pPr>
        <w:pStyle w:val="Paragraphedeliste"/>
        <w:numPr>
          <w:ilvl w:val="0"/>
          <w:numId w:val="2"/>
        </w:numPr>
        <w:spacing w:line="240" w:lineRule="auto"/>
        <w:jc w:val="both"/>
        <w:rPr>
          <w:rFonts w:ascii="Arial" w:eastAsia="Times New Roman" w:hAnsi="Arial" w:cs="Arial"/>
          <w:b/>
          <w:color w:val="009CA6"/>
          <w:sz w:val="20"/>
          <w:szCs w:val="20"/>
        </w:rPr>
      </w:pPr>
      <w:r w:rsidRPr="00433B7A">
        <w:rPr>
          <w:rFonts w:ascii="Arial" w:eastAsia="Times New Roman" w:hAnsi="Arial" w:cs="Arial"/>
          <w:b/>
          <w:color w:val="009CA6"/>
          <w:sz w:val="20"/>
          <w:szCs w:val="20"/>
        </w:rPr>
        <w:t xml:space="preserve">Durée et modalités d’exécution </w:t>
      </w:r>
    </w:p>
    <w:p w14:paraId="76C24AD2" w14:textId="77777777" w:rsidR="007B6F61" w:rsidRPr="0067016D" w:rsidRDefault="007B6F61" w:rsidP="007B6F61">
      <w:pPr>
        <w:pStyle w:val="Paragraphedeliste"/>
        <w:spacing w:line="240" w:lineRule="auto"/>
        <w:jc w:val="both"/>
        <w:rPr>
          <w:rFonts w:ascii="Arial" w:eastAsia="Times New Roman" w:hAnsi="Arial" w:cs="Arial"/>
          <w:b/>
          <w:sz w:val="20"/>
          <w:szCs w:val="20"/>
        </w:rPr>
      </w:pPr>
    </w:p>
    <w:p w14:paraId="16BD4C7C" w14:textId="38502960" w:rsidR="002F5730" w:rsidRPr="002F5730" w:rsidRDefault="007B6F61" w:rsidP="002F5730">
      <w:pPr>
        <w:pStyle w:val="Paragraphedeliste"/>
        <w:numPr>
          <w:ilvl w:val="0"/>
          <w:numId w:val="9"/>
        </w:numPr>
        <w:spacing w:line="240" w:lineRule="auto"/>
        <w:jc w:val="both"/>
        <w:rPr>
          <w:rFonts w:ascii="Arial" w:eastAsia="Times New Roman" w:hAnsi="Arial" w:cs="Arial"/>
          <w:b/>
          <w:i/>
          <w:sz w:val="20"/>
          <w:szCs w:val="20"/>
        </w:rPr>
      </w:pPr>
      <w:r w:rsidRPr="00433B7A">
        <w:rPr>
          <w:rFonts w:ascii="Arial" w:eastAsia="Times New Roman" w:hAnsi="Arial" w:cs="Arial"/>
          <w:b/>
          <w:color w:val="6E6E6E"/>
          <w:sz w:val="20"/>
          <w:szCs w:val="20"/>
        </w:rPr>
        <w:t xml:space="preserve">Date de démarrage (indicative) : </w:t>
      </w:r>
      <w:r w:rsidR="00085A38">
        <w:rPr>
          <w:rFonts w:ascii="Arial" w:eastAsia="Times New Roman" w:hAnsi="Arial" w:cs="Arial"/>
          <w:b/>
          <w:color w:val="6E6E6E"/>
          <w:sz w:val="20"/>
          <w:szCs w:val="20"/>
        </w:rPr>
        <w:t>Au plus tôt possible (entre septembre et octobre)</w:t>
      </w:r>
    </w:p>
    <w:p w14:paraId="772BDDA0" w14:textId="6FF2F78D" w:rsidR="007B6F61" w:rsidRPr="0067016D" w:rsidRDefault="007B6F61" w:rsidP="007B6F61">
      <w:pPr>
        <w:pStyle w:val="Paragraphedeliste"/>
        <w:numPr>
          <w:ilvl w:val="0"/>
          <w:numId w:val="9"/>
        </w:numPr>
        <w:spacing w:line="240" w:lineRule="auto"/>
        <w:jc w:val="both"/>
        <w:rPr>
          <w:rFonts w:ascii="Arial" w:eastAsia="Times New Roman" w:hAnsi="Arial" w:cs="Arial"/>
          <w:b/>
          <w:i/>
          <w:sz w:val="20"/>
          <w:szCs w:val="20"/>
        </w:rPr>
      </w:pPr>
      <w:r w:rsidRPr="00433B7A">
        <w:rPr>
          <w:rFonts w:ascii="Arial" w:eastAsia="Times New Roman" w:hAnsi="Arial" w:cs="Arial"/>
          <w:b/>
          <w:color w:val="6E6E6E"/>
          <w:sz w:val="20"/>
          <w:szCs w:val="20"/>
        </w:rPr>
        <w:t>Date de fin (indicative) :</w:t>
      </w:r>
      <w:r w:rsidRPr="00433B7A">
        <w:rPr>
          <w:rFonts w:ascii="Arial" w:eastAsia="Times New Roman" w:hAnsi="Arial" w:cs="Arial"/>
          <w:b/>
          <w:i/>
          <w:color w:val="6E6E6E"/>
          <w:sz w:val="20"/>
          <w:szCs w:val="20"/>
        </w:rPr>
        <w:t xml:space="preserve"> </w:t>
      </w:r>
      <w:r w:rsidR="00085A38">
        <w:rPr>
          <w:rFonts w:ascii="Arial" w:eastAsia="Times New Roman" w:hAnsi="Arial" w:cs="Arial"/>
          <w:b/>
          <w:color w:val="6E6E6E"/>
          <w:sz w:val="20"/>
          <w:szCs w:val="20"/>
        </w:rPr>
        <w:t>Fin de 2025/Début de 2026</w:t>
      </w:r>
    </w:p>
    <w:p w14:paraId="68E2463F" w14:textId="3620EC4E" w:rsidR="007B6F61" w:rsidRPr="0067016D" w:rsidRDefault="007B6F61" w:rsidP="00202A83">
      <w:pPr>
        <w:pStyle w:val="Paragraphedeliste"/>
        <w:numPr>
          <w:ilvl w:val="0"/>
          <w:numId w:val="9"/>
        </w:numPr>
        <w:spacing w:line="240" w:lineRule="auto"/>
        <w:jc w:val="both"/>
        <w:rPr>
          <w:rFonts w:ascii="Arial" w:eastAsia="Times New Roman" w:hAnsi="Arial" w:cs="Arial"/>
          <w:b/>
          <w:sz w:val="20"/>
          <w:szCs w:val="20"/>
        </w:rPr>
      </w:pPr>
      <w:r w:rsidRPr="00433B7A">
        <w:rPr>
          <w:rFonts w:ascii="Arial" w:eastAsia="Times New Roman" w:hAnsi="Arial" w:cs="Arial"/>
          <w:b/>
          <w:color w:val="6E6E6E"/>
          <w:sz w:val="20"/>
          <w:szCs w:val="20"/>
        </w:rPr>
        <w:t>Budget indicatif</w:t>
      </w:r>
      <w:r w:rsidRPr="00433B7A">
        <w:rPr>
          <w:rFonts w:ascii="Arial" w:eastAsia="Times New Roman" w:hAnsi="Arial" w:cs="Arial"/>
          <w:b/>
          <w:i/>
          <w:color w:val="6E6E6E"/>
          <w:sz w:val="20"/>
          <w:szCs w:val="20"/>
        </w:rPr>
        <w:t xml:space="preserve"> : </w:t>
      </w:r>
      <w:r w:rsidR="00202A83">
        <w:rPr>
          <w:rFonts w:ascii="Arial" w:eastAsia="Times New Roman" w:hAnsi="Arial" w:cs="Arial"/>
          <w:b/>
          <w:color w:val="6E6E6E"/>
          <w:sz w:val="20"/>
          <w:szCs w:val="20"/>
        </w:rPr>
        <w:t xml:space="preserve">50 </w:t>
      </w:r>
      <w:r w:rsidR="00873438">
        <w:rPr>
          <w:rFonts w:ascii="Arial" w:eastAsia="Times New Roman" w:hAnsi="Arial" w:cs="Arial"/>
          <w:b/>
          <w:color w:val="6E6E6E"/>
          <w:sz w:val="20"/>
          <w:szCs w:val="20"/>
        </w:rPr>
        <w:t>JH</w:t>
      </w:r>
      <w:r w:rsidR="000F4E93">
        <w:rPr>
          <w:rFonts w:ascii="Arial" w:eastAsia="Times New Roman" w:hAnsi="Arial" w:cs="Arial"/>
          <w:b/>
          <w:color w:val="6E6E6E"/>
          <w:sz w:val="20"/>
          <w:szCs w:val="20"/>
        </w:rPr>
        <w:t xml:space="preserve"> (environ </w:t>
      </w:r>
      <w:r w:rsidR="00202A83">
        <w:rPr>
          <w:rFonts w:ascii="Arial" w:eastAsia="Times New Roman" w:hAnsi="Arial" w:cs="Arial"/>
          <w:b/>
          <w:color w:val="6E6E6E"/>
          <w:sz w:val="20"/>
          <w:szCs w:val="20"/>
        </w:rPr>
        <w:t>25</w:t>
      </w:r>
      <w:r w:rsidR="00202A83" w:rsidRPr="007B4922">
        <w:rPr>
          <w:rFonts w:ascii="Arial" w:eastAsia="Times New Roman" w:hAnsi="Arial" w:cs="Arial"/>
          <w:b/>
          <w:color w:val="6E6E6E"/>
          <w:sz w:val="20"/>
          <w:szCs w:val="20"/>
        </w:rPr>
        <w:t xml:space="preserve"> </w:t>
      </w:r>
      <w:r w:rsidR="007B4922" w:rsidRPr="007B4922">
        <w:rPr>
          <w:rFonts w:ascii="Arial" w:eastAsia="Times New Roman" w:hAnsi="Arial" w:cs="Arial"/>
          <w:b/>
          <w:color w:val="6E6E6E"/>
          <w:sz w:val="20"/>
          <w:szCs w:val="20"/>
        </w:rPr>
        <w:t>JH/</w:t>
      </w:r>
      <w:proofErr w:type="spellStart"/>
      <w:proofErr w:type="gramStart"/>
      <w:r w:rsidR="007B4922" w:rsidRPr="007B4922">
        <w:rPr>
          <w:rFonts w:ascii="Arial" w:eastAsia="Times New Roman" w:hAnsi="Arial" w:cs="Arial"/>
          <w:b/>
          <w:color w:val="6E6E6E"/>
          <w:sz w:val="20"/>
          <w:szCs w:val="20"/>
        </w:rPr>
        <w:t>expert.e</w:t>
      </w:r>
      <w:proofErr w:type="spellEnd"/>
      <w:proofErr w:type="gramEnd"/>
      <w:r w:rsidR="007B4922" w:rsidRPr="007B4922">
        <w:rPr>
          <w:rFonts w:ascii="Arial" w:eastAsia="Times New Roman" w:hAnsi="Arial" w:cs="Arial"/>
          <w:b/>
          <w:color w:val="6E6E6E"/>
          <w:sz w:val="20"/>
          <w:szCs w:val="20"/>
        </w:rPr>
        <w:t>)</w:t>
      </w:r>
    </w:p>
    <w:p w14:paraId="4BADDA4B" w14:textId="0E4F81A9" w:rsidR="007B6F61" w:rsidRPr="002F5730" w:rsidRDefault="007B6F61" w:rsidP="00516E07">
      <w:pPr>
        <w:pStyle w:val="Paragraphedeliste"/>
        <w:numPr>
          <w:ilvl w:val="0"/>
          <w:numId w:val="9"/>
        </w:numPr>
        <w:spacing w:line="240" w:lineRule="auto"/>
        <w:jc w:val="both"/>
        <w:outlineLvl w:val="1"/>
        <w:rPr>
          <w:rFonts w:ascii="Arial" w:eastAsia="Times New Roman" w:hAnsi="Arial" w:cs="Arial"/>
          <w:b/>
          <w:i/>
          <w:sz w:val="20"/>
          <w:szCs w:val="20"/>
        </w:rPr>
      </w:pPr>
      <w:r w:rsidRPr="002F5730">
        <w:rPr>
          <w:rFonts w:ascii="Arial" w:eastAsia="Times New Roman" w:hAnsi="Arial" w:cs="Arial"/>
          <w:b/>
          <w:color w:val="6E6E6E"/>
          <w:sz w:val="20"/>
          <w:szCs w:val="20"/>
        </w:rPr>
        <w:t>Type de contrat :</w:t>
      </w:r>
      <w:r w:rsidRPr="002F5730">
        <w:rPr>
          <w:rFonts w:ascii="Arial" w:eastAsia="Times New Roman" w:hAnsi="Arial" w:cs="Arial"/>
          <w:color w:val="6E6E6E"/>
          <w:sz w:val="20"/>
          <w:szCs w:val="20"/>
        </w:rPr>
        <w:t xml:space="preserve"> </w:t>
      </w:r>
      <w:r w:rsidR="00131F81" w:rsidRPr="00131F81">
        <w:rPr>
          <w:rFonts w:ascii="Arial" w:eastAsia="Times New Roman" w:hAnsi="Arial" w:cs="Arial"/>
          <w:b/>
          <w:color w:val="6E6E6E"/>
          <w:sz w:val="20"/>
          <w:szCs w:val="20"/>
        </w:rPr>
        <w:t>Contrat de prestation de services</w:t>
      </w:r>
    </w:p>
    <w:p w14:paraId="679C4F4D" w14:textId="77777777" w:rsidR="007B6F61" w:rsidRPr="0067016D" w:rsidRDefault="007B6F61" w:rsidP="007B6F61">
      <w:pPr>
        <w:pStyle w:val="Paragraphedeliste"/>
        <w:spacing w:line="240" w:lineRule="auto"/>
        <w:jc w:val="both"/>
        <w:outlineLvl w:val="1"/>
        <w:rPr>
          <w:rFonts w:ascii="Arial" w:eastAsia="Times New Roman" w:hAnsi="Arial" w:cs="Arial"/>
          <w:sz w:val="20"/>
          <w:szCs w:val="20"/>
        </w:rPr>
      </w:pPr>
    </w:p>
    <w:p w14:paraId="729B37ED" w14:textId="77777777" w:rsidR="007B6F61" w:rsidRPr="00433B7A" w:rsidRDefault="007B6F61" w:rsidP="007B6F61">
      <w:pPr>
        <w:pStyle w:val="Paragraphedeliste"/>
        <w:numPr>
          <w:ilvl w:val="0"/>
          <w:numId w:val="2"/>
        </w:numPr>
        <w:spacing w:line="240" w:lineRule="auto"/>
        <w:jc w:val="both"/>
        <w:rPr>
          <w:rFonts w:ascii="Arial" w:eastAsia="Times New Roman" w:hAnsi="Arial" w:cs="Arial"/>
          <w:b/>
          <w:color w:val="009CA6"/>
          <w:sz w:val="20"/>
          <w:szCs w:val="20"/>
        </w:rPr>
      </w:pPr>
      <w:r w:rsidRPr="00433B7A">
        <w:rPr>
          <w:rFonts w:ascii="Arial" w:eastAsia="Times New Roman" w:hAnsi="Arial" w:cs="Arial"/>
          <w:b/>
          <w:color w:val="009CA6"/>
          <w:sz w:val="20"/>
          <w:szCs w:val="20"/>
        </w:rPr>
        <w:t xml:space="preserve">Expertise et profil </w:t>
      </w:r>
    </w:p>
    <w:p w14:paraId="47BD8212" w14:textId="77777777" w:rsidR="007B6F61" w:rsidRPr="0067016D" w:rsidRDefault="007B6F61" w:rsidP="007B6F61">
      <w:pPr>
        <w:pStyle w:val="Paragraphedeliste"/>
        <w:spacing w:line="240" w:lineRule="auto"/>
        <w:jc w:val="both"/>
        <w:rPr>
          <w:rFonts w:ascii="Arial" w:eastAsia="Times New Roman" w:hAnsi="Arial" w:cs="Arial"/>
          <w:b/>
          <w:sz w:val="20"/>
          <w:szCs w:val="20"/>
        </w:rPr>
      </w:pPr>
    </w:p>
    <w:p w14:paraId="4C33D9DC" w14:textId="77777777" w:rsidR="007B6F61" w:rsidRPr="00433B7A" w:rsidRDefault="007B6F61" w:rsidP="007B6F61">
      <w:pPr>
        <w:pStyle w:val="Paragraphedeliste"/>
        <w:numPr>
          <w:ilvl w:val="0"/>
          <w:numId w:val="10"/>
        </w:numPr>
        <w:spacing w:line="240" w:lineRule="auto"/>
        <w:jc w:val="both"/>
        <w:rPr>
          <w:rFonts w:ascii="Arial" w:eastAsia="Times New Roman" w:hAnsi="Arial" w:cs="Arial"/>
          <w:b/>
          <w:color w:val="6E6E6E"/>
          <w:sz w:val="20"/>
          <w:szCs w:val="20"/>
        </w:rPr>
      </w:pPr>
      <w:r w:rsidRPr="00433B7A">
        <w:rPr>
          <w:rFonts w:ascii="Arial" w:eastAsia="Times New Roman" w:hAnsi="Arial" w:cs="Arial"/>
          <w:b/>
          <w:color w:val="6E6E6E"/>
          <w:sz w:val="20"/>
          <w:szCs w:val="20"/>
        </w:rPr>
        <w:t>Nombre de prestataire par mission </w:t>
      </w:r>
    </w:p>
    <w:p w14:paraId="7C39A748" w14:textId="3FCBD922" w:rsidR="007B6F61" w:rsidRPr="0046159A" w:rsidRDefault="007B6F61" w:rsidP="007B6F61">
      <w:pPr>
        <w:spacing w:line="240" w:lineRule="auto"/>
        <w:jc w:val="both"/>
        <w:rPr>
          <w:rFonts w:ascii="Arial" w:eastAsia="Times New Roman" w:hAnsi="Arial" w:cs="Arial"/>
          <w:sz w:val="20"/>
          <w:szCs w:val="20"/>
          <w:u w:val="single"/>
        </w:rPr>
      </w:pPr>
      <w:r w:rsidRPr="0067016D">
        <w:rPr>
          <w:rFonts w:ascii="Arial" w:eastAsia="Times New Roman" w:hAnsi="Arial" w:cs="Arial"/>
          <w:sz w:val="20"/>
          <w:szCs w:val="20"/>
        </w:rPr>
        <w:t xml:space="preserve">Un </w:t>
      </w:r>
      <w:r w:rsidR="0046159A">
        <w:rPr>
          <w:rFonts w:ascii="Arial" w:eastAsia="Times New Roman" w:hAnsi="Arial" w:cs="Arial"/>
          <w:sz w:val="20"/>
          <w:szCs w:val="20"/>
          <w:u w:val="single"/>
        </w:rPr>
        <w:t xml:space="preserve">effectif de </w:t>
      </w:r>
      <w:r w:rsidR="00750432">
        <w:rPr>
          <w:rFonts w:ascii="Arial" w:eastAsia="Times New Roman" w:hAnsi="Arial" w:cs="Arial"/>
          <w:sz w:val="20"/>
          <w:szCs w:val="20"/>
          <w:u w:val="single"/>
        </w:rPr>
        <w:t xml:space="preserve">deux </w:t>
      </w:r>
      <w:r w:rsidRPr="006630F9">
        <w:rPr>
          <w:rFonts w:ascii="Arial" w:eastAsia="Times New Roman" w:hAnsi="Arial" w:cs="Arial"/>
          <w:sz w:val="20"/>
          <w:szCs w:val="20"/>
          <w:u w:val="single"/>
        </w:rPr>
        <w:t xml:space="preserve">personnes chargées de la réalisation de la mission est </w:t>
      </w:r>
      <w:r w:rsidR="00085A38">
        <w:rPr>
          <w:rFonts w:ascii="Arial" w:eastAsia="Times New Roman" w:hAnsi="Arial" w:cs="Arial"/>
          <w:sz w:val="20"/>
          <w:szCs w:val="20"/>
          <w:u w:val="single"/>
        </w:rPr>
        <w:t>préférable</w:t>
      </w:r>
      <w:r w:rsidR="00085A38">
        <w:rPr>
          <w:rFonts w:ascii="Arial" w:eastAsia="Times New Roman" w:hAnsi="Arial" w:cs="Arial"/>
          <w:sz w:val="20"/>
          <w:szCs w:val="20"/>
        </w:rPr>
        <w:t xml:space="preserve">. </w:t>
      </w:r>
      <w:r w:rsidRPr="0067016D">
        <w:rPr>
          <w:rFonts w:ascii="Arial" w:eastAsia="Times New Roman" w:hAnsi="Arial" w:cs="Arial"/>
          <w:sz w:val="20"/>
          <w:szCs w:val="20"/>
        </w:rPr>
        <w:t>La mission pourra être réalisée par des</w:t>
      </w:r>
      <w:r w:rsidR="008B0277">
        <w:rPr>
          <w:rFonts w:ascii="Arial" w:eastAsia="Times New Roman" w:hAnsi="Arial" w:cs="Arial"/>
          <w:sz w:val="20"/>
          <w:szCs w:val="20"/>
        </w:rPr>
        <w:t xml:space="preserve"> experts indépendants associés</w:t>
      </w:r>
      <w:r>
        <w:rPr>
          <w:rFonts w:ascii="Arial" w:eastAsia="Times New Roman" w:hAnsi="Arial" w:cs="Arial"/>
          <w:sz w:val="20"/>
          <w:szCs w:val="20"/>
        </w:rPr>
        <w:t xml:space="preserve">, un cabinet de conseil </w:t>
      </w:r>
      <w:r w:rsidRPr="0067016D">
        <w:rPr>
          <w:rFonts w:ascii="Arial" w:eastAsia="Times New Roman" w:hAnsi="Arial" w:cs="Arial"/>
          <w:sz w:val="20"/>
          <w:szCs w:val="20"/>
        </w:rPr>
        <w:t>ou autres structures</w:t>
      </w:r>
      <w:r>
        <w:rPr>
          <w:rFonts w:ascii="Arial" w:eastAsia="Times New Roman" w:hAnsi="Arial" w:cs="Arial"/>
          <w:sz w:val="20"/>
          <w:szCs w:val="20"/>
        </w:rPr>
        <w:t xml:space="preserve">. </w:t>
      </w:r>
    </w:p>
    <w:p w14:paraId="4EB94ACC" w14:textId="33131CBE" w:rsidR="007563C4" w:rsidRDefault="00131F81" w:rsidP="007B6F61">
      <w:pPr>
        <w:spacing w:line="240" w:lineRule="auto"/>
        <w:jc w:val="both"/>
        <w:rPr>
          <w:rFonts w:ascii="Arial" w:eastAsia="Times New Roman" w:hAnsi="Arial" w:cs="Arial"/>
          <w:sz w:val="20"/>
          <w:szCs w:val="20"/>
        </w:rPr>
      </w:pPr>
      <w:r w:rsidRPr="0086274E">
        <w:rPr>
          <w:rFonts w:ascii="Arial" w:eastAsia="Times New Roman" w:hAnsi="Arial" w:cs="Arial"/>
          <w:sz w:val="20"/>
          <w:szCs w:val="20"/>
          <w:u w:val="single"/>
          <w:lang w:val="fr"/>
        </w:rPr>
        <w:t xml:space="preserve">Un </w:t>
      </w:r>
      <w:r w:rsidR="00085A38">
        <w:rPr>
          <w:rFonts w:ascii="Arial" w:eastAsia="Times New Roman" w:hAnsi="Arial" w:cs="Arial"/>
          <w:sz w:val="20"/>
          <w:szCs w:val="20"/>
          <w:u w:val="single"/>
          <w:lang w:val="fr"/>
        </w:rPr>
        <w:t>binôme</w:t>
      </w:r>
      <w:r w:rsidRPr="0086274E">
        <w:rPr>
          <w:rFonts w:ascii="Arial" w:eastAsia="Times New Roman" w:hAnsi="Arial" w:cs="Arial"/>
          <w:sz w:val="20"/>
          <w:szCs w:val="20"/>
          <w:u w:val="single"/>
          <w:lang w:val="fr"/>
        </w:rPr>
        <w:t xml:space="preserve"> d’expert.</w:t>
      </w:r>
      <w:r w:rsidR="005E30AE">
        <w:rPr>
          <w:rFonts w:ascii="Arial" w:eastAsia="Times New Roman" w:hAnsi="Arial" w:cs="Arial"/>
          <w:sz w:val="20"/>
          <w:szCs w:val="20"/>
          <w:u w:val="single"/>
          <w:lang w:val="fr"/>
        </w:rPr>
        <w:t xml:space="preserve">es, composé </w:t>
      </w:r>
      <w:proofErr w:type="gramStart"/>
      <w:r w:rsidR="005E30AE">
        <w:rPr>
          <w:rFonts w:ascii="Arial" w:eastAsia="Times New Roman" w:hAnsi="Arial" w:cs="Arial"/>
          <w:sz w:val="20"/>
          <w:szCs w:val="20"/>
          <w:u w:val="single"/>
          <w:lang w:val="fr"/>
        </w:rPr>
        <w:t>d’</w:t>
      </w:r>
      <w:proofErr w:type="spellStart"/>
      <w:r w:rsidR="005E30AE">
        <w:rPr>
          <w:rFonts w:ascii="Arial" w:eastAsia="Times New Roman" w:hAnsi="Arial" w:cs="Arial"/>
          <w:sz w:val="20"/>
          <w:szCs w:val="20"/>
          <w:u w:val="single"/>
          <w:lang w:val="fr"/>
        </w:rPr>
        <w:t>un.e</w:t>
      </w:r>
      <w:proofErr w:type="spellEnd"/>
      <w:proofErr w:type="gramEnd"/>
      <w:r w:rsidR="005E30AE">
        <w:rPr>
          <w:rFonts w:ascii="Arial" w:eastAsia="Times New Roman" w:hAnsi="Arial" w:cs="Arial"/>
          <w:sz w:val="20"/>
          <w:szCs w:val="20"/>
          <w:u w:val="single"/>
          <w:lang w:val="fr"/>
        </w:rPr>
        <w:t xml:space="preserve"> </w:t>
      </w:r>
      <w:proofErr w:type="spellStart"/>
      <w:r w:rsidR="005E30AE">
        <w:rPr>
          <w:rFonts w:ascii="Arial" w:eastAsia="Times New Roman" w:hAnsi="Arial" w:cs="Arial"/>
          <w:sz w:val="20"/>
          <w:szCs w:val="20"/>
          <w:u w:val="single"/>
          <w:lang w:val="fr"/>
        </w:rPr>
        <w:t>expert.e</w:t>
      </w:r>
      <w:proofErr w:type="spellEnd"/>
      <w:r w:rsidR="005E30AE">
        <w:rPr>
          <w:rFonts w:ascii="Arial" w:eastAsia="Times New Roman" w:hAnsi="Arial" w:cs="Arial"/>
          <w:sz w:val="20"/>
          <w:szCs w:val="20"/>
          <w:u w:val="single"/>
          <w:lang w:val="fr"/>
        </w:rPr>
        <w:t xml:space="preserve"> </w:t>
      </w:r>
      <w:proofErr w:type="spellStart"/>
      <w:r w:rsidR="005E30AE">
        <w:rPr>
          <w:rFonts w:ascii="Arial" w:eastAsia="Times New Roman" w:hAnsi="Arial" w:cs="Arial"/>
          <w:sz w:val="20"/>
          <w:szCs w:val="20"/>
          <w:u w:val="single"/>
          <w:lang w:val="fr"/>
        </w:rPr>
        <w:t>international.e</w:t>
      </w:r>
      <w:proofErr w:type="spellEnd"/>
      <w:r w:rsidR="005E30AE">
        <w:rPr>
          <w:rFonts w:ascii="Arial" w:eastAsia="Times New Roman" w:hAnsi="Arial" w:cs="Arial"/>
          <w:sz w:val="20"/>
          <w:szCs w:val="20"/>
          <w:u w:val="single"/>
          <w:lang w:val="fr"/>
        </w:rPr>
        <w:t xml:space="preserve"> et d’</w:t>
      </w:r>
      <w:proofErr w:type="spellStart"/>
      <w:r w:rsidR="005E30AE">
        <w:rPr>
          <w:rFonts w:ascii="Arial" w:eastAsia="Times New Roman" w:hAnsi="Arial" w:cs="Arial"/>
          <w:sz w:val="20"/>
          <w:szCs w:val="20"/>
          <w:u w:val="single"/>
          <w:lang w:val="fr"/>
        </w:rPr>
        <w:t>un.e</w:t>
      </w:r>
      <w:proofErr w:type="spellEnd"/>
      <w:r w:rsidR="005E30AE">
        <w:rPr>
          <w:rFonts w:ascii="Arial" w:eastAsia="Times New Roman" w:hAnsi="Arial" w:cs="Arial"/>
          <w:sz w:val="20"/>
          <w:szCs w:val="20"/>
          <w:u w:val="single"/>
          <w:lang w:val="fr"/>
        </w:rPr>
        <w:t xml:space="preserve"> </w:t>
      </w:r>
      <w:proofErr w:type="spellStart"/>
      <w:r w:rsidR="005E30AE">
        <w:rPr>
          <w:rFonts w:ascii="Arial" w:eastAsia="Times New Roman" w:hAnsi="Arial" w:cs="Arial"/>
          <w:sz w:val="20"/>
          <w:szCs w:val="20"/>
          <w:u w:val="single"/>
          <w:lang w:val="fr"/>
        </w:rPr>
        <w:t>expert.e</w:t>
      </w:r>
      <w:proofErr w:type="spellEnd"/>
      <w:r w:rsidR="005E30AE">
        <w:rPr>
          <w:rFonts w:ascii="Arial" w:eastAsia="Times New Roman" w:hAnsi="Arial" w:cs="Arial"/>
          <w:sz w:val="20"/>
          <w:szCs w:val="20"/>
          <w:u w:val="single"/>
          <w:lang w:val="fr"/>
        </w:rPr>
        <w:t xml:space="preserve"> </w:t>
      </w:r>
      <w:proofErr w:type="spellStart"/>
      <w:r w:rsidR="005E30AE">
        <w:rPr>
          <w:rFonts w:ascii="Arial" w:eastAsia="Times New Roman" w:hAnsi="Arial" w:cs="Arial"/>
          <w:sz w:val="20"/>
          <w:szCs w:val="20"/>
          <w:u w:val="single"/>
          <w:lang w:val="fr"/>
        </w:rPr>
        <w:t>local.e</w:t>
      </w:r>
      <w:proofErr w:type="spellEnd"/>
      <w:r w:rsidR="005E30AE">
        <w:rPr>
          <w:rFonts w:ascii="Arial" w:eastAsia="Times New Roman" w:hAnsi="Arial" w:cs="Arial"/>
          <w:sz w:val="20"/>
          <w:szCs w:val="20"/>
          <w:u w:val="single"/>
          <w:lang w:val="fr"/>
        </w:rPr>
        <w:t xml:space="preserve"> sera privilégié.</w:t>
      </w:r>
      <w:r w:rsidR="0046159A">
        <w:rPr>
          <w:rFonts w:ascii="Arial" w:eastAsia="Times New Roman" w:hAnsi="Arial" w:cs="Arial"/>
          <w:sz w:val="20"/>
          <w:szCs w:val="20"/>
        </w:rPr>
        <w:t xml:space="preserve"> </w:t>
      </w:r>
      <w:r w:rsidR="00DE5686">
        <w:rPr>
          <w:rFonts w:ascii="Arial" w:eastAsia="Times New Roman" w:hAnsi="Arial" w:cs="Arial"/>
          <w:sz w:val="20"/>
          <w:szCs w:val="20"/>
        </w:rPr>
        <w:t xml:space="preserve">Il est en effet souhaitable que </w:t>
      </w:r>
      <w:proofErr w:type="gramStart"/>
      <w:r w:rsidR="00DE5686">
        <w:rPr>
          <w:rFonts w:ascii="Arial" w:eastAsia="Times New Roman" w:hAnsi="Arial" w:cs="Arial"/>
          <w:sz w:val="20"/>
          <w:szCs w:val="20"/>
        </w:rPr>
        <w:t>l’</w:t>
      </w:r>
      <w:proofErr w:type="spellStart"/>
      <w:r w:rsidR="00DE5686">
        <w:rPr>
          <w:rFonts w:ascii="Arial" w:eastAsia="Times New Roman" w:hAnsi="Arial" w:cs="Arial"/>
          <w:sz w:val="20"/>
          <w:szCs w:val="20"/>
        </w:rPr>
        <w:t>expert.e</w:t>
      </w:r>
      <w:proofErr w:type="spellEnd"/>
      <w:proofErr w:type="gramEnd"/>
      <w:r w:rsidR="00DE5686">
        <w:rPr>
          <w:rFonts w:ascii="Arial" w:eastAsia="Times New Roman" w:hAnsi="Arial" w:cs="Arial"/>
          <w:sz w:val="20"/>
          <w:szCs w:val="20"/>
        </w:rPr>
        <w:t xml:space="preserve"> </w:t>
      </w:r>
      <w:proofErr w:type="spellStart"/>
      <w:r w:rsidR="00DE5686">
        <w:rPr>
          <w:rFonts w:ascii="Arial" w:eastAsia="Times New Roman" w:hAnsi="Arial" w:cs="Arial"/>
          <w:sz w:val="20"/>
          <w:szCs w:val="20"/>
        </w:rPr>
        <w:t>international.e</w:t>
      </w:r>
      <w:proofErr w:type="spellEnd"/>
      <w:r w:rsidR="00DE5686">
        <w:rPr>
          <w:rFonts w:ascii="Arial" w:eastAsia="Times New Roman" w:hAnsi="Arial" w:cs="Arial"/>
          <w:sz w:val="20"/>
          <w:szCs w:val="20"/>
        </w:rPr>
        <w:t xml:space="preserve"> ait une expérience avérée dans la mise en place ou l’étude de taxes carbone sur des marchés comparables, tandis que l’</w:t>
      </w:r>
      <w:proofErr w:type="spellStart"/>
      <w:r w:rsidR="00DE5686">
        <w:rPr>
          <w:rFonts w:ascii="Arial" w:eastAsia="Times New Roman" w:hAnsi="Arial" w:cs="Arial"/>
          <w:sz w:val="20"/>
          <w:szCs w:val="20"/>
        </w:rPr>
        <w:t>expert.e</w:t>
      </w:r>
      <w:proofErr w:type="spellEnd"/>
      <w:r w:rsidR="00DE5686">
        <w:rPr>
          <w:rFonts w:ascii="Arial" w:eastAsia="Times New Roman" w:hAnsi="Arial" w:cs="Arial"/>
          <w:sz w:val="20"/>
          <w:szCs w:val="20"/>
        </w:rPr>
        <w:t xml:space="preserve"> </w:t>
      </w:r>
      <w:proofErr w:type="spellStart"/>
      <w:r w:rsidR="00DE5686">
        <w:rPr>
          <w:rFonts w:ascii="Arial" w:eastAsia="Times New Roman" w:hAnsi="Arial" w:cs="Arial"/>
          <w:sz w:val="20"/>
          <w:szCs w:val="20"/>
        </w:rPr>
        <w:t>national.e</w:t>
      </w:r>
      <w:proofErr w:type="spellEnd"/>
      <w:r w:rsidR="00DE5686">
        <w:rPr>
          <w:rFonts w:ascii="Arial" w:eastAsia="Times New Roman" w:hAnsi="Arial" w:cs="Arial"/>
          <w:sz w:val="20"/>
          <w:szCs w:val="20"/>
        </w:rPr>
        <w:t xml:space="preserve"> devra maîtriser parfaitement le contexte tunisien. Les responsabilités et tâches spécifiques de chaque </w:t>
      </w:r>
      <w:proofErr w:type="spellStart"/>
      <w:proofErr w:type="gramStart"/>
      <w:r w:rsidR="00DE5686">
        <w:rPr>
          <w:rFonts w:ascii="Arial" w:eastAsia="Times New Roman" w:hAnsi="Arial" w:cs="Arial"/>
          <w:sz w:val="20"/>
          <w:szCs w:val="20"/>
        </w:rPr>
        <w:t>expert.e</w:t>
      </w:r>
      <w:proofErr w:type="spellEnd"/>
      <w:proofErr w:type="gramEnd"/>
      <w:r w:rsidR="00DE5686">
        <w:rPr>
          <w:rFonts w:ascii="Arial" w:eastAsia="Times New Roman" w:hAnsi="Arial" w:cs="Arial"/>
          <w:sz w:val="20"/>
          <w:szCs w:val="20"/>
        </w:rPr>
        <w:t xml:space="preserve"> devront être clairement définies et détaillées. </w:t>
      </w:r>
    </w:p>
    <w:p w14:paraId="25CF5986" w14:textId="34D0388B" w:rsidR="0046159A" w:rsidRDefault="008B0277" w:rsidP="007B6F61">
      <w:pPr>
        <w:spacing w:line="240" w:lineRule="auto"/>
        <w:jc w:val="both"/>
        <w:rPr>
          <w:rFonts w:ascii="Arial" w:eastAsia="Times New Roman" w:hAnsi="Arial" w:cs="Arial"/>
          <w:sz w:val="20"/>
          <w:szCs w:val="20"/>
        </w:rPr>
      </w:pPr>
      <w:r>
        <w:rPr>
          <w:rFonts w:ascii="Arial" w:eastAsia="Times New Roman" w:hAnsi="Arial" w:cs="Arial"/>
          <w:sz w:val="20"/>
          <w:szCs w:val="20"/>
        </w:rPr>
        <w:t>Les expert.es devront disposer d’un fort engagement sur toute la durée de la mission afin d’être pleinement investi.es dans la réalisa</w:t>
      </w:r>
      <w:r w:rsidR="007563C4">
        <w:rPr>
          <w:rFonts w:ascii="Arial" w:eastAsia="Times New Roman" w:hAnsi="Arial" w:cs="Arial"/>
          <w:sz w:val="20"/>
          <w:szCs w:val="20"/>
        </w:rPr>
        <w:t>tion de l’étude</w:t>
      </w:r>
      <w:r w:rsidR="00085A38">
        <w:rPr>
          <w:rFonts w:ascii="Arial" w:eastAsia="Times New Roman" w:hAnsi="Arial" w:cs="Arial"/>
          <w:sz w:val="20"/>
          <w:szCs w:val="20"/>
        </w:rPr>
        <w:t>.</w:t>
      </w:r>
    </w:p>
    <w:p w14:paraId="5C0A365F" w14:textId="77777777" w:rsidR="007B6F61" w:rsidRPr="00433B7A" w:rsidRDefault="007B6F61" w:rsidP="007B6F61">
      <w:pPr>
        <w:pStyle w:val="Paragraphedeliste"/>
        <w:numPr>
          <w:ilvl w:val="0"/>
          <w:numId w:val="10"/>
        </w:numPr>
        <w:spacing w:line="240" w:lineRule="auto"/>
        <w:jc w:val="both"/>
        <w:rPr>
          <w:rFonts w:ascii="Arial" w:eastAsia="Times New Roman" w:hAnsi="Arial" w:cs="Arial"/>
          <w:b/>
          <w:color w:val="6E6E6E"/>
          <w:sz w:val="20"/>
          <w:szCs w:val="20"/>
        </w:rPr>
      </w:pPr>
      <w:r w:rsidRPr="00433B7A">
        <w:rPr>
          <w:rFonts w:ascii="Arial" w:eastAsia="Times New Roman" w:hAnsi="Arial" w:cs="Arial"/>
          <w:b/>
          <w:color w:val="6E6E6E"/>
          <w:sz w:val="20"/>
          <w:szCs w:val="20"/>
        </w:rPr>
        <w:t>Qualifications et compétences </w:t>
      </w:r>
    </w:p>
    <w:p w14:paraId="0ED4B028" w14:textId="77777777" w:rsidR="007B6F61" w:rsidRPr="0067016D" w:rsidRDefault="007B6F61" w:rsidP="007B6F61">
      <w:pPr>
        <w:pStyle w:val="Paragraphedeliste"/>
        <w:spacing w:line="240" w:lineRule="auto"/>
        <w:jc w:val="both"/>
        <w:rPr>
          <w:rFonts w:ascii="Arial" w:eastAsia="Times New Roman" w:hAnsi="Arial" w:cs="Arial"/>
          <w:b/>
          <w:i/>
          <w:sz w:val="20"/>
          <w:szCs w:val="20"/>
        </w:rPr>
      </w:pPr>
    </w:p>
    <w:p w14:paraId="1076B99D" w14:textId="4819D2D3" w:rsidR="007B6F61" w:rsidRDefault="007B6F61" w:rsidP="007B6F61">
      <w:pPr>
        <w:pStyle w:val="Paragraphedeliste"/>
        <w:numPr>
          <w:ilvl w:val="0"/>
          <w:numId w:val="4"/>
        </w:numPr>
        <w:spacing w:line="240" w:lineRule="auto"/>
        <w:jc w:val="both"/>
        <w:rPr>
          <w:rFonts w:ascii="Arial" w:eastAsia="Times New Roman" w:hAnsi="Arial" w:cs="Arial"/>
          <w:sz w:val="20"/>
          <w:szCs w:val="20"/>
        </w:rPr>
      </w:pPr>
      <w:r w:rsidRPr="00773729">
        <w:rPr>
          <w:rFonts w:ascii="Arial" w:eastAsia="Times New Roman" w:hAnsi="Arial" w:cs="Arial"/>
          <w:sz w:val="20"/>
          <w:szCs w:val="20"/>
        </w:rPr>
        <w:t>Titulaire d’un Bac+5 en</w:t>
      </w:r>
      <w:r w:rsidR="00750432">
        <w:rPr>
          <w:rFonts w:ascii="Arial" w:eastAsia="Times New Roman" w:hAnsi="Arial" w:cs="Arial"/>
          <w:sz w:val="20"/>
          <w:szCs w:val="20"/>
        </w:rPr>
        <w:t xml:space="preserve"> </w:t>
      </w:r>
      <w:r w:rsidR="00DE5686">
        <w:rPr>
          <w:rFonts w:ascii="Arial" w:eastAsia="Times New Roman" w:hAnsi="Arial" w:cs="Arial"/>
          <w:sz w:val="20"/>
          <w:szCs w:val="20"/>
        </w:rPr>
        <w:t>fiscalité environnementale, en finance verte, en développement durable, ou dans un domaine pertinent pour réaliser une étude de faisabilité sur la mise en place d’une taxe carbone en Tunisie ;</w:t>
      </w:r>
    </w:p>
    <w:p w14:paraId="21B9BC6D" w14:textId="2697BF0F" w:rsidR="00DE5686" w:rsidRPr="00773729" w:rsidRDefault="00DE5686" w:rsidP="007B6F61">
      <w:pPr>
        <w:pStyle w:val="Paragraphedeliste"/>
        <w:numPr>
          <w:ilvl w:val="0"/>
          <w:numId w:val="4"/>
        </w:numPr>
        <w:spacing w:line="240" w:lineRule="auto"/>
        <w:jc w:val="both"/>
        <w:rPr>
          <w:rFonts w:ascii="Arial" w:eastAsia="Times New Roman" w:hAnsi="Arial" w:cs="Arial"/>
          <w:sz w:val="20"/>
          <w:szCs w:val="20"/>
        </w:rPr>
      </w:pPr>
      <w:r>
        <w:rPr>
          <w:rFonts w:ascii="Arial" w:eastAsia="Times New Roman" w:hAnsi="Arial" w:cs="Arial"/>
          <w:sz w:val="20"/>
          <w:szCs w:val="20"/>
        </w:rPr>
        <w:t>Capacité à réali</w:t>
      </w:r>
      <w:r w:rsidR="007366A4">
        <w:rPr>
          <w:rFonts w:ascii="Arial" w:eastAsia="Times New Roman" w:hAnsi="Arial" w:cs="Arial"/>
          <w:sz w:val="20"/>
          <w:szCs w:val="20"/>
        </w:rPr>
        <w:t>ser un diagnostic pertinent des différentes taxes environnementales en Tunisie</w:t>
      </w:r>
      <w:r w:rsidR="004A4023">
        <w:rPr>
          <w:rFonts w:ascii="Arial" w:eastAsia="Times New Roman" w:hAnsi="Arial" w:cs="Arial"/>
          <w:sz w:val="20"/>
          <w:szCs w:val="20"/>
        </w:rPr>
        <w:t xml:space="preserve"> et un benchmark comparatif des différentes taxes carbones existant dans des pays aux structures commerciales existantes – la présence d’un membre de l’équipe ayant déjà travaillé sur/dans ces pays </w:t>
      </w:r>
      <w:r w:rsidR="00F8376A">
        <w:rPr>
          <w:rFonts w:ascii="Arial" w:eastAsia="Times New Roman" w:hAnsi="Arial" w:cs="Arial"/>
          <w:sz w:val="20"/>
          <w:szCs w:val="20"/>
        </w:rPr>
        <w:t xml:space="preserve">sur ces thématiques </w:t>
      </w:r>
      <w:r w:rsidR="004A4023">
        <w:rPr>
          <w:rFonts w:ascii="Arial" w:eastAsia="Times New Roman" w:hAnsi="Arial" w:cs="Arial"/>
          <w:sz w:val="20"/>
          <w:szCs w:val="20"/>
        </w:rPr>
        <w:t>sera valorisée ;</w:t>
      </w:r>
    </w:p>
    <w:p w14:paraId="35BB6FA9" w14:textId="188726D4" w:rsidR="007B6F61" w:rsidRDefault="007B6F61" w:rsidP="007B6F61">
      <w:pPr>
        <w:pStyle w:val="Paragraphedeliste"/>
        <w:numPr>
          <w:ilvl w:val="0"/>
          <w:numId w:val="4"/>
        </w:numPr>
        <w:spacing w:line="240" w:lineRule="auto"/>
        <w:jc w:val="both"/>
        <w:rPr>
          <w:rFonts w:ascii="Arial" w:eastAsia="Times New Roman" w:hAnsi="Arial" w:cs="Arial"/>
          <w:sz w:val="20"/>
          <w:szCs w:val="20"/>
        </w:rPr>
      </w:pPr>
      <w:r w:rsidRPr="00773729">
        <w:rPr>
          <w:rFonts w:ascii="Arial" w:eastAsia="Times New Roman" w:hAnsi="Arial" w:cs="Arial"/>
          <w:sz w:val="20"/>
          <w:szCs w:val="20"/>
        </w:rPr>
        <w:t>Connaissance approfondie de</w:t>
      </w:r>
      <w:r w:rsidR="005E30AE">
        <w:rPr>
          <w:rFonts w:ascii="Arial" w:eastAsia="Times New Roman" w:hAnsi="Arial" w:cs="Arial"/>
          <w:sz w:val="20"/>
          <w:szCs w:val="20"/>
        </w:rPr>
        <w:t>s mécanismes de la fiscalité environ</w:t>
      </w:r>
      <w:r w:rsidR="007366A4">
        <w:rPr>
          <w:rFonts w:ascii="Arial" w:eastAsia="Times New Roman" w:hAnsi="Arial" w:cs="Arial"/>
          <w:sz w:val="20"/>
          <w:szCs w:val="20"/>
        </w:rPr>
        <w:t>nementale, en particulier des taxes carbone</w:t>
      </w:r>
      <w:r w:rsidR="004A4023">
        <w:rPr>
          <w:rFonts w:ascii="Arial" w:eastAsia="Times New Roman" w:hAnsi="Arial" w:cs="Arial"/>
          <w:sz w:val="20"/>
          <w:szCs w:val="20"/>
        </w:rPr>
        <w:t>s</w:t>
      </w:r>
      <w:r w:rsidR="007366A4">
        <w:rPr>
          <w:rFonts w:ascii="Arial" w:eastAsia="Times New Roman" w:hAnsi="Arial" w:cs="Arial"/>
          <w:sz w:val="20"/>
          <w:szCs w:val="20"/>
        </w:rPr>
        <w:t xml:space="preserve">, ainsi </w:t>
      </w:r>
      <w:r w:rsidR="004A4023">
        <w:rPr>
          <w:rFonts w:ascii="Arial" w:eastAsia="Times New Roman" w:hAnsi="Arial" w:cs="Arial"/>
          <w:sz w:val="20"/>
          <w:szCs w:val="20"/>
        </w:rPr>
        <w:t>que des cadres légaux et réglementaires internationaux et nationales</w:t>
      </w:r>
      <w:r w:rsidR="00750432">
        <w:rPr>
          <w:rFonts w:ascii="Arial" w:eastAsia="Times New Roman" w:hAnsi="Arial" w:cs="Arial"/>
          <w:sz w:val="20"/>
          <w:szCs w:val="20"/>
        </w:rPr>
        <w:t xml:space="preserve"> </w:t>
      </w:r>
      <w:r w:rsidRPr="00773729">
        <w:rPr>
          <w:rFonts w:ascii="Arial" w:eastAsia="Times New Roman" w:hAnsi="Arial" w:cs="Arial"/>
          <w:sz w:val="20"/>
          <w:szCs w:val="20"/>
        </w:rPr>
        <w:t xml:space="preserve">; </w:t>
      </w:r>
    </w:p>
    <w:p w14:paraId="4D985C94" w14:textId="18A18718" w:rsidR="004A4023" w:rsidRPr="00BE6F17" w:rsidRDefault="004A4023" w:rsidP="007B6F61">
      <w:pPr>
        <w:pStyle w:val="Paragraphedeliste"/>
        <w:numPr>
          <w:ilvl w:val="0"/>
          <w:numId w:val="4"/>
        </w:numPr>
        <w:spacing w:line="240" w:lineRule="auto"/>
        <w:jc w:val="both"/>
        <w:rPr>
          <w:rFonts w:ascii="Arial" w:eastAsia="Times New Roman" w:hAnsi="Arial" w:cs="Arial"/>
          <w:sz w:val="20"/>
          <w:szCs w:val="20"/>
        </w:rPr>
      </w:pPr>
      <w:r w:rsidRPr="00F8376A">
        <w:rPr>
          <w:rFonts w:ascii="Arial" w:eastAsia="Times New Roman" w:hAnsi="Arial" w:cs="Arial"/>
          <w:sz w:val="20"/>
          <w:szCs w:val="20"/>
        </w:rPr>
        <w:t>Capacité à</w:t>
      </w:r>
      <w:r w:rsidR="00F8376A" w:rsidRPr="00F8376A">
        <w:rPr>
          <w:rFonts w:ascii="Arial" w:eastAsia="Times New Roman" w:hAnsi="Arial" w:cs="Arial"/>
          <w:sz w:val="20"/>
          <w:szCs w:val="20"/>
        </w:rPr>
        <w:t xml:space="preserve"> </w:t>
      </w:r>
      <w:r w:rsidR="00F8376A" w:rsidRPr="00F8376A">
        <w:rPr>
          <w:rFonts w:ascii="Arial" w:hAnsi="Arial" w:cs="Arial"/>
          <w:sz w:val="20"/>
        </w:rPr>
        <w:t xml:space="preserve">réaliser des analyses juridiques, économiques et institutionnelles complexes, en intégrant des données quantitatives et qualitatives ; </w:t>
      </w:r>
    </w:p>
    <w:p w14:paraId="07C8539A" w14:textId="2992B493" w:rsidR="00BE6F17" w:rsidRPr="00BE6F17" w:rsidRDefault="00BE6F17" w:rsidP="007B6F61">
      <w:pPr>
        <w:pStyle w:val="Paragraphedeliste"/>
        <w:numPr>
          <w:ilvl w:val="0"/>
          <w:numId w:val="4"/>
        </w:numPr>
        <w:spacing w:line="240" w:lineRule="auto"/>
        <w:jc w:val="both"/>
        <w:rPr>
          <w:rFonts w:ascii="Arial" w:eastAsia="Times New Roman" w:hAnsi="Arial" w:cs="Arial"/>
          <w:sz w:val="20"/>
          <w:szCs w:val="20"/>
        </w:rPr>
      </w:pPr>
      <w:r w:rsidRPr="00BE6F17">
        <w:rPr>
          <w:rFonts w:ascii="Arial" w:hAnsi="Arial" w:cs="Arial"/>
          <w:sz w:val="20"/>
          <w:szCs w:val="20"/>
        </w:rPr>
        <w:t>Aptitude à rédiger des rapports techniques clairs et synthétiques, et à présenter des recommandations stratégiques adaptées aux décideurs ;</w:t>
      </w:r>
    </w:p>
    <w:p w14:paraId="7C264144" w14:textId="75F7DFD3" w:rsidR="00BE6F17" w:rsidRPr="00BE6F17" w:rsidRDefault="00BE6F17" w:rsidP="00BE6F17">
      <w:pPr>
        <w:pStyle w:val="Paragraphedeliste"/>
        <w:numPr>
          <w:ilvl w:val="0"/>
          <w:numId w:val="4"/>
        </w:numPr>
        <w:spacing w:line="240" w:lineRule="auto"/>
        <w:jc w:val="both"/>
        <w:rPr>
          <w:rFonts w:ascii="Arial" w:eastAsia="Times New Roman" w:hAnsi="Arial" w:cs="Arial"/>
          <w:sz w:val="20"/>
          <w:szCs w:val="20"/>
        </w:rPr>
      </w:pPr>
      <w:r w:rsidRPr="00BE6F17">
        <w:rPr>
          <w:rFonts w:ascii="Arial" w:hAnsi="Arial" w:cs="Arial"/>
          <w:sz w:val="20"/>
          <w:szCs w:val="20"/>
        </w:rPr>
        <w:t xml:space="preserve">Expérience confirmée dans la conduite d’études de faisabilité, d’évaluations d’impact ou d’analyses politiques similaires, de préférence en contexte tunisien ou dans des pays en développement ; </w:t>
      </w:r>
    </w:p>
    <w:p w14:paraId="2A9FEFEC" w14:textId="1821A688" w:rsidR="004A4023" w:rsidRPr="00773729" w:rsidRDefault="004A4023" w:rsidP="007B6F61">
      <w:pPr>
        <w:pStyle w:val="Paragraphedeliste"/>
        <w:numPr>
          <w:ilvl w:val="0"/>
          <w:numId w:val="4"/>
        </w:numPr>
        <w:spacing w:line="240" w:lineRule="auto"/>
        <w:jc w:val="both"/>
        <w:rPr>
          <w:rFonts w:ascii="Arial" w:eastAsia="Times New Roman" w:hAnsi="Arial" w:cs="Arial"/>
          <w:sz w:val="20"/>
          <w:szCs w:val="20"/>
        </w:rPr>
      </w:pPr>
      <w:r w:rsidRPr="00BE6F17">
        <w:rPr>
          <w:rFonts w:ascii="Arial" w:eastAsia="Times New Roman" w:hAnsi="Arial" w:cs="Arial"/>
          <w:sz w:val="20"/>
          <w:szCs w:val="20"/>
        </w:rPr>
        <w:t xml:space="preserve">Connaissance </w:t>
      </w:r>
      <w:r w:rsidR="005A1E17">
        <w:rPr>
          <w:rFonts w:ascii="Arial" w:eastAsia="Times New Roman" w:hAnsi="Arial" w:cs="Arial"/>
          <w:sz w:val="20"/>
          <w:szCs w:val="20"/>
        </w:rPr>
        <w:t>des cadres légaux et réglementaires nationaux et internationaux pertinents, notamment en lien avec les engagements climatiques et le MACF (</w:t>
      </w:r>
      <w:r>
        <w:rPr>
          <w:rFonts w:ascii="Arial" w:eastAsia="Times New Roman" w:hAnsi="Arial" w:cs="Arial"/>
          <w:sz w:val="20"/>
          <w:szCs w:val="20"/>
        </w:rPr>
        <w:t xml:space="preserve">Mécanisme d’Ajustement Carbone aux Frontières) de l’UE afin de pouvoir adapter la taxe carbone à ce dernier ; </w:t>
      </w:r>
    </w:p>
    <w:p w14:paraId="06B10869" w14:textId="46910D78" w:rsidR="007366A4" w:rsidRDefault="007366A4" w:rsidP="007366A4">
      <w:pPr>
        <w:pStyle w:val="Paragraphedeliste"/>
        <w:numPr>
          <w:ilvl w:val="0"/>
          <w:numId w:val="4"/>
        </w:numPr>
        <w:spacing w:line="240" w:lineRule="auto"/>
        <w:jc w:val="both"/>
        <w:rPr>
          <w:rFonts w:ascii="Arial" w:eastAsia="Times New Roman" w:hAnsi="Arial" w:cs="Arial"/>
          <w:sz w:val="20"/>
          <w:szCs w:val="20"/>
        </w:rPr>
      </w:pPr>
      <w:r>
        <w:rPr>
          <w:rFonts w:ascii="Arial" w:eastAsia="Times New Roman" w:hAnsi="Arial" w:cs="Arial"/>
          <w:sz w:val="20"/>
          <w:szCs w:val="20"/>
        </w:rPr>
        <w:lastRenderedPageBreak/>
        <w:t>Grande capacité à travailler en équipe, excellent relationnel dans un contexte multiculturel, flexibilité, sens de l’organisation et réactivité ;</w:t>
      </w:r>
    </w:p>
    <w:p w14:paraId="45BE8DD5" w14:textId="4A841962" w:rsidR="007366A4" w:rsidRPr="007366A4" w:rsidRDefault="007366A4" w:rsidP="007366A4">
      <w:pPr>
        <w:pStyle w:val="Paragraphedeliste"/>
        <w:numPr>
          <w:ilvl w:val="0"/>
          <w:numId w:val="4"/>
        </w:numPr>
        <w:spacing w:line="240" w:lineRule="auto"/>
        <w:jc w:val="both"/>
        <w:rPr>
          <w:rFonts w:ascii="Arial" w:eastAsia="Times New Roman" w:hAnsi="Arial" w:cs="Arial"/>
          <w:sz w:val="20"/>
          <w:szCs w:val="20"/>
        </w:rPr>
      </w:pPr>
      <w:r>
        <w:rPr>
          <w:rFonts w:ascii="Arial" w:eastAsia="Times New Roman" w:hAnsi="Arial" w:cs="Arial"/>
          <w:sz w:val="20"/>
          <w:szCs w:val="20"/>
        </w:rPr>
        <w:t xml:space="preserve">Parfaite maîtrise du français et de l’arabe, tant à l’écrit qu’à l’oral. La présence d’au moins un membre du duo parlant le dialecte tunisien sera </w:t>
      </w:r>
      <w:proofErr w:type="gramStart"/>
      <w:r>
        <w:rPr>
          <w:rFonts w:ascii="Arial" w:eastAsia="Times New Roman" w:hAnsi="Arial" w:cs="Arial"/>
          <w:sz w:val="20"/>
          <w:szCs w:val="20"/>
        </w:rPr>
        <w:t>valorisée</w:t>
      </w:r>
      <w:proofErr w:type="gramEnd"/>
      <w:r>
        <w:rPr>
          <w:rFonts w:ascii="Arial" w:eastAsia="Times New Roman" w:hAnsi="Arial" w:cs="Arial"/>
          <w:sz w:val="20"/>
          <w:szCs w:val="20"/>
        </w:rPr>
        <w:t xml:space="preserve"> ; </w:t>
      </w:r>
    </w:p>
    <w:p w14:paraId="440327C7" w14:textId="082F35D8" w:rsidR="00DE5686" w:rsidRDefault="007366A4" w:rsidP="007B6F61">
      <w:pPr>
        <w:pStyle w:val="Paragraphedeliste"/>
        <w:numPr>
          <w:ilvl w:val="0"/>
          <w:numId w:val="4"/>
        </w:numPr>
        <w:spacing w:line="240" w:lineRule="auto"/>
        <w:jc w:val="both"/>
        <w:rPr>
          <w:rFonts w:ascii="Arial" w:eastAsia="Times New Roman" w:hAnsi="Arial" w:cs="Arial"/>
          <w:sz w:val="20"/>
          <w:szCs w:val="20"/>
        </w:rPr>
      </w:pPr>
      <w:r>
        <w:rPr>
          <w:rFonts w:ascii="Arial" w:eastAsia="Times New Roman" w:hAnsi="Arial" w:cs="Arial"/>
          <w:sz w:val="20"/>
          <w:szCs w:val="20"/>
        </w:rPr>
        <w:t xml:space="preserve">Connaissance avérée des questions sociales et liées à l’égalité entre les sexes (expertise genre) et capacité à les mobiliser dans le cadre de la présente mission. </w:t>
      </w:r>
    </w:p>
    <w:p w14:paraId="2BDBF169" w14:textId="77777777" w:rsidR="00DE5686" w:rsidRPr="00DE5686" w:rsidRDefault="00DE5686" w:rsidP="00DE5686">
      <w:pPr>
        <w:spacing w:line="240" w:lineRule="auto"/>
        <w:rPr>
          <w:rFonts w:ascii="Arial" w:eastAsia="Times New Roman" w:hAnsi="Arial" w:cs="Arial"/>
          <w:sz w:val="20"/>
          <w:szCs w:val="20"/>
        </w:rPr>
      </w:pPr>
    </w:p>
    <w:p w14:paraId="12D34FF4" w14:textId="77777777" w:rsidR="007B6F61" w:rsidRPr="00433B7A" w:rsidRDefault="007B6F61" w:rsidP="007B6F61">
      <w:pPr>
        <w:pStyle w:val="Paragraphedeliste"/>
        <w:numPr>
          <w:ilvl w:val="0"/>
          <w:numId w:val="3"/>
        </w:numPr>
        <w:spacing w:line="240" w:lineRule="auto"/>
        <w:jc w:val="both"/>
        <w:rPr>
          <w:rFonts w:ascii="Arial" w:eastAsia="Times New Roman" w:hAnsi="Arial" w:cs="Arial"/>
          <w:b/>
          <w:color w:val="6E6E6E"/>
          <w:sz w:val="20"/>
          <w:szCs w:val="20"/>
        </w:rPr>
      </w:pPr>
      <w:r w:rsidRPr="00433B7A">
        <w:rPr>
          <w:rFonts w:ascii="Arial" w:eastAsia="Times New Roman" w:hAnsi="Arial" w:cs="Arial"/>
          <w:b/>
          <w:color w:val="6E6E6E"/>
          <w:sz w:val="20"/>
          <w:szCs w:val="20"/>
        </w:rPr>
        <w:t>Expérience professionnelle </w:t>
      </w:r>
    </w:p>
    <w:p w14:paraId="4FAF0F2B" w14:textId="77777777" w:rsidR="007B6F61" w:rsidRPr="00C424BD" w:rsidRDefault="007B6F61" w:rsidP="007B6F61">
      <w:pPr>
        <w:pStyle w:val="Paragraphedeliste"/>
        <w:spacing w:line="240" w:lineRule="auto"/>
        <w:jc w:val="both"/>
        <w:rPr>
          <w:rFonts w:ascii="Arial" w:eastAsia="Times New Roman" w:hAnsi="Arial" w:cs="Arial"/>
          <w:b/>
          <w:i/>
          <w:sz w:val="20"/>
          <w:szCs w:val="20"/>
        </w:rPr>
      </w:pPr>
    </w:p>
    <w:p w14:paraId="4E528055" w14:textId="0EED8716" w:rsidR="007B6F61" w:rsidRDefault="007B6F61" w:rsidP="00667151">
      <w:pPr>
        <w:pStyle w:val="Paragraphedeliste"/>
        <w:numPr>
          <w:ilvl w:val="0"/>
          <w:numId w:val="5"/>
        </w:numPr>
        <w:spacing w:line="240" w:lineRule="auto"/>
        <w:jc w:val="both"/>
        <w:rPr>
          <w:rFonts w:ascii="Arial" w:eastAsia="Times New Roman" w:hAnsi="Arial" w:cs="Arial"/>
          <w:sz w:val="20"/>
          <w:szCs w:val="20"/>
        </w:rPr>
      </w:pPr>
      <w:r w:rsidRPr="00C424BD">
        <w:rPr>
          <w:rFonts w:ascii="Arial" w:eastAsia="Times New Roman" w:hAnsi="Arial" w:cs="Arial"/>
          <w:sz w:val="20"/>
          <w:szCs w:val="20"/>
        </w:rPr>
        <w:t>Des expériences avérées</w:t>
      </w:r>
      <w:r w:rsidR="007563C4">
        <w:rPr>
          <w:rFonts w:ascii="Arial" w:eastAsia="Times New Roman" w:hAnsi="Arial" w:cs="Arial"/>
          <w:sz w:val="20"/>
          <w:szCs w:val="20"/>
        </w:rPr>
        <w:t xml:space="preserve"> dans la conception, mise en œuvre ou évaluation de politiques fiscales environnementales, notamment liée à la taxe carbone</w:t>
      </w:r>
      <w:r w:rsidR="00703D6C">
        <w:rPr>
          <w:rFonts w:ascii="Arial" w:eastAsia="Times New Roman" w:hAnsi="Arial" w:cs="Arial"/>
          <w:sz w:val="20"/>
          <w:szCs w:val="20"/>
        </w:rPr>
        <w:t xml:space="preserve"> ; </w:t>
      </w:r>
    </w:p>
    <w:p w14:paraId="422EB3FB" w14:textId="3781E46A" w:rsidR="00703D6C" w:rsidRPr="00667151" w:rsidRDefault="00703D6C" w:rsidP="00667151">
      <w:pPr>
        <w:pStyle w:val="Paragraphedeliste"/>
        <w:numPr>
          <w:ilvl w:val="0"/>
          <w:numId w:val="5"/>
        </w:numPr>
        <w:spacing w:line="240" w:lineRule="auto"/>
        <w:jc w:val="both"/>
        <w:rPr>
          <w:rFonts w:ascii="Arial" w:eastAsia="Times New Roman" w:hAnsi="Arial" w:cs="Arial"/>
          <w:sz w:val="20"/>
          <w:szCs w:val="20"/>
        </w:rPr>
      </w:pPr>
      <w:r>
        <w:rPr>
          <w:rFonts w:ascii="Arial" w:eastAsia="Times New Roman" w:hAnsi="Arial" w:cs="Arial"/>
          <w:sz w:val="20"/>
          <w:szCs w:val="20"/>
        </w:rPr>
        <w:t xml:space="preserve">Expérience dans l’analyse des risques et de la mesure de l’impact socio-économique de mesures fiscales environnementales ; </w:t>
      </w:r>
    </w:p>
    <w:p w14:paraId="4E121046" w14:textId="4B8500A4" w:rsidR="007B6F61" w:rsidRPr="00C424BD" w:rsidRDefault="007B6F61" w:rsidP="007B6F61">
      <w:pPr>
        <w:pStyle w:val="Paragraphedeliste"/>
        <w:numPr>
          <w:ilvl w:val="0"/>
          <w:numId w:val="5"/>
        </w:numPr>
        <w:spacing w:line="240" w:lineRule="auto"/>
        <w:jc w:val="both"/>
        <w:rPr>
          <w:rFonts w:ascii="Arial" w:eastAsia="Times New Roman" w:hAnsi="Arial" w:cs="Arial"/>
          <w:sz w:val="20"/>
          <w:szCs w:val="20"/>
        </w:rPr>
      </w:pPr>
      <w:r w:rsidRPr="00C424BD">
        <w:rPr>
          <w:rFonts w:ascii="Arial" w:eastAsia="Times New Roman" w:hAnsi="Arial" w:cs="Arial"/>
          <w:sz w:val="20"/>
          <w:szCs w:val="20"/>
        </w:rPr>
        <w:t>Historique de</w:t>
      </w:r>
      <w:r w:rsidR="00131F81">
        <w:rPr>
          <w:rFonts w:ascii="Arial" w:eastAsia="Times New Roman" w:hAnsi="Arial" w:cs="Arial"/>
          <w:sz w:val="20"/>
          <w:szCs w:val="20"/>
        </w:rPr>
        <w:t xml:space="preserve"> </w:t>
      </w:r>
      <w:r w:rsidR="007563C4">
        <w:rPr>
          <w:rFonts w:ascii="Arial" w:eastAsia="Times New Roman" w:hAnsi="Arial" w:cs="Arial"/>
          <w:sz w:val="20"/>
          <w:szCs w:val="20"/>
        </w:rPr>
        <w:t xml:space="preserve">travaux de recherche et/ou d’études sur la transition énergétique, les politiques fiscales, ou la fiscalité environnementale au niveau national ou international </w:t>
      </w:r>
      <w:r>
        <w:rPr>
          <w:rFonts w:ascii="Arial" w:eastAsia="Times New Roman" w:hAnsi="Arial" w:cs="Arial"/>
          <w:sz w:val="20"/>
          <w:szCs w:val="20"/>
        </w:rPr>
        <w:t xml:space="preserve">; </w:t>
      </w:r>
    </w:p>
    <w:p w14:paraId="26072DA4" w14:textId="0CBE8D78" w:rsidR="007B6F61" w:rsidRPr="00C424BD" w:rsidRDefault="007B6F61" w:rsidP="007B6F61">
      <w:pPr>
        <w:pStyle w:val="Paragraphedeliste"/>
        <w:numPr>
          <w:ilvl w:val="0"/>
          <w:numId w:val="5"/>
        </w:numPr>
        <w:spacing w:line="240" w:lineRule="auto"/>
        <w:jc w:val="both"/>
        <w:rPr>
          <w:rFonts w:ascii="Arial" w:eastAsia="Times New Roman" w:hAnsi="Arial" w:cs="Arial"/>
          <w:sz w:val="20"/>
          <w:szCs w:val="20"/>
        </w:rPr>
      </w:pPr>
      <w:r w:rsidRPr="00C424BD">
        <w:rPr>
          <w:rFonts w:ascii="Arial" w:eastAsia="Times New Roman" w:hAnsi="Arial" w:cs="Arial"/>
          <w:sz w:val="20"/>
          <w:szCs w:val="20"/>
        </w:rPr>
        <w:t xml:space="preserve">Expérience dans </w:t>
      </w:r>
      <w:r w:rsidR="007563C4">
        <w:rPr>
          <w:rFonts w:ascii="Arial" w:eastAsia="Times New Roman" w:hAnsi="Arial" w:cs="Arial"/>
          <w:sz w:val="20"/>
          <w:szCs w:val="20"/>
        </w:rPr>
        <w:t xml:space="preserve">l’analyse des impacts socio-économique des mesures fiscales et leur acceptabilité sociale ; </w:t>
      </w:r>
    </w:p>
    <w:p w14:paraId="7C6EA8BE" w14:textId="79C5546F" w:rsidR="007B6F61" w:rsidRDefault="007B6F61" w:rsidP="007B6F61">
      <w:pPr>
        <w:pStyle w:val="Paragraphedeliste"/>
        <w:numPr>
          <w:ilvl w:val="0"/>
          <w:numId w:val="5"/>
        </w:numPr>
        <w:spacing w:line="240" w:lineRule="auto"/>
        <w:jc w:val="both"/>
        <w:rPr>
          <w:rFonts w:ascii="Arial" w:eastAsia="Times New Roman" w:hAnsi="Arial" w:cs="Arial"/>
          <w:sz w:val="20"/>
          <w:szCs w:val="20"/>
        </w:rPr>
      </w:pPr>
      <w:r w:rsidRPr="00C424BD">
        <w:rPr>
          <w:rFonts w:ascii="Arial" w:eastAsia="Times New Roman" w:hAnsi="Arial" w:cs="Arial"/>
          <w:sz w:val="20"/>
          <w:szCs w:val="20"/>
        </w:rPr>
        <w:t xml:space="preserve">Antécédents </w:t>
      </w:r>
      <w:r w:rsidR="007563C4">
        <w:rPr>
          <w:rFonts w:ascii="Arial" w:eastAsia="Times New Roman" w:hAnsi="Arial" w:cs="Arial"/>
          <w:sz w:val="20"/>
          <w:szCs w:val="20"/>
        </w:rPr>
        <w:t xml:space="preserve">solides en gestion de projets d’études techniques. </w:t>
      </w:r>
    </w:p>
    <w:p w14:paraId="3C4C7BC2" w14:textId="77777777" w:rsidR="007B6F61" w:rsidRPr="00C424BD" w:rsidRDefault="007B6F61" w:rsidP="007B6F61">
      <w:pPr>
        <w:pStyle w:val="Paragraphedeliste"/>
        <w:spacing w:line="240" w:lineRule="auto"/>
        <w:ind w:left="1080"/>
        <w:jc w:val="both"/>
        <w:rPr>
          <w:rFonts w:ascii="Arial" w:eastAsia="Times New Roman" w:hAnsi="Arial" w:cs="Arial"/>
          <w:sz w:val="20"/>
          <w:szCs w:val="20"/>
        </w:rPr>
      </w:pPr>
    </w:p>
    <w:p w14:paraId="5D348955" w14:textId="77777777" w:rsidR="007B6F61" w:rsidRPr="00433B7A" w:rsidRDefault="007B6F61" w:rsidP="007B6F61">
      <w:pPr>
        <w:pStyle w:val="Paragraphedeliste"/>
        <w:numPr>
          <w:ilvl w:val="0"/>
          <w:numId w:val="2"/>
        </w:numPr>
        <w:spacing w:line="240" w:lineRule="auto"/>
        <w:jc w:val="both"/>
        <w:rPr>
          <w:rFonts w:ascii="Arial" w:eastAsia="Times New Roman" w:hAnsi="Arial" w:cs="Arial"/>
          <w:b/>
          <w:color w:val="009CA6"/>
          <w:sz w:val="20"/>
          <w:szCs w:val="20"/>
        </w:rPr>
      </w:pPr>
      <w:r w:rsidRPr="00433B7A">
        <w:rPr>
          <w:rFonts w:ascii="Arial" w:eastAsia="Times New Roman" w:hAnsi="Arial" w:cs="Arial"/>
          <w:b/>
          <w:color w:val="009CA6"/>
          <w:sz w:val="20"/>
          <w:szCs w:val="20"/>
        </w:rPr>
        <w:t xml:space="preserve">Modalités de sélection </w:t>
      </w:r>
    </w:p>
    <w:p w14:paraId="43856323" w14:textId="77777777" w:rsidR="007B6F61" w:rsidRPr="00433B7A" w:rsidRDefault="007B6F61" w:rsidP="007B6F61">
      <w:pPr>
        <w:pStyle w:val="Paragraphedeliste"/>
        <w:spacing w:line="240" w:lineRule="auto"/>
        <w:jc w:val="both"/>
        <w:rPr>
          <w:rFonts w:ascii="Arial" w:eastAsia="Times New Roman" w:hAnsi="Arial" w:cs="Arial"/>
          <w:b/>
          <w:color w:val="6E6E6E"/>
          <w:sz w:val="20"/>
          <w:szCs w:val="20"/>
        </w:rPr>
      </w:pPr>
    </w:p>
    <w:p w14:paraId="6F3906B6" w14:textId="77777777" w:rsidR="007B6F61" w:rsidRPr="00433B7A" w:rsidRDefault="007B6F61" w:rsidP="007B6F61">
      <w:pPr>
        <w:pStyle w:val="Paragraphedeliste"/>
        <w:numPr>
          <w:ilvl w:val="0"/>
          <w:numId w:val="6"/>
        </w:numPr>
        <w:spacing w:line="240" w:lineRule="auto"/>
        <w:jc w:val="both"/>
        <w:rPr>
          <w:rFonts w:ascii="Arial" w:eastAsia="Times New Roman" w:hAnsi="Arial" w:cs="Arial"/>
          <w:b/>
          <w:color w:val="6E6E6E"/>
          <w:sz w:val="20"/>
          <w:szCs w:val="20"/>
        </w:rPr>
      </w:pPr>
      <w:r w:rsidRPr="00433B7A">
        <w:rPr>
          <w:rFonts w:ascii="Arial" w:eastAsia="Times New Roman" w:hAnsi="Arial" w:cs="Arial"/>
          <w:b/>
          <w:color w:val="6E6E6E"/>
          <w:sz w:val="20"/>
          <w:szCs w:val="20"/>
        </w:rPr>
        <w:t>Les candidatures doivent inclure les éléments suivants </w:t>
      </w:r>
    </w:p>
    <w:p w14:paraId="79C35B84" w14:textId="77777777" w:rsidR="007B6F61" w:rsidRPr="0067016D" w:rsidRDefault="007B6F61" w:rsidP="007B6F61">
      <w:pPr>
        <w:pStyle w:val="Paragraphedeliste"/>
        <w:spacing w:line="240" w:lineRule="auto"/>
        <w:jc w:val="both"/>
        <w:rPr>
          <w:rFonts w:ascii="Arial" w:eastAsia="Times New Roman" w:hAnsi="Arial" w:cs="Arial"/>
          <w:b/>
          <w:sz w:val="20"/>
          <w:szCs w:val="20"/>
        </w:rPr>
      </w:pPr>
    </w:p>
    <w:p w14:paraId="3EE419D7" w14:textId="77777777" w:rsidR="003C62B2" w:rsidRDefault="003C62B2" w:rsidP="007B6F61">
      <w:pPr>
        <w:pStyle w:val="Paragraphedeliste"/>
        <w:numPr>
          <w:ilvl w:val="0"/>
          <w:numId w:val="7"/>
        </w:numPr>
        <w:spacing w:line="240" w:lineRule="auto"/>
        <w:jc w:val="both"/>
        <w:rPr>
          <w:rFonts w:ascii="Arial" w:eastAsia="Times New Roman" w:hAnsi="Arial" w:cs="Arial"/>
          <w:sz w:val="20"/>
          <w:szCs w:val="20"/>
        </w:rPr>
      </w:pPr>
      <w:r>
        <w:rPr>
          <w:rFonts w:ascii="Arial" w:eastAsia="Times New Roman" w:hAnsi="Arial" w:cs="Arial"/>
          <w:sz w:val="20"/>
          <w:szCs w:val="20"/>
        </w:rPr>
        <w:t xml:space="preserve">Justification d’enregistrement au registre national des entreprise (RNE, K-bis ou équivalent) </w:t>
      </w:r>
    </w:p>
    <w:p w14:paraId="3353300D" w14:textId="20DB955A" w:rsidR="003C62B2" w:rsidRDefault="003C62B2" w:rsidP="007B6F61">
      <w:pPr>
        <w:pStyle w:val="Paragraphedeliste"/>
        <w:numPr>
          <w:ilvl w:val="0"/>
          <w:numId w:val="7"/>
        </w:numPr>
        <w:spacing w:line="240" w:lineRule="auto"/>
        <w:jc w:val="both"/>
        <w:rPr>
          <w:rFonts w:ascii="Arial" w:eastAsia="Times New Roman" w:hAnsi="Arial" w:cs="Arial"/>
          <w:sz w:val="20"/>
          <w:szCs w:val="20"/>
        </w:rPr>
      </w:pPr>
      <w:r>
        <w:rPr>
          <w:rFonts w:ascii="Arial" w:eastAsia="Times New Roman" w:hAnsi="Arial" w:cs="Arial"/>
          <w:sz w:val="20"/>
          <w:szCs w:val="20"/>
        </w:rPr>
        <w:t>Patente pour les prestataires Tunisiens (Carte d’identité fiscale)</w:t>
      </w:r>
    </w:p>
    <w:p w14:paraId="569ACA44" w14:textId="498E67DF" w:rsidR="007B6F61" w:rsidRPr="0067016D" w:rsidRDefault="007B6F61" w:rsidP="007B6F61">
      <w:pPr>
        <w:pStyle w:val="Paragraphedeliste"/>
        <w:numPr>
          <w:ilvl w:val="0"/>
          <w:numId w:val="7"/>
        </w:numPr>
        <w:spacing w:line="240" w:lineRule="auto"/>
        <w:jc w:val="both"/>
        <w:rPr>
          <w:rFonts w:ascii="Arial" w:eastAsia="Times New Roman" w:hAnsi="Arial" w:cs="Arial"/>
          <w:sz w:val="20"/>
          <w:szCs w:val="20"/>
        </w:rPr>
      </w:pPr>
      <w:r w:rsidRPr="0067016D">
        <w:rPr>
          <w:rFonts w:ascii="Arial" w:eastAsia="Times New Roman" w:hAnsi="Arial" w:cs="Arial"/>
          <w:sz w:val="20"/>
          <w:szCs w:val="20"/>
        </w:rPr>
        <w:t xml:space="preserve">Les </w:t>
      </w:r>
      <w:r w:rsidRPr="00604F9A">
        <w:rPr>
          <w:rFonts w:ascii="Arial" w:eastAsia="Times New Roman" w:hAnsi="Arial" w:cs="Arial"/>
          <w:b/>
          <w:sz w:val="20"/>
          <w:szCs w:val="20"/>
        </w:rPr>
        <w:t>CV détaillés</w:t>
      </w:r>
      <w:r w:rsidRPr="0067016D">
        <w:rPr>
          <w:rFonts w:ascii="Arial" w:eastAsia="Times New Roman" w:hAnsi="Arial" w:cs="Arial"/>
          <w:sz w:val="20"/>
          <w:szCs w:val="20"/>
        </w:rPr>
        <w:t xml:space="preserve"> de</w:t>
      </w:r>
      <w:r w:rsidR="005E30AE">
        <w:rPr>
          <w:rFonts w:ascii="Arial" w:eastAsia="Times New Roman" w:hAnsi="Arial" w:cs="Arial"/>
          <w:sz w:val="20"/>
          <w:szCs w:val="20"/>
        </w:rPr>
        <w:t>s</w:t>
      </w:r>
      <w:r w:rsidR="00131F81">
        <w:rPr>
          <w:rFonts w:ascii="Arial" w:eastAsia="Times New Roman" w:hAnsi="Arial" w:cs="Arial"/>
          <w:sz w:val="20"/>
          <w:szCs w:val="20"/>
        </w:rPr>
        <w:t xml:space="preserve"> </w:t>
      </w:r>
      <w:r w:rsidR="00131F81" w:rsidRPr="00131F81">
        <w:rPr>
          <w:rFonts w:ascii="Arial" w:eastAsia="Times New Roman" w:hAnsi="Arial" w:cs="Arial"/>
          <w:sz w:val="20"/>
          <w:szCs w:val="20"/>
          <w:u w:val="single"/>
        </w:rPr>
        <w:t>expert.es mobilisé.es</w:t>
      </w:r>
      <w:r w:rsidRPr="0067016D">
        <w:rPr>
          <w:rFonts w:ascii="Arial" w:eastAsia="Times New Roman" w:hAnsi="Arial" w:cs="Arial"/>
          <w:sz w:val="20"/>
          <w:szCs w:val="20"/>
        </w:rPr>
        <w:t xml:space="preserve">, avec une </w:t>
      </w:r>
      <w:r w:rsidRPr="0067016D">
        <w:rPr>
          <w:rFonts w:ascii="Arial" w:eastAsia="Times New Roman" w:hAnsi="Arial" w:cs="Arial"/>
          <w:sz w:val="20"/>
          <w:szCs w:val="20"/>
          <w:u w:val="single"/>
        </w:rPr>
        <w:t>mise en avant claire</w:t>
      </w:r>
      <w:r>
        <w:rPr>
          <w:rFonts w:ascii="Arial" w:eastAsia="Times New Roman" w:hAnsi="Arial" w:cs="Arial"/>
          <w:sz w:val="20"/>
          <w:szCs w:val="20"/>
          <w:u w:val="single"/>
        </w:rPr>
        <w:t xml:space="preserve"> </w:t>
      </w:r>
      <w:r w:rsidRPr="0067016D">
        <w:rPr>
          <w:rFonts w:ascii="Arial" w:eastAsia="Times New Roman" w:hAnsi="Arial" w:cs="Arial"/>
          <w:sz w:val="20"/>
          <w:szCs w:val="20"/>
          <w:u w:val="single"/>
        </w:rPr>
        <w:t xml:space="preserve">des références professionnelles pour des </w:t>
      </w:r>
      <w:r>
        <w:rPr>
          <w:rFonts w:ascii="Arial" w:eastAsia="Times New Roman" w:hAnsi="Arial" w:cs="Arial"/>
          <w:sz w:val="20"/>
          <w:szCs w:val="20"/>
          <w:u w:val="single"/>
        </w:rPr>
        <w:t>expériences</w:t>
      </w:r>
      <w:r w:rsidRPr="0067016D">
        <w:rPr>
          <w:rFonts w:ascii="Arial" w:eastAsia="Times New Roman" w:hAnsi="Arial" w:cs="Arial"/>
          <w:sz w:val="20"/>
          <w:szCs w:val="20"/>
          <w:u w:val="single"/>
        </w:rPr>
        <w:t xml:space="preserve"> similaires</w:t>
      </w:r>
      <w:r w:rsidRPr="0067016D">
        <w:rPr>
          <w:rFonts w:ascii="Arial" w:eastAsia="Times New Roman" w:hAnsi="Arial" w:cs="Arial"/>
          <w:sz w:val="20"/>
          <w:szCs w:val="20"/>
        </w:rPr>
        <w:t> ;</w:t>
      </w:r>
    </w:p>
    <w:p w14:paraId="0B4E8187" w14:textId="37A1F3AB" w:rsidR="00750432" w:rsidRDefault="007B6F61" w:rsidP="00516E07">
      <w:pPr>
        <w:pStyle w:val="Paragraphedeliste"/>
        <w:numPr>
          <w:ilvl w:val="0"/>
          <w:numId w:val="7"/>
        </w:numPr>
        <w:spacing w:line="240" w:lineRule="auto"/>
        <w:jc w:val="both"/>
        <w:rPr>
          <w:rFonts w:ascii="Arial" w:eastAsia="Times New Roman" w:hAnsi="Arial" w:cs="Arial"/>
          <w:sz w:val="20"/>
          <w:szCs w:val="20"/>
        </w:rPr>
      </w:pPr>
      <w:r w:rsidRPr="00750432">
        <w:rPr>
          <w:rFonts w:ascii="Arial" w:eastAsia="Times New Roman" w:hAnsi="Arial" w:cs="Arial"/>
          <w:sz w:val="20"/>
          <w:szCs w:val="20"/>
        </w:rPr>
        <w:t xml:space="preserve">Une </w:t>
      </w:r>
      <w:r w:rsidRPr="00750432">
        <w:rPr>
          <w:rFonts w:ascii="Arial" w:eastAsia="Times New Roman" w:hAnsi="Arial" w:cs="Arial"/>
          <w:b/>
          <w:sz w:val="20"/>
          <w:szCs w:val="20"/>
        </w:rPr>
        <w:t>offre technique</w:t>
      </w:r>
      <w:r w:rsidRPr="00750432">
        <w:rPr>
          <w:rFonts w:ascii="Arial" w:eastAsia="Times New Roman" w:hAnsi="Arial" w:cs="Arial"/>
          <w:sz w:val="20"/>
          <w:szCs w:val="20"/>
        </w:rPr>
        <w:t xml:space="preserve">, incluant (i) </w:t>
      </w:r>
      <w:r w:rsidR="0014509E">
        <w:rPr>
          <w:rFonts w:ascii="Arial" w:eastAsia="Times New Roman" w:hAnsi="Arial" w:cs="Arial"/>
          <w:sz w:val="20"/>
          <w:szCs w:val="20"/>
        </w:rPr>
        <w:t>une analyse du contexte</w:t>
      </w:r>
      <w:r w:rsidR="00131F81">
        <w:rPr>
          <w:rFonts w:ascii="Arial" w:eastAsia="Times New Roman" w:hAnsi="Arial" w:cs="Arial"/>
          <w:sz w:val="20"/>
          <w:szCs w:val="20"/>
        </w:rPr>
        <w:t xml:space="preserve"> et des enjeux de la mission, (ii) une proposition méthodologique claire et détaillée pour la réalisation de l’étude de faisabilité</w:t>
      </w:r>
      <w:r w:rsidR="005E30AE">
        <w:rPr>
          <w:rFonts w:ascii="Arial" w:eastAsia="Times New Roman" w:hAnsi="Arial" w:cs="Arial"/>
          <w:sz w:val="20"/>
          <w:szCs w:val="20"/>
        </w:rPr>
        <w:t xml:space="preserve"> incluant les modalités de diagnostic, de benchmark et d’évaluation des risques et des opportunités liées à la mise en place d’une taxe carbone</w:t>
      </w:r>
      <w:r w:rsidR="00131F81">
        <w:rPr>
          <w:rFonts w:ascii="Arial" w:eastAsia="Times New Roman" w:hAnsi="Arial" w:cs="Arial"/>
          <w:sz w:val="20"/>
          <w:szCs w:val="20"/>
        </w:rPr>
        <w:t xml:space="preserve">, ainsi qu’un (ii) calendrier prévisionnel (15 pages maximum). Les candidat.es proposeront, dans leur offre technique, la répartition du nombre de jours de travail entre eux aux différentes phases, le rôle de chaque </w:t>
      </w:r>
      <w:proofErr w:type="spellStart"/>
      <w:proofErr w:type="gramStart"/>
      <w:r w:rsidR="00131F81">
        <w:rPr>
          <w:rFonts w:ascii="Arial" w:eastAsia="Times New Roman" w:hAnsi="Arial" w:cs="Arial"/>
          <w:sz w:val="20"/>
          <w:szCs w:val="20"/>
        </w:rPr>
        <w:t>expert.e</w:t>
      </w:r>
      <w:proofErr w:type="spellEnd"/>
      <w:proofErr w:type="gramEnd"/>
      <w:r w:rsidR="00131F81">
        <w:rPr>
          <w:rFonts w:ascii="Arial" w:eastAsia="Times New Roman" w:hAnsi="Arial" w:cs="Arial"/>
          <w:sz w:val="20"/>
          <w:szCs w:val="20"/>
        </w:rPr>
        <w:t xml:space="preserve"> et les modalités de coordination/communication/articulation entre eux. </w:t>
      </w:r>
    </w:p>
    <w:p w14:paraId="5DCBBDF5" w14:textId="32E525F9" w:rsidR="007B6F61" w:rsidRPr="00750432" w:rsidRDefault="007B6F61" w:rsidP="003C62B2">
      <w:pPr>
        <w:pStyle w:val="Paragraphedeliste"/>
        <w:numPr>
          <w:ilvl w:val="0"/>
          <w:numId w:val="7"/>
        </w:numPr>
        <w:spacing w:line="240" w:lineRule="auto"/>
        <w:jc w:val="both"/>
        <w:rPr>
          <w:rFonts w:ascii="Arial" w:eastAsia="Times New Roman" w:hAnsi="Arial" w:cs="Arial"/>
          <w:sz w:val="20"/>
          <w:szCs w:val="20"/>
        </w:rPr>
      </w:pPr>
      <w:r w:rsidRPr="00750432">
        <w:rPr>
          <w:rFonts w:ascii="Arial" w:eastAsia="Times New Roman" w:hAnsi="Arial" w:cs="Arial"/>
          <w:sz w:val="20"/>
          <w:szCs w:val="20"/>
        </w:rPr>
        <w:t xml:space="preserve">Une </w:t>
      </w:r>
      <w:r w:rsidRPr="00750432">
        <w:rPr>
          <w:rFonts w:ascii="Arial" w:eastAsia="Times New Roman" w:hAnsi="Arial" w:cs="Arial"/>
          <w:b/>
          <w:sz w:val="20"/>
          <w:szCs w:val="20"/>
        </w:rPr>
        <w:t>offre financière</w:t>
      </w:r>
      <w:r w:rsidR="00D344F6">
        <w:rPr>
          <w:rFonts w:ascii="Arial" w:eastAsia="Times New Roman" w:hAnsi="Arial" w:cs="Arial"/>
          <w:b/>
          <w:sz w:val="20"/>
          <w:szCs w:val="20"/>
        </w:rPr>
        <w:t xml:space="preserve">. </w:t>
      </w:r>
      <w:r w:rsidR="006B5E0C">
        <w:rPr>
          <w:rFonts w:ascii="Arial" w:eastAsia="Times New Roman" w:hAnsi="Arial" w:cs="Arial"/>
          <w:sz w:val="20"/>
          <w:szCs w:val="20"/>
        </w:rPr>
        <w:t>L’</w:t>
      </w:r>
      <w:r w:rsidR="003C62B2">
        <w:rPr>
          <w:rFonts w:ascii="Arial" w:eastAsia="Times New Roman" w:hAnsi="Arial" w:cs="Arial"/>
          <w:sz w:val="20"/>
          <w:szCs w:val="20"/>
        </w:rPr>
        <w:t xml:space="preserve">offre </w:t>
      </w:r>
      <w:r w:rsidR="00131F81">
        <w:rPr>
          <w:rFonts w:ascii="Arial" w:eastAsia="Times New Roman" w:hAnsi="Arial" w:cs="Arial"/>
          <w:sz w:val="20"/>
          <w:szCs w:val="20"/>
        </w:rPr>
        <w:t xml:space="preserve">doit inclure les frais de déplacement éventuels nécessaires à la réalisation de la mission. </w:t>
      </w:r>
    </w:p>
    <w:p w14:paraId="6C433665" w14:textId="77777777" w:rsidR="00750432" w:rsidRPr="00750432" w:rsidRDefault="00750432" w:rsidP="00750432">
      <w:pPr>
        <w:pStyle w:val="Paragraphedeliste"/>
        <w:spacing w:line="240" w:lineRule="auto"/>
        <w:jc w:val="both"/>
        <w:rPr>
          <w:rFonts w:ascii="Arial" w:eastAsia="Times New Roman" w:hAnsi="Arial" w:cs="Arial"/>
          <w:sz w:val="20"/>
          <w:szCs w:val="20"/>
        </w:rPr>
      </w:pPr>
    </w:p>
    <w:p w14:paraId="698AAB16" w14:textId="77777777" w:rsidR="007B6F61" w:rsidRPr="00433B7A" w:rsidRDefault="007B6F61" w:rsidP="007B6F61">
      <w:pPr>
        <w:pStyle w:val="Paragraphedeliste"/>
        <w:numPr>
          <w:ilvl w:val="0"/>
          <w:numId w:val="6"/>
        </w:numPr>
        <w:spacing w:line="240" w:lineRule="auto"/>
        <w:jc w:val="both"/>
        <w:rPr>
          <w:rFonts w:ascii="Arial" w:eastAsia="Times New Roman" w:hAnsi="Arial" w:cs="Arial"/>
          <w:b/>
          <w:color w:val="6E6E6E"/>
          <w:sz w:val="20"/>
          <w:szCs w:val="20"/>
        </w:rPr>
      </w:pPr>
      <w:r w:rsidRPr="00433B7A">
        <w:rPr>
          <w:rFonts w:ascii="Arial" w:eastAsia="Times New Roman" w:hAnsi="Arial" w:cs="Arial"/>
          <w:b/>
          <w:color w:val="6E6E6E"/>
          <w:sz w:val="20"/>
          <w:szCs w:val="20"/>
        </w:rPr>
        <w:t>Le processus de sélection se déroulera en deux temps </w:t>
      </w:r>
    </w:p>
    <w:p w14:paraId="07D26880" w14:textId="77777777" w:rsidR="007B6F61" w:rsidRPr="0067016D" w:rsidRDefault="007B6F61" w:rsidP="007B6F61">
      <w:pPr>
        <w:pStyle w:val="Paragraphedeliste"/>
        <w:spacing w:line="240" w:lineRule="auto"/>
        <w:jc w:val="both"/>
        <w:rPr>
          <w:rFonts w:ascii="Arial" w:eastAsia="Times New Roman" w:hAnsi="Arial" w:cs="Arial"/>
          <w:sz w:val="20"/>
          <w:szCs w:val="20"/>
        </w:rPr>
      </w:pPr>
    </w:p>
    <w:p w14:paraId="2DFFB37E" w14:textId="77777777" w:rsidR="007B6F61" w:rsidRPr="0067016D" w:rsidRDefault="007B6F61" w:rsidP="007B6F61">
      <w:pPr>
        <w:pStyle w:val="Paragraphedeliste"/>
        <w:numPr>
          <w:ilvl w:val="0"/>
          <w:numId w:val="8"/>
        </w:numPr>
        <w:spacing w:line="240" w:lineRule="auto"/>
        <w:jc w:val="both"/>
        <w:outlineLvl w:val="1"/>
        <w:rPr>
          <w:rFonts w:ascii="Arial" w:eastAsia="Times New Roman" w:hAnsi="Arial" w:cs="Arial"/>
          <w:sz w:val="20"/>
          <w:szCs w:val="20"/>
        </w:rPr>
      </w:pPr>
      <w:r w:rsidRPr="0067016D">
        <w:rPr>
          <w:rFonts w:ascii="Arial" w:eastAsia="Times New Roman" w:hAnsi="Arial" w:cs="Arial"/>
          <w:sz w:val="20"/>
          <w:szCs w:val="20"/>
        </w:rPr>
        <w:t>Elaboration d’une liste restreinte par Expertise France sur la base des candidatures envoyées</w:t>
      </w:r>
      <w:r>
        <w:rPr>
          <w:rFonts w:ascii="Arial" w:eastAsia="Times New Roman" w:hAnsi="Arial" w:cs="Arial"/>
          <w:sz w:val="20"/>
          <w:szCs w:val="20"/>
        </w:rPr>
        <w:t xml:space="preserve"> et des critères de sélection </w:t>
      </w:r>
      <w:r w:rsidRPr="00433B7A">
        <w:rPr>
          <w:rFonts w:ascii="Arial" w:eastAsia="Times New Roman" w:hAnsi="Arial" w:cs="Arial"/>
          <w:sz w:val="20"/>
          <w:szCs w:val="20"/>
          <w:u w:val="single"/>
        </w:rPr>
        <w:t>présentés dans le règlement </w:t>
      </w:r>
      <w:r w:rsidRPr="0067016D">
        <w:rPr>
          <w:rFonts w:ascii="Arial" w:eastAsia="Times New Roman" w:hAnsi="Arial" w:cs="Arial"/>
          <w:sz w:val="20"/>
          <w:szCs w:val="20"/>
        </w:rPr>
        <w:t>;</w:t>
      </w:r>
    </w:p>
    <w:p w14:paraId="4595BD11" w14:textId="5E9770AA" w:rsidR="007B6F61" w:rsidRDefault="007B6F61" w:rsidP="007B6F61">
      <w:pPr>
        <w:pStyle w:val="Paragraphedeliste"/>
        <w:numPr>
          <w:ilvl w:val="0"/>
          <w:numId w:val="8"/>
        </w:numPr>
        <w:spacing w:line="240" w:lineRule="auto"/>
        <w:jc w:val="both"/>
        <w:outlineLvl w:val="1"/>
        <w:rPr>
          <w:rFonts w:ascii="Arial" w:eastAsia="Times New Roman" w:hAnsi="Arial" w:cs="Arial"/>
          <w:sz w:val="20"/>
          <w:szCs w:val="20"/>
        </w:rPr>
      </w:pPr>
      <w:r w:rsidRPr="0067016D">
        <w:rPr>
          <w:rFonts w:ascii="Arial" w:eastAsia="Times New Roman" w:hAnsi="Arial" w:cs="Arial"/>
          <w:sz w:val="20"/>
          <w:szCs w:val="20"/>
        </w:rPr>
        <w:t>Conduite d’un entretien avec les candidat.es présélectionné.es</w:t>
      </w:r>
      <w:r w:rsidR="003C62B2">
        <w:rPr>
          <w:rFonts w:ascii="Arial" w:eastAsia="Times New Roman" w:hAnsi="Arial" w:cs="Arial"/>
          <w:sz w:val="20"/>
          <w:szCs w:val="20"/>
        </w:rPr>
        <w:t xml:space="preserve"> (optionnelle)</w:t>
      </w:r>
      <w:r w:rsidRPr="0067016D">
        <w:rPr>
          <w:rFonts w:ascii="Arial" w:eastAsia="Times New Roman" w:hAnsi="Arial" w:cs="Arial"/>
          <w:sz w:val="20"/>
          <w:szCs w:val="20"/>
        </w:rPr>
        <w:t xml:space="preserve">. </w:t>
      </w:r>
    </w:p>
    <w:p w14:paraId="6CE0A73B" w14:textId="77777777" w:rsidR="00516E07" w:rsidRDefault="00516E07"/>
    <w:sectPr w:rsidR="00516E07" w:rsidSect="00516E0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39002" w14:textId="77777777" w:rsidR="00547049" w:rsidRDefault="00547049" w:rsidP="007B6F61">
      <w:pPr>
        <w:spacing w:after="0" w:line="240" w:lineRule="auto"/>
      </w:pPr>
      <w:r>
        <w:separator/>
      </w:r>
    </w:p>
  </w:endnote>
  <w:endnote w:type="continuationSeparator" w:id="0">
    <w:p w14:paraId="351338A2" w14:textId="77777777" w:rsidR="00547049" w:rsidRDefault="00547049" w:rsidP="007B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01855" w14:textId="77777777" w:rsidR="00CE4B33" w:rsidRPr="0077009D" w:rsidRDefault="00CE4B33" w:rsidP="00516E07">
    <w:pPr>
      <w:pStyle w:val="Pieddepage"/>
      <w:numPr>
        <w:ilvl w:val="0"/>
        <w:numId w:val="1"/>
      </w:numPr>
      <w:rPr>
        <w:b/>
        <w:bCs/>
        <w:color w:val="009C9C"/>
      </w:rPr>
    </w:pPr>
    <w:r w:rsidRPr="0077009D">
      <w:rPr>
        <w:rFonts w:ascii="Arial" w:eastAsia="Times New Roman" w:hAnsi="Arial" w:cs="Arial"/>
        <w:b/>
        <w:bCs/>
        <w:noProof/>
        <w:color w:val="009C9C"/>
        <w:lang w:eastAsia="fr-FR"/>
      </w:rPr>
      <w:drawing>
        <wp:anchor distT="0" distB="0" distL="114300" distR="114300" simplePos="0" relativeHeight="251660288" behindDoc="0" locked="0" layoutInCell="1" allowOverlap="1" wp14:anchorId="56D343F4" wp14:editId="01E2C0A9">
          <wp:simplePos x="0" y="0"/>
          <wp:positionH relativeFrom="column">
            <wp:posOffset>-342737</wp:posOffset>
          </wp:positionH>
          <wp:positionV relativeFrom="paragraph">
            <wp:posOffset>-177165</wp:posOffset>
          </wp:positionV>
          <wp:extent cx="1462260" cy="506994"/>
          <wp:effectExtent l="0" t="0" r="5080" b="0"/>
          <wp:wrapNone/>
          <wp:docPr id="14424648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260" cy="506994"/>
                  </a:xfrm>
                  <a:prstGeom prst="rect">
                    <a:avLst/>
                  </a:prstGeom>
                  <a:noFill/>
                  <a:ln>
                    <a:noFill/>
                  </a:ln>
                </pic:spPr>
              </pic:pic>
            </a:graphicData>
          </a:graphic>
        </wp:anchor>
      </w:drawing>
    </w:r>
    <w:r w:rsidRPr="0077009D">
      <w:rPr>
        <w:b/>
        <w:bCs/>
        <w:color w:val="009C9C"/>
      </w:rPr>
      <w:t>Programme d’appui à l’entrepreneuriat vert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BA43F" w14:textId="77777777" w:rsidR="00547049" w:rsidRDefault="00547049" w:rsidP="007B6F61">
      <w:pPr>
        <w:spacing w:after="0" w:line="240" w:lineRule="auto"/>
      </w:pPr>
      <w:r>
        <w:separator/>
      </w:r>
    </w:p>
  </w:footnote>
  <w:footnote w:type="continuationSeparator" w:id="0">
    <w:p w14:paraId="5EFD2DEE" w14:textId="77777777" w:rsidR="00547049" w:rsidRDefault="00547049" w:rsidP="007B6F61">
      <w:pPr>
        <w:spacing w:after="0" w:line="240" w:lineRule="auto"/>
      </w:pPr>
      <w:r>
        <w:continuationSeparator/>
      </w:r>
    </w:p>
  </w:footnote>
  <w:footnote w:id="1">
    <w:p w14:paraId="7305BEC6" w14:textId="77777777" w:rsidR="00CE4B33" w:rsidRPr="00433B7A" w:rsidRDefault="00CE4B33" w:rsidP="007B6F61">
      <w:pPr>
        <w:pStyle w:val="Notedebasdepage"/>
        <w:rPr>
          <w:sz w:val="18"/>
          <w:lang w:val="fr-FR"/>
        </w:rPr>
      </w:pPr>
      <w:r w:rsidRPr="008F29B8">
        <w:rPr>
          <w:rStyle w:val="Appelnotedebasdep"/>
          <w:sz w:val="18"/>
        </w:rPr>
        <w:footnoteRef/>
      </w:r>
      <w:r w:rsidRPr="00433B7A">
        <w:rPr>
          <w:sz w:val="18"/>
          <w:lang w:val="fr-FR"/>
        </w:rPr>
        <w:t xml:space="preserve"> « Les éco entreprises et filières vertes », ADEME, consulté le 11 septembre 2023.</w:t>
      </w:r>
    </w:p>
    <w:p w14:paraId="3E74B8A7" w14:textId="77777777" w:rsidR="00CE4B33" w:rsidRPr="002140BA" w:rsidRDefault="00CE4B33" w:rsidP="007B6F61">
      <w:pPr>
        <w:pStyle w:val="Notedebasdepage"/>
        <w:rPr>
          <w:lang w:val="fr-FR"/>
        </w:rPr>
      </w:pPr>
      <w:r w:rsidRPr="00433B7A">
        <w:rPr>
          <w:sz w:val="18"/>
          <w:lang w:val="fr-FR"/>
        </w:rPr>
        <w:t>https://expertises.ademe.fr/production-durable/production-industrielle-services/dossier/quoi-parle-t/eco-entreprises-filieres-vertes#:~:text=Une%20%C3%A9co%2Dentreprise%20est%20une,activit%C3%A9s%20humaines%20sur%20l'environnement.</w:t>
      </w:r>
    </w:p>
  </w:footnote>
  <w:footnote w:id="2">
    <w:p w14:paraId="66011EE7" w14:textId="5D8F86C9" w:rsidR="00CE4B33" w:rsidRPr="004D3B63" w:rsidRDefault="00CE4B33">
      <w:pPr>
        <w:pStyle w:val="Notedebasdepage"/>
        <w:rPr>
          <w:sz w:val="18"/>
          <w:lang w:val="fr-FR"/>
        </w:rPr>
      </w:pPr>
      <w:r w:rsidRPr="004D3B63">
        <w:rPr>
          <w:rStyle w:val="Appelnotedebasdep"/>
          <w:sz w:val="18"/>
        </w:rPr>
        <w:footnoteRef/>
      </w:r>
      <w:r w:rsidRPr="00202A83">
        <w:rPr>
          <w:sz w:val="18"/>
          <w:lang w:val="fr-FR"/>
        </w:rPr>
        <w:t xml:space="preserve"> PB2-fiscalite-environnementale-ITCEQ.pdf</w:t>
      </w:r>
    </w:p>
  </w:footnote>
  <w:footnote w:id="3">
    <w:p w14:paraId="61B175E6" w14:textId="69741C9A" w:rsidR="00CE4B33" w:rsidRPr="00B065A8" w:rsidRDefault="00CE4B33">
      <w:pPr>
        <w:pStyle w:val="Notedebasdepage"/>
        <w:rPr>
          <w:lang w:val="fr-FR"/>
        </w:rPr>
      </w:pPr>
      <w:r>
        <w:rPr>
          <w:rStyle w:val="Appelnotedebasdep"/>
        </w:rPr>
        <w:footnoteRef/>
      </w:r>
      <w:r w:rsidRPr="00202A83">
        <w:rPr>
          <w:lang w:val="fr-FR"/>
        </w:rPr>
        <w:t xml:space="preserve"> </w:t>
      </w:r>
      <w:r w:rsidRPr="00622D13">
        <w:rPr>
          <w:sz w:val="18"/>
          <w:lang w:val="fr-FR"/>
        </w:rPr>
        <w:t xml:space="preserve">Créée en 2003, elle est considérée comme la première consécration de l’éco-fiscalité dans la réglementation tunisienne. </w:t>
      </w:r>
    </w:p>
  </w:footnote>
  <w:footnote w:id="4">
    <w:p w14:paraId="69548520" w14:textId="144FF094" w:rsidR="00CE4B33" w:rsidRPr="005377FC" w:rsidRDefault="00CE4B33">
      <w:pPr>
        <w:pStyle w:val="Notedebasdepage"/>
        <w:rPr>
          <w:lang w:val="fr-FR"/>
        </w:rPr>
      </w:pPr>
      <w:r>
        <w:rPr>
          <w:rStyle w:val="Appelnotedebasdep"/>
        </w:rPr>
        <w:footnoteRef/>
      </w:r>
      <w:r w:rsidRPr="00202A83">
        <w:rPr>
          <w:lang w:val="fr-FR"/>
        </w:rPr>
        <w:t xml:space="preserve"> </w:t>
      </w:r>
      <w:r w:rsidRPr="00596901">
        <w:rPr>
          <w:sz w:val="18"/>
          <w:lang w:val="fr-FR"/>
        </w:rPr>
        <w:t>Par exemple, la loi de</w:t>
      </w:r>
      <w:r>
        <w:rPr>
          <w:sz w:val="18"/>
          <w:lang w:val="fr-FR"/>
        </w:rPr>
        <w:t xml:space="preserve"> finances 2025 présente</w:t>
      </w:r>
      <w:r w:rsidRPr="00596901">
        <w:rPr>
          <w:sz w:val="18"/>
          <w:lang w:val="fr-FR"/>
        </w:rPr>
        <w:t xml:space="preserve"> plusieurs </w:t>
      </w:r>
      <w:r w:rsidRPr="00596901">
        <w:rPr>
          <w:sz w:val="18"/>
          <w:u w:val="single"/>
          <w:lang w:val="fr-FR"/>
        </w:rPr>
        <w:t>incitations fiscales</w:t>
      </w:r>
      <w:r w:rsidRPr="00596901">
        <w:rPr>
          <w:sz w:val="18"/>
          <w:lang w:val="fr-FR"/>
        </w:rPr>
        <w:t xml:space="preserve"> sur le volet environnemental : (i) le taux de TVA sur les véhicules électriques a été réduit à 7%, accompagné d’une exonération des droits de consommation, (ii) les droits de douane sur les panneaux solaires ont été réduits de 30% à 10%, soutenant les investissements dans les énergies propres, (iii)</w:t>
      </w:r>
      <w:r>
        <w:rPr>
          <w:sz w:val="18"/>
          <w:lang w:val="fr-FR"/>
        </w:rPr>
        <w:t xml:space="preserve"> des prêts sans intérêt ont été proposés pour la construction de citernes de stockage d’eau de pluie, avec un budget supplémentaire alloué pour la réalisation de ces projets. </w:t>
      </w:r>
    </w:p>
  </w:footnote>
  <w:footnote w:id="5">
    <w:p w14:paraId="6AD78CDF" w14:textId="48B3C527" w:rsidR="00E03BE2" w:rsidRPr="00E03BE2" w:rsidRDefault="00E03BE2">
      <w:pPr>
        <w:pStyle w:val="Notedebasdepage"/>
        <w:rPr>
          <w:sz w:val="18"/>
          <w:lang w:val="fr-FR"/>
        </w:rPr>
      </w:pPr>
      <w:r>
        <w:rPr>
          <w:rStyle w:val="Appelnotedebasdep"/>
        </w:rPr>
        <w:footnoteRef/>
      </w:r>
      <w:r w:rsidRPr="00202A83">
        <w:rPr>
          <w:lang w:val="fr-FR"/>
        </w:rPr>
        <w:t xml:space="preserve"> </w:t>
      </w:r>
      <w:r>
        <w:rPr>
          <w:sz w:val="18"/>
          <w:lang w:val="fr-FR"/>
        </w:rPr>
        <w:t>Créé en 1992, il a pour principales missions (i) d’encourager les entreprises à réaliser des projets visant à protéger l’environnement contre la pollution occasionnée par leurs activités, ou les inciter à mettre en place des projets de réhabilitation et d’amélioration du rendement épuratoire des institutions de dépollution déjà existantes, (ii) de renforcer le volet curatif en incitant, à travers des financements appropriés, à l’utilisation de technologies propres et non polluantes, qui sont financées à concurrence de la valeur de l’investissement visant à protéger l’environne</w:t>
      </w:r>
      <w:r w:rsidR="00573BB0">
        <w:rPr>
          <w:sz w:val="18"/>
          <w:lang w:val="fr-FR"/>
        </w:rPr>
        <w:t xml:space="preserve">ment et (iii) de soutenir </w:t>
      </w:r>
      <w:r w:rsidR="00240D46">
        <w:rPr>
          <w:sz w:val="18"/>
          <w:lang w:val="fr-FR"/>
        </w:rPr>
        <w:t xml:space="preserve">l’effort national en matière de mise à niveau environnementale des entreprises tunisiennes. </w:t>
      </w:r>
    </w:p>
  </w:footnote>
  <w:footnote w:id="6">
    <w:p w14:paraId="1C945695" w14:textId="6E286C4F" w:rsidR="00E03BE2" w:rsidRPr="00E03BE2" w:rsidRDefault="00E03BE2">
      <w:pPr>
        <w:pStyle w:val="Notedebasdepage"/>
        <w:rPr>
          <w:lang w:val="fr-FR"/>
        </w:rPr>
      </w:pPr>
      <w:r>
        <w:rPr>
          <w:rStyle w:val="Appelnotedebasdep"/>
        </w:rPr>
        <w:footnoteRef/>
      </w:r>
      <w:r w:rsidRPr="00202A83">
        <w:rPr>
          <w:lang w:val="fr-FR"/>
        </w:rPr>
        <w:t xml:space="preserve"> </w:t>
      </w:r>
      <w:r w:rsidRPr="00E03BE2">
        <w:rPr>
          <w:sz w:val="18"/>
          <w:lang w:val="fr-FR"/>
        </w:rPr>
        <w:t>Créé en 2014, il est destiné à soutenir l’investissement dans le domaine de la maîtrise de l’énergie. Les ressources du FTE proviennent aujourd’hui de taxes (taxes sur les voitures, taxe sur les climatiseurs etc.) ainsi que des dons de toute personne physique ou morale et interventions pour soutenir les investissements matériels et immatériels</w:t>
      </w:r>
      <w:r>
        <w:rPr>
          <w:lang w:val="fr-FR"/>
        </w:rPr>
        <w:t>.</w:t>
      </w:r>
    </w:p>
  </w:footnote>
  <w:footnote w:id="7">
    <w:p w14:paraId="26A83A85" w14:textId="201C9067" w:rsidR="00240D46" w:rsidRPr="00240D46" w:rsidRDefault="00240D46">
      <w:pPr>
        <w:pStyle w:val="Notedebasdepage"/>
        <w:rPr>
          <w:lang w:val="fr-FR"/>
        </w:rPr>
      </w:pPr>
      <w:r>
        <w:rPr>
          <w:rStyle w:val="Appelnotedebasdep"/>
        </w:rPr>
        <w:footnoteRef/>
      </w:r>
      <w:r w:rsidRPr="00202A83">
        <w:rPr>
          <w:lang w:val="fr-FR"/>
        </w:rPr>
        <w:t xml:space="preserve"> </w:t>
      </w:r>
      <w:r w:rsidRPr="00240D46">
        <w:rPr>
          <w:sz w:val="18"/>
          <w:lang w:val="fr-FR"/>
        </w:rPr>
        <w:t>Financement des opérations relatives à l’entretien et à la protection de l’environnement et à l’esthétique de villes dont notamment (i) les opérations relatives à la lutte contre la pollution par le plastique, (ii) les opérations relatives à la propreté d’une manière générale</w:t>
      </w:r>
      <w:r>
        <w:rPr>
          <w:sz w:val="18"/>
          <w:lang w:val="fr-FR"/>
        </w:rPr>
        <w:t xml:space="preserve"> etc.</w:t>
      </w:r>
    </w:p>
  </w:footnote>
  <w:footnote w:id="8">
    <w:p w14:paraId="3C404134" w14:textId="77777777" w:rsidR="00FC6DDC" w:rsidRPr="00210291" w:rsidRDefault="00FC6DDC" w:rsidP="00FC6DDC">
      <w:pPr>
        <w:pStyle w:val="Notedebasdepage"/>
        <w:rPr>
          <w:lang w:val="fr-FR"/>
        </w:rPr>
      </w:pPr>
      <w:r>
        <w:rPr>
          <w:rStyle w:val="Appelnotedebasdep"/>
        </w:rPr>
        <w:footnoteRef/>
      </w:r>
      <w:r w:rsidRPr="00202A83">
        <w:rPr>
          <w:lang w:val="fr-FR"/>
        </w:rPr>
        <w:t xml:space="preserve"> </w:t>
      </w:r>
      <w:r w:rsidRPr="0044224F">
        <w:rPr>
          <w:sz w:val="18"/>
          <w:lang w:val="fr-FR"/>
        </w:rPr>
        <w:t>Instrument réglementaire européen qui vise à soumettre les produits importés dans le territoire douanier de l’Union Européenne à une tarification carbone équivalente à celle appliquée aux industriels européens fabriquant ces produits. L’objectif premier de ce dispositif est de lutter contre les fuites de carbone, dans un contexte de renforcement de l’ambition climatique au niveau européen.</w:t>
      </w:r>
    </w:p>
  </w:footnote>
  <w:footnote w:id="9">
    <w:p w14:paraId="742C6BF5" w14:textId="7BF7D8AC" w:rsidR="00FC6DDC" w:rsidRPr="0044224F" w:rsidRDefault="00FC6DDC" w:rsidP="00FC6DDC">
      <w:pPr>
        <w:pStyle w:val="Notedebasdepage"/>
        <w:rPr>
          <w:lang w:val="fr-FR"/>
        </w:rPr>
      </w:pPr>
      <w:r>
        <w:rPr>
          <w:rStyle w:val="Appelnotedebasdep"/>
        </w:rPr>
        <w:footnoteRef/>
      </w:r>
      <w:r w:rsidRPr="00202A83">
        <w:rPr>
          <w:lang w:val="fr-FR"/>
        </w:rPr>
        <w:t xml:space="preserve"> </w:t>
      </w:r>
      <w:r w:rsidRPr="00873AA8">
        <w:rPr>
          <w:sz w:val="18"/>
          <w:lang w:val="fr-FR"/>
        </w:rPr>
        <w:t>En outre, le MACF ne s’appliquera initialement qu’à un certain nombre de produits présentant un risque élevé de fuite de carbone tels que le ciment</w:t>
      </w:r>
      <w:r>
        <w:rPr>
          <w:sz w:val="18"/>
          <w:lang w:val="fr-FR"/>
        </w:rPr>
        <w:t>, l’engrais etc</w:t>
      </w:r>
      <w:r w:rsidR="00B10411">
        <w:rPr>
          <w:sz w:val="18"/>
          <w:lang w:val="fr-FR"/>
        </w:rPr>
        <w:t>.</w:t>
      </w:r>
      <w:r>
        <w:rPr>
          <w:sz w:val="18"/>
          <w:lang w:val="fr-FR"/>
        </w:rPr>
        <w:t xml:space="preserve"> – des secteurs économiques majeurs en Tunisie. </w:t>
      </w:r>
    </w:p>
  </w:footnote>
  <w:footnote w:id="10">
    <w:p w14:paraId="1439DF8C" w14:textId="7B74A4FD" w:rsidR="006E25BB" w:rsidRPr="006E25BB" w:rsidRDefault="006E25BB">
      <w:pPr>
        <w:pStyle w:val="Notedebasdepage"/>
        <w:rPr>
          <w:lang w:val="fr-FR"/>
        </w:rPr>
      </w:pPr>
      <w:r>
        <w:rPr>
          <w:rStyle w:val="Appelnotedebasdep"/>
        </w:rPr>
        <w:footnoteRef/>
      </w:r>
      <w:r w:rsidRPr="00202A83">
        <w:rPr>
          <w:sz w:val="18"/>
          <w:lang w:val="fr-FR"/>
        </w:rPr>
        <w:t xml:space="preserve"> </w:t>
      </w:r>
      <w:hyperlink r:id="rId1" w:history="1">
        <w:r w:rsidRPr="00202A83">
          <w:rPr>
            <w:rStyle w:val="Lienhypertexte"/>
            <w:color w:val="auto"/>
            <w:sz w:val="18"/>
            <w:lang w:val="fr-FR"/>
          </w:rPr>
          <w:t>Taxe Carbone : Comment S’y Préparer ?</w:t>
        </w:r>
      </w:hyperlink>
    </w:p>
  </w:footnote>
  <w:footnote w:id="11">
    <w:p w14:paraId="549810C9" w14:textId="097588CE" w:rsidR="00070883" w:rsidRPr="00070883" w:rsidRDefault="00070883">
      <w:pPr>
        <w:pStyle w:val="Notedebasdepage"/>
        <w:rPr>
          <w:lang w:val="fr-FR"/>
        </w:rPr>
      </w:pPr>
      <w:r>
        <w:rPr>
          <w:rStyle w:val="Appelnotedebasdep"/>
        </w:rPr>
        <w:footnoteRef/>
      </w:r>
      <w:r w:rsidRPr="00202A83">
        <w:rPr>
          <w:lang w:val="fr-FR"/>
        </w:rPr>
        <w:t xml:space="preserve"> </w:t>
      </w:r>
      <w:hyperlink r:id="rId2" w:history="1">
        <w:r w:rsidRPr="00202A83">
          <w:rPr>
            <w:rStyle w:val="Lienhypertexte"/>
            <w:color w:val="auto"/>
            <w:sz w:val="18"/>
            <w:lang w:val="fr-FR"/>
          </w:rPr>
          <w:t>Tout savoir sur la taxe carbone : calcul, fonctionnement et montants</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8B656" w14:textId="77777777" w:rsidR="00CE4B33" w:rsidRPr="005F273F" w:rsidRDefault="00CE4B33" w:rsidP="00516E07">
    <w:pPr>
      <w:pStyle w:val="NormalWeb"/>
    </w:pPr>
    <w:r>
      <w:rPr>
        <w:noProof/>
      </w:rPr>
      <w:drawing>
        <wp:anchor distT="0" distB="0" distL="114300" distR="114300" simplePos="0" relativeHeight="251661312" behindDoc="1" locked="0" layoutInCell="1" allowOverlap="1" wp14:anchorId="7A01A308" wp14:editId="2BD8549B">
          <wp:simplePos x="0" y="0"/>
          <wp:positionH relativeFrom="margin">
            <wp:align>center</wp:align>
          </wp:positionH>
          <wp:positionV relativeFrom="paragraph">
            <wp:posOffset>-243315</wp:posOffset>
          </wp:positionV>
          <wp:extent cx="4921250" cy="576580"/>
          <wp:effectExtent l="0" t="0" r="0" b="0"/>
          <wp:wrapTight wrapText="bothSides">
            <wp:wrapPolygon edited="0">
              <wp:start x="0" y="0"/>
              <wp:lineTo x="0" y="5709"/>
              <wp:lineTo x="167" y="12846"/>
              <wp:lineTo x="7191" y="20696"/>
              <wp:lineTo x="8194" y="20696"/>
              <wp:lineTo x="13211" y="20696"/>
              <wp:lineTo x="20820" y="16414"/>
              <wp:lineTo x="20987" y="12132"/>
              <wp:lineTo x="21489" y="11419"/>
              <wp:lineTo x="21489" y="1427"/>
              <wp:lineTo x="502"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F Barre de logos Greenov'i - PNG Fond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1250" cy="576580"/>
                  </a:xfrm>
                  <a:prstGeom prst="rect">
                    <a:avLst/>
                  </a:prstGeom>
                </pic:spPr>
              </pic:pic>
            </a:graphicData>
          </a:graphic>
        </wp:anchor>
      </w:drawing>
    </w:r>
    <w:r>
      <w:rPr>
        <w:rFonts w:cstheme="minorHAnsi"/>
        <w:b/>
        <w:noProof/>
        <w:color w:val="000000" w:themeColor="text1"/>
        <w:sz w:val="28"/>
        <w:szCs w:val="28"/>
      </w:rPr>
      <mc:AlternateContent>
        <mc:Choice Requires="wps">
          <w:drawing>
            <wp:anchor distT="0" distB="0" distL="114300" distR="114300" simplePos="0" relativeHeight="251659264" behindDoc="0" locked="0" layoutInCell="1" allowOverlap="1" wp14:anchorId="25328AF6" wp14:editId="1F09D23D">
              <wp:simplePos x="0" y="0"/>
              <wp:positionH relativeFrom="page">
                <wp:posOffset>-607695</wp:posOffset>
              </wp:positionH>
              <wp:positionV relativeFrom="paragraph">
                <wp:posOffset>-1380490</wp:posOffset>
              </wp:positionV>
              <wp:extent cx="1935480" cy="2465705"/>
              <wp:effectExtent l="533400" t="0" r="45720" b="86995"/>
              <wp:wrapNone/>
              <wp:docPr id="48926866" name="Triangle isocè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271003">
                        <a:off x="0" y="0"/>
                        <a:ext cx="1935480" cy="2465705"/>
                      </a:xfrm>
                      <a:prstGeom prst="triangle">
                        <a:avLst/>
                      </a:prstGeom>
                      <a:solidFill>
                        <a:srgbClr val="FFCD00"/>
                      </a:solidFill>
                      <a:ln>
                        <a:solidFill>
                          <a:srgbClr val="FFCD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AB79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 o:spid="_x0000_s1026" type="#_x0000_t5" style="position:absolute;margin-left:-47.85pt;margin-top:-108.7pt;width:152.4pt;height:194.15pt;rotation:4665074fd;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" fillcolor="#ffcd00" strokecolor="#ffcd00" strokeweight="1pt">
              <v:path arrowok="t"/>
              <w10:wrap anchorx="page"/>
            </v:shape>
          </w:pict>
        </mc:Fallback>
      </mc:AlternateContent>
    </w:r>
  </w:p>
  <w:p w14:paraId="6AD7DE87" w14:textId="77777777" w:rsidR="00CE4B33" w:rsidRDefault="00CE4B3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2143"/>
    <w:multiLevelType w:val="hybridMultilevel"/>
    <w:tmpl w:val="0C14A9D0"/>
    <w:lvl w:ilvl="0" w:tplc="5ECC202E">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9E607B"/>
    <w:multiLevelType w:val="hybridMultilevel"/>
    <w:tmpl w:val="11DC656E"/>
    <w:lvl w:ilvl="0" w:tplc="E17CD6C6">
      <w:numFmt w:val="bullet"/>
      <w:lvlText w:val="-"/>
      <w:lvlJc w:val="left"/>
      <w:pPr>
        <w:ind w:left="2250" w:hanging="360"/>
      </w:pPr>
      <w:rPr>
        <w:rFonts w:ascii="Calibri" w:eastAsiaTheme="minorHAnsi" w:hAnsi="Calibri" w:cs="Calibri" w:hint="default"/>
      </w:rPr>
    </w:lvl>
    <w:lvl w:ilvl="1" w:tplc="040C0003" w:tentative="1">
      <w:start w:val="1"/>
      <w:numFmt w:val="bullet"/>
      <w:lvlText w:val="o"/>
      <w:lvlJc w:val="left"/>
      <w:pPr>
        <w:ind w:left="2970" w:hanging="360"/>
      </w:pPr>
      <w:rPr>
        <w:rFonts w:ascii="Courier New" w:hAnsi="Courier New" w:cs="Courier New" w:hint="default"/>
      </w:rPr>
    </w:lvl>
    <w:lvl w:ilvl="2" w:tplc="040C0005" w:tentative="1">
      <w:start w:val="1"/>
      <w:numFmt w:val="bullet"/>
      <w:lvlText w:val=""/>
      <w:lvlJc w:val="left"/>
      <w:pPr>
        <w:ind w:left="3690" w:hanging="360"/>
      </w:pPr>
      <w:rPr>
        <w:rFonts w:ascii="Wingdings" w:hAnsi="Wingdings" w:hint="default"/>
      </w:rPr>
    </w:lvl>
    <w:lvl w:ilvl="3" w:tplc="040C0001" w:tentative="1">
      <w:start w:val="1"/>
      <w:numFmt w:val="bullet"/>
      <w:lvlText w:val=""/>
      <w:lvlJc w:val="left"/>
      <w:pPr>
        <w:ind w:left="4410" w:hanging="360"/>
      </w:pPr>
      <w:rPr>
        <w:rFonts w:ascii="Symbol" w:hAnsi="Symbol" w:hint="default"/>
      </w:rPr>
    </w:lvl>
    <w:lvl w:ilvl="4" w:tplc="040C0003" w:tentative="1">
      <w:start w:val="1"/>
      <w:numFmt w:val="bullet"/>
      <w:lvlText w:val="o"/>
      <w:lvlJc w:val="left"/>
      <w:pPr>
        <w:ind w:left="5130" w:hanging="360"/>
      </w:pPr>
      <w:rPr>
        <w:rFonts w:ascii="Courier New" w:hAnsi="Courier New" w:cs="Courier New" w:hint="default"/>
      </w:rPr>
    </w:lvl>
    <w:lvl w:ilvl="5" w:tplc="040C0005" w:tentative="1">
      <w:start w:val="1"/>
      <w:numFmt w:val="bullet"/>
      <w:lvlText w:val=""/>
      <w:lvlJc w:val="left"/>
      <w:pPr>
        <w:ind w:left="5850" w:hanging="360"/>
      </w:pPr>
      <w:rPr>
        <w:rFonts w:ascii="Wingdings" w:hAnsi="Wingdings" w:hint="default"/>
      </w:rPr>
    </w:lvl>
    <w:lvl w:ilvl="6" w:tplc="040C0001" w:tentative="1">
      <w:start w:val="1"/>
      <w:numFmt w:val="bullet"/>
      <w:lvlText w:val=""/>
      <w:lvlJc w:val="left"/>
      <w:pPr>
        <w:ind w:left="6570" w:hanging="360"/>
      </w:pPr>
      <w:rPr>
        <w:rFonts w:ascii="Symbol" w:hAnsi="Symbol" w:hint="default"/>
      </w:rPr>
    </w:lvl>
    <w:lvl w:ilvl="7" w:tplc="040C0003" w:tentative="1">
      <w:start w:val="1"/>
      <w:numFmt w:val="bullet"/>
      <w:lvlText w:val="o"/>
      <w:lvlJc w:val="left"/>
      <w:pPr>
        <w:ind w:left="7290" w:hanging="360"/>
      </w:pPr>
      <w:rPr>
        <w:rFonts w:ascii="Courier New" w:hAnsi="Courier New" w:cs="Courier New" w:hint="default"/>
      </w:rPr>
    </w:lvl>
    <w:lvl w:ilvl="8" w:tplc="040C0005" w:tentative="1">
      <w:start w:val="1"/>
      <w:numFmt w:val="bullet"/>
      <w:lvlText w:val=""/>
      <w:lvlJc w:val="left"/>
      <w:pPr>
        <w:ind w:left="8010" w:hanging="360"/>
      </w:pPr>
      <w:rPr>
        <w:rFonts w:ascii="Wingdings" w:hAnsi="Wingdings" w:hint="default"/>
      </w:rPr>
    </w:lvl>
  </w:abstractNum>
  <w:abstractNum w:abstractNumId="2" w15:restartNumberingAfterBreak="0">
    <w:nsid w:val="14F07B8C"/>
    <w:multiLevelType w:val="hybridMultilevel"/>
    <w:tmpl w:val="F0C0779E"/>
    <w:lvl w:ilvl="0" w:tplc="4DC27872">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17543109"/>
    <w:multiLevelType w:val="hybridMultilevel"/>
    <w:tmpl w:val="B12C9172"/>
    <w:lvl w:ilvl="0" w:tplc="5D9453A8">
      <w:start w:val="10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1E1596"/>
    <w:multiLevelType w:val="hybridMultilevel"/>
    <w:tmpl w:val="D034D142"/>
    <w:lvl w:ilvl="0" w:tplc="F35A6F2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F2782E"/>
    <w:multiLevelType w:val="hybridMultilevel"/>
    <w:tmpl w:val="AE3006C0"/>
    <w:lvl w:ilvl="0" w:tplc="E17CD6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5B2BD4"/>
    <w:multiLevelType w:val="hybridMultilevel"/>
    <w:tmpl w:val="1DB86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5A4FA0"/>
    <w:multiLevelType w:val="hybridMultilevel"/>
    <w:tmpl w:val="67BAC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11225D"/>
    <w:multiLevelType w:val="hybridMultilevel"/>
    <w:tmpl w:val="0510B392"/>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2C2209"/>
    <w:multiLevelType w:val="hybridMultilevel"/>
    <w:tmpl w:val="012AE4FE"/>
    <w:lvl w:ilvl="0" w:tplc="DDEAE21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5E1FDF"/>
    <w:multiLevelType w:val="hybridMultilevel"/>
    <w:tmpl w:val="E3F02626"/>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FD5D8F"/>
    <w:multiLevelType w:val="hybridMultilevel"/>
    <w:tmpl w:val="E134441C"/>
    <w:lvl w:ilvl="0" w:tplc="E17CD6C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79A5509"/>
    <w:multiLevelType w:val="hybridMultilevel"/>
    <w:tmpl w:val="15CEC42E"/>
    <w:lvl w:ilvl="0" w:tplc="E17CD6C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65C6E0B"/>
    <w:multiLevelType w:val="hybridMultilevel"/>
    <w:tmpl w:val="F28A6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61182D"/>
    <w:multiLevelType w:val="hybridMultilevel"/>
    <w:tmpl w:val="DC5AF0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7BA623A"/>
    <w:multiLevelType w:val="hybridMultilevel"/>
    <w:tmpl w:val="30B29348"/>
    <w:lvl w:ilvl="0" w:tplc="D2F460F8">
      <w:start w:val="1"/>
      <w:numFmt w:val="bullet"/>
      <w:lvlText w:val=""/>
      <w:lvlJc w:val="left"/>
      <w:pPr>
        <w:ind w:left="720" w:hanging="360"/>
      </w:pPr>
      <w:rPr>
        <w:rFonts w:ascii="Symbol" w:hAnsi="Symbol" w:hint="default"/>
        <w:color w:val="6E6E6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AC9558E"/>
    <w:multiLevelType w:val="hybridMultilevel"/>
    <w:tmpl w:val="D6842CBC"/>
    <w:lvl w:ilvl="0" w:tplc="E17CD6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D24740"/>
    <w:multiLevelType w:val="hybridMultilevel"/>
    <w:tmpl w:val="637623C0"/>
    <w:lvl w:ilvl="0" w:tplc="C8309106">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574364EB"/>
    <w:multiLevelType w:val="hybridMultilevel"/>
    <w:tmpl w:val="3586D0F6"/>
    <w:lvl w:ilvl="0" w:tplc="3570974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99F7F3E"/>
    <w:multiLevelType w:val="hybridMultilevel"/>
    <w:tmpl w:val="42288D34"/>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BAD57C3"/>
    <w:multiLevelType w:val="hybridMultilevel"/>
    <w:tmpl w:val="22B84262"/>
    <w:lvl w:ilvl="0" w:tplc="78D648D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81228C"/>
    <w:multiLevelType w:val="hybridMultilevel"/>
    <w:tmpl w:val="7D1888AE"/>
    <w:lvl w:ilvl="0" w:tplc="EA74227A">
      <w:start w:val="1"/>
      <w:numFmt w:val="low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294109A"/>
    <w:multiLevelType w:val="hybridMultilevel"/>
    <w:tmpl w:val="5F68B690"/>
    <w:lvl w:ilvl="0" w:tplc="2F509954">
      <w:start w:val="1"/>
      <w:numFmt w:val="decimal"/>
      <w:lvlText w:val="%1."/>
      <w:lvlJc w:val="left"/>
      <w:pPr>
        <w:ind w:left="720" w:hanging="360"/>
      </w:pPr>
      <w:rPr>
        <w:rFonts w:hint="default"/>
        <w:color w:val="009CA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6767C5A"/>
    <w:multiLevelType w:val="hybridMultilevel"/>
    <w:tmpl w:val="A3CAEE14"/>
    <w:lvl w:ilvl="0" w:tplc="AAD4387E">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B7B0CAA"/>
    <w:multiLevelType w:val="hybridMultilevel"/>
    <w:tmpl w:val="D3560F7E"/>
    <w:lvl w:ilvl="0" w:tplc="F89AB74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CCB0455"/>
    <w:multiLevelType w:val="hybridMultilevel"/>
    <w:tmpl w:val="34089944"/>
    <w:lvl w:ilvl="0" w:tplc="BAF86AF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72802EA"/>
    <w:multiLevelType w:val="hybridMultilevel"/>
    <w:tmpl w:val="DE84EF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D78356D"/>
    <w:multiLevelType w:val="hybridMultilevel"/>
    <w:tmpl w:val="FBA46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7"/>
  </w:num>
  <w:num w:numId="4">
    <w:abstractNumId w:val="12"/>
  </w:num>
  <w:num w:numId="5">
    <w:abstractNumId w:val="11"/>
  </w:num>
  <w:num w:numId="6">
    <w:abstractNumId w:val="27"/>
  </w:num>
  <w:num w:numId="7">
    <w:abstractNumId w:val="16"/>
  </w:num>
  <w:num w:numId="8">
    <w:abstractNumId w:val="5"/>
  </w:num>
  <w:num w:numId="9">
    <w:abstractNumId w:val="15"/>
  </w:num>
  <w:num w:numId="10">
    <w:abstractNumId w:val="13"/>
  </w:num>
  <w:num w:numId="11">
    <w:abstractNumId w:val="23"/>
  </w:num>
  <w:num w:numId="12">
    <w:abstractNumId w:val="17"/>
  </w:num>
  <w:num w:numId="13">
    <w:abstractNumId w:val="10"/>
  </w:num>
  <w:num w:numId="14">
    <w:abstractNumId w:val="20"/>
  </w:num>
  <w:num w:numId="15">
    <w:abstractNumId w:val="0"/>
  </w:num>
  <w:num w:numId="16">
    <w:abstractNumId w:val="14"/>
  </w:num>
  <w:num w:numId="17">
    <w:abstractNumId w:val="26"/>
  </w:num>
  <w:num w:numId="18">
    <w:abstractNumId w:val="3"/>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
  </w:num>
  <w:num w:numId="23">
    <w:abstractNumId w:val="6"/>
  </w:num>
  <w:num w:numId="24">
    <w:abstractNumId w:val="8"/>
  </w:num>
  <w:num w:numId="25">
    <w:abstractNumId w:val="18"/>
  </w:num>
  <w:num w:numId="26">
    <w:abstractNumId w:val="25"/>
  </w:num>
  <w:num w:numId="27">
    <w:abstractNumId w:val="24"/>
  </w:num>
  <w:num w:numId="28">
    <w:abstractNumId w:val="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75"/>
    <w:rsid w:val="00007484"/>
    <w:rsid w:val="00013313"/>
    <w:rsid w:val="00070883"/>
    <w:rsid w:val="00077465"/>
    <w:rsid w:val="0008305D"/>
    <w:rsid w:val="00085A38"/>
    <w:rsid w:val="000F4E93"/>
    <w:rsid w:val="00131F81"/>
    <w:rsid w:val="0013778C"/>
    <w:rsid w:val="0014509E"/>
    <w:rsid w:val="001B789D"/>
    <w:rsid w:val="001D4742"/>
    <w:rsid w:val="001E099F"/>
    <w:rsid w:val="00202A83"/>
    <w:rsid w:val="00205767"/>
    <w:rsid w:val="00210291"/>
    <w:rsid w:val="00226A4E"/>
    <w:rsid w:val="00227038"/>
    <w:rsid w:val="00240D46"/>
    <w:rsid w:val="00292DC0"/>
    <w:rsid w:val="002B2653"/>
    <w:rsid w:val="002B6AFD"/>
    <w:rsid w:val="002F5730"/>
    <w:rsid w:val="00302576"/>
    <w:rsid w:val="00303EF8"/>
    <w:rsid w:val="003377A2"/>
    <w:rsid w:val="00361F1F"/>
    <w:rsid w:val="003C62B2"/>
    <w:rsid w:val="003D5BFD"/>
    <w:rsid w:val="004001D6"/>
    <w:rsid w:val="00405B39"/>
    <w:rsid w:val="0044224F"/>
    <w:rsid w:val="004516CD"/>
    <w:rsid w:val="0046159A"/>
    <w:rsid w:val="00465240"/>
    <w:rsid w:val="004679A9"/>
    <w:rsid w:val="0048740C"/>
    <w:rsid w:val="004969D7"/>
    <w:rsid w:val="004A4023"/>
    <w:rsid w:val="004A509D"/>
    <w:rsid w:val="004A7E75"/>
    <w:rsid w:val="004B327B"/>
    <w:rsid w:val="004D3B63"/>
    <w:rsid w:val="004F1D73"/>
    <w:rsid w:val="00504153"/>
    <w:rsid w:val="00513F8C"/>
    <w:rsid w:val="00516E07"/>
    <w:rsid w:val="005203BA"/>
    <w:rsid w:val="0052169C"/>
    <w:rsid w:val="005332B6"/>
    <w:rsid w:val="005377FC"/>
    <w:rsid w:val="00547049"/>
    <w:rsid w:val="00550361"/>
    <w:rsid w:val="00553F45"/>
    <w:rsid w:val="00573BB0"/>
    <w:rsid w:val="00596901"/>
    <w:rsid w:val="005A1E17"/>
    <w:rsid w:val="005B39A0"/>
    <w:rsid w:val="005E30AE"/>
    <w:rsid w:val="005E6841"/>
    <w:rsid w:val="00602D85"/>
    <w:rsid w:val="00604ACE"/>
    <w:rsid w:val="0060516B"/>
    <w:rsid w:val="006135DF"/>
    <w:rsid w:val="00622540"/>
    <w:rsid w:val="00622D13"/>
    <w:rsid w:val="00667151"/>
    <w:rsid w:val="00670B66"/>
    <w:rsid w:val="0067283E"/>
    <w:rsid w:val="006867C2"/>
    <w:rsid w:val="00693A24"/>
    <w:rsid w:val="006A62AB"/>
    <w:rsid w:val="006B0FE9"/>
    <w:rsid w:val="006B5E0C"/>
    <w:rsid w:val="006E25BB"/>
    <w:rsid w:val="00703D6C"/>
    <w:rsid w:val="007366A4"/>
    <w:rsid w:val="00750432"/>
    <w:rsid w:val="007563C4"/>
    <w:rsid w:val="00765E1B"/>
    <w:rsid w:val="00773B88"/>
    <w:rsid w:val="007821C4"/>
    <w:rsid w:val="00783FA6"/>
    <w:rsid w:val="0079338D"/>
    <w:rsid w:val="007B4922"/>
    <w:rsid w:val="007B61B0"/>
    <w:rsid w:val="007B6F61"/>
    <w:rsid w:val="00832D93"/>
    <w:rsid w:val="008416A3"/>
    <w:rsid w:val="00855341"/>
    <w:rsid w:val="00856934"/>
    <w:rsid w:val="00873438"/>
    <w:rsid w:val="00873AA8"/>
    <w:rsid w:val="00880F1B"/>
    <w:rsid w:val="00897CE2"/>
    <w:rsid w:val="008B0277"/>
    <w:rsid w:val="008B4B99"/>
    <w:rsid w:val="00921591"/>
    <w:rsid w:val="009232DC"/>
    <w:rsid w:val="00924C6E"/>
    <w:rsid w:val="00987E56"/>
    <w:rsid w:val="009A70E1"/>
    <w:rsid w:val="009A7B0C"/>
    <w:rsid w:val="009B3CDC"/>
    <w:rsid w:val="009B5947"/>
    <w:rsid w:val="009E77AF"/>
    <w:rsid w:val="00A147BA"/>
    <w:rsid w:val="00A412A9"/>
    <w:rsid w:val="00A47FDA"/>
    <w:rsid w:val="00AD4DA7"/>
    <w:rsid w:val="00AE1DCA"/>
    <w:rsid w:val="00B05FE3"/>
    <w:rsid w:val="00B065A8"/>
    <w:rsid w:val="00B10411"/>
    <w:rsid w:val="00B1729B"/>
    <w:rsid w:val="00B4484E"/>
    <w:rsid w:val="00B56104"/>
    <w:rsid w:val="00B70E7A"/>
    <w:rsid w:val="00B76222"/>
    <w:rsid w:val="00B804F6"/>
    <w:rsid w:val="00B97352"/>
    <w:rsid w:val="00BB3026"/>
    <w:rsid w:val="00BD4E57"/>
    <w:rsid w:val="00BE4338"/>
    <w:rsid w:val="00BE6F17"/>
    <w:rsid w:val="00BF1C97"/>
    <w:rsid w:val="00C90874"/>
    <w:rsid w:val="00CA7C48"/>
    <w:rsid w:val="00CB37A8"/>
    <w:rsid w:val="00CC0738"/>
    <w:rsid w:val="00CE2ED2"/>
    <w:rsid w:val="00CE4B33"/>
    <w:rsid w:val="00D01C6C"/>
    <w:rsid w:val="00D02572"/>
    <w:rsid w:val="00D14FA8"/>
    <w:rsid w:val="00D17F21"/>
    <w:rsid w:val="00D33AA5"/>
    <w:rsid w:val="00D344F6"/>
    <w:rsid w:val="00D65BAA"/>
    <w:rsid w:val="00D86222"/>
    <w:rsid w:val="00D93B41"/>
    <w:rsid w:val="00DA5703"/>
    <w:rsid w:val="00DC7FF1"/>
    <w:rsid w:val="00DD5101"/>
    <w:rsid w:val="00DE1572"/>
    <w:rsid w:val="00DE5686"/>
    <w:rsid w:val="00E03BE2"/>
    <w:rsid w:val="00E05969"/>
    <w:rsid w:val="00E1379C"/>
    <w:rsid w:val="00E326F8"/>
    <w:rsid w:val="00E55BDC"/>
    <w:rsid w:val="00E66567"/>
    <w:rsid w:val="00E924EA"/>
    <w:rsid w:val="00EC0CB7"/>
    <w:rsid w:val="00ED6EFA"/>
    <w:rsid w:val="00F11A14"/>
    <w:rsid w:val="00F232B3"/>
    <w:rsid w:val="00F26D3F"/>
    <w:rsid w:val="00F53E36"/>
    <w:rsid w:val="00F72771"/>
    <w:rsid w:val="00F74918"/>
    <w:rsid w:val="00F8376A"/>
    <w:rsid w:val="00FA4604"/>
    <w:rsid w:val="00FC6408"/>
    <w:rsid w:val="00FC6DDC"/>
    <w:rsid w:val="00FD26C2"/>
    <w:rsid w:val="00FD4044"/>
    <w:rsid w:val="00FD4B2E"/>
    <w:rsid w:val="00FE4E8B"/>
    <w:rsid w:val="00FF0C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EE3A"/>
  <w15:chartTrackingRefBased/>
  <w15:docId w15:val="{FA98D8EC-BD5C-4DED-A7F3-EEE617EA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numbered,Yellow Bullet,Normal bullet 2,Paragraph,List Paragraph (numbered (a)),Bullets,Medium Grid 1 - Accent 22,Dot pt,F5 List Paragraph,List Paragraph Char Char Char,Indicator Text,Numbered Para 1,List Paragraph1,EC,Listes,del"/>
    <w:basedOn w:val="Normal"/>
    <w:link w:val="ParagraphedelisteCar"/>
    <w:uiPriority w:val="34"/>
    <w:qFormat/>
    <w:rsid w:val="007B6F61"/>
    <w:pPr>
      <w:ind w:left="720"/>
      <w:contextualSpacing/>
    </w:pPr>
  </w:style>
  <w:style w:type="character" w:customStyle="1" w:styleId="ParagraphedelisteCar">
    <w:name w:val="Paragraphe de liste Car"/>
    <w:aliases w:val="List numbered Car,Yellow Bullet Car,Normal bullet 2 Car,Paragraph Car,List Paragraph (numbered (a)) Car,Bullets Car,Medium Grid 1 - Accent 22 Car,Dot pt Car,F5 List Paragraph Car,List Paragraph Char Char Char Car,EC Car,del Car"/>
    <w:basedOn w:val="Policepardfaut"/>
    <w:link w:val="Paragraphedeliste"/>
    <w:uiPriority w:val="34"/>
    <w:qFormat/>
    <w:locked/>
    <w:rsid w:val="007B6F61"/>
  </w:style>
  <w:style w:type="table" w:styleId="Grilledutableau">
    <w:name w:val="Table Grid"/>
    <w:basedOn w:val="TableauNormal"/>
    <w:uiPriority w:val="39"/>
    <w:rsid w:val="007B6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B6F61"/>
    <w:pPr>
      <w:tabs>
        <w:tab w:val="center" w:pos="4536"/>
        <w:tab w:val="right" w:pos="9072"/>
      </w:tabs>
      <w:spacing w:after="0" w:line="240" w:lineRule="auto"/>
    </w:pPr>
  </w:style>
  <w:style w:type="character" w:customStyle="1" w:styleId="En-tteCar">
    <w:name w:val="En-tête Car"/>
    <w:basedOn w:val="Policepardfaut"/>
    <w:link w:val="En-tte"/>
    <w:uiPriority w:val="99"/>
    <w:rsid w:val="007B6F61"/>
  </w:style>
  <w:style w:type="paragraph" w:styleId="Pieddepage">
    <w:name w:val="footer"/>
    <w:basedOn w:val="Normal"/>
    <w:link w:val="PieddepageCar"/>
    <w:uiPriority w:val="99"/>
    <w:unhideWhenUsed/>
    <w:rsid w:val="007B6F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6F61"/>
  </w:style>
  <w:style w:type="paragraph" w:styleId="NormalWeb">
    <w:name w:val="Normal (Web)"/>
    <w:basedOn w:val="Normal"/>
    <w:uiPriority w:val="99"/>
    <w:unhideWhenUsed/>
    <w:rsid w:val="007B6F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edebasdepageCar">
    <w:name w:val="Note de bas de page Car"/>
    <w:aliases w:val="Funotentext Char Char2 Car,Char Char1 Char2 Car,Funotentext Char Char Char1 Car,Char Char1 Char Char1 Car,Fu Car,Footnote Car,Footnote Text Char1 Char Car,Footnote Text Char Char Char Car,Footnote Text Char1 Char Char Char Car"/>
    <w:link w:val="Notedebasdepage"/>
    <w:uiPriority w:val="99"/>
    <w:qFormat/>
    <w:locked/>
    <w:rsid w:val="007B6F61"/>
    <w:rPr>
      <w:rFonts w:ascii="Arial" w:hAnsi="Arial" w:cs="Arial"/>
      <w:lang w:val="en-GB"/>
    </w:rPr>
  </w:style>
  <w:style w:type="paragraph" w:styleId="Notedebasdepage">
    <w:name w:val="footnote text"/>
    <w:aliases w:val="Funotentext Char Char2,Char Char1 Char2,Funotentext Char Char Char1,Char Char1 Char Char1,Fu,Footnote,Footnote Text Char1 Char,Footnote Text Char Char Char,Footnote Text Char1 Char Char Char,Fußnotentext Char,Fußnotentext Char1 Char1"/>
    <w:basedOn w:val="Normal"/>
    <w:link w:val="NotedebasdepageCar"/>
    <w:uiPriority w:val="99"/>
    <w:unhideWhenUsed/>
    <w:qFormat/>
    <w:rsid w:val="007B6F61"/>
    <w:pPr>
      <w:spacing w:after="0" w:line="240" w:lineRule="auto"/>
      <w:jc w:val="both"/>
    </w:pPr>
    <w:rPr>
      <w:rFonts w:ascii="Arial" w:hAnsi="Arial" w:cs="Arial"/>
      <w:lang w:val="en-GB"/>
    </w:rPr>
  </w:style>
  <w:style w:type="character" w:customStyle="1" w:styleId="NotedebasdepageCar1">
    <w:name w:val="Note de bas de page Car1"/>
    <w:basedOn w:val="Policepardfaut"/>
    <w:uiPriority w:val="99"/>
    <w:semiHidden/>
    <w:rsid w:val="007B6F61"/>
    <w:rPr>
      <w:sz w:val="20"/>
      <w:szCs w:val="20"/>
    </w:rPr>
  </w:style>
  <w:style w:type="character" w:styleId="Appelnotedebasdep">
    <w:name w:val="footnote reference"/>
    <w:aliases w:val="ftref,16 Point,Superscript 6 Point,SUPERS,Footnote Reference Number,BVI fnr,ftref Char,BVI fnr Char,BVI fnr Car Char,Char Char Car Char,16 Point Char,Footnote Reference_LVL6,Footnote Reference_LVL61,Footnote Reference_LVL62,fr,o"/>
    <w:link w:val="Char2"/>
    <w:uiPriority w:val="99"/>
    <w:unhideWhenUsed/>
    <w:qFormat/>
    <w:rsid w:val="007B6F61"/>
    <w:rPr>
      <w:vertAlign w:val="superscript"/>
    </w:rPr>
  </w:style>
  <w:style w:type="paragraph" w:customStyle="1" w:styleId="Char2">
    <w:name w:val="Char2"/>
    <w:basedOn w:val="Normal"/>
    <w:link w:val="Appelnotedebasdep"/>
    <w:uiPriority w:val="99"/>
    <w:rsid w:val="007B6F61"/>
    <w:pPr>
      <w:spacing w:line="240" w:lineRule="exact"/>
    </w:pPr>
    <w:rPr>
      <w:vertAlign w:val="superscript"/>
    </w:rPr>
  </w:style>
  <w:style w:type="character" w:styleId="Lienhypertexte">
    <w:name w:val="Hyperlink"/>
    <w:basedOn w:val="Policepardfaut"/>
    <w:uiPriority w:val="99"/>
    <w:unhideWhenUsed/>
    <w:rsid w:val="007B6F61"/>
    <w:rPr>
      <w:color w:val="0563C1" w:themeColor="hyperlink"/>
      <w:u w:val="single"/>
    </w:rPr>
  </w:style>
  <w:style w:type="character" w:styleId="Marquedecommentaire">
    <w:name w:val="annotation reference"/>
    <w:basedOn w:val="Policepardfaut"/>
    <w:uiPriority w:val="99"/>
    <w:semiHidden/>
    <w:unhideWhenUsed/>
    <w:rsid w:val="00622540"/>
    <w:rPr>
      <w:sz w:val="16"/>
      <w:szCs w:val="16"/>
    </w:rPr>
  </w:style>
  <w:style w:type="paragraph" w:styleId="Commentaire">
    <w:name w:val="annotation text"/>
    <w:basedOn w:val="Normal"/>
    <w:link w:val="CommentaireCar"/>
    <w:uiPriority w:val="99"/>
    <w:semiHidden/>
    <w:unhideWhenUsed/>
    <w:rsid w:val="00622540"/>
    <w:pPr>
      <w:spacing w:line="240" w:lineRule="auto"/>
    </w:pPr>
    <w:rPr>
      <w:sz w:val="20"/>
      <w:szCs w:val="20"/>
    </w:rPr>
  </w:style>
  <w:style w:type="character" w:customStyle="1" w:styleId="CommentaireCar">
    <w:name w:val="Commentaire Car"/>
    <w:basedOn w:val="Policepardfaut"/>
    <w:link w:val="Commentaire"/>
    <w:uiPriority w:val="99"/>
    <w:semiHidden/>
    <w:rsid w:val="00622540"/>
    <w:rPr>
      <w:sz w:val="20"/>
      <w:szCs w:val="20"/>
    </w:rPr>
  </w:style>
  <w:style w:type="paragraph" w:styleId="Objetducommentaire">
    <w:name w:val="annotation subject"/>
    <w:basedOn w:val="Commentaire"/>
    <w:next w:val="Commentaire"/>
    <w:link w:val="ObjetducommentaireCar"/>
    <w:uiPriority w:val="99"/>
    <w:semiHidden/>
    <w:unhideWhenUsed/>
    <w:rsid w:val="00622540"/>
    <w:rPr>
      <w:b/>
      <w:bCs/>
    </w:rPr>
  </w:style>
  <w:style w:type="character" w:customStyle="1" w:styleId="ObjetducommentaireCar">
    <w:name w:val="Objet du commentaire Car"/>
    <w:basedOn w:val="CommentaireCar"/>
    <w:link w:val="Objetducommentaire"/>
    <w:uiPriority w:val="99"/>
    <w:semiHidden/>
    <w:rsid w:val="00622540"/>
    <w:rPr>
      <w:b/>
      <w:bCs/>
      <w:sz w:val="20"/>
      <w:szCs w:val="20"/>
    </w:rPr>
  </w:style>
  <w:style w:type="paragraph" w:styleId="Textedebulles">
    <w:name w:val="Balloon Text"/>
    <w:basedOn w:val="Normal"/>
    <w:link w:val="TextedebullesCar"/>
    <w:uiPriority w:val="99"/>
    <w:semiHidden/>
    <w:unhideWhenUsed/>
    <w:rsid w:val="006225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2540"/>
    <w:rPr>
      <w:rFonts w:ascii="Segoe UI" w:hAnsi="Segoe UI" w:cs="Segoe UI"/>
      <w:sz w:val="18"/>
      <w:szCs w:val="18"/>
    </w:rPr>
  </w:style>
  <w:style w:type="character" w:styleId="lev">
    <w:name w:val="Strong"/>
    <w:basedOn w:val="Policepardfaut"/>
    <w:uiPriority w:val="22"/>
    <w:qFormat/>
    <w:rsid w:val="00B7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50">
      <w:bodyDiv w:val="1"/>
      <w:marLeft w:val="0"/>
      <w:marRight w:val="0"/>
      <w:marTop w:val="0"/>
      <w:marBottom w:val="0"/>
      <w:divBdr>
        <w:top w:val="none" w:sz="0" w:space="0" w:color="auto"/>
        <w:left w:val="none" w:sz="0" w:space="0" w:color="auto"/>
        <w:bottom w:val="none" w:sz="0" w:space="0" w:color="auto"/>
        <w:right w:val="none" w:sz="0" w:space="0" w:color="auto"/>
      </w:divBdr>
    </w:div>
    <w:div w:id="129520298">
      <w:bodyDiv w:val="1"/>
      <w:marLeft w:val="0"/>
      <w:marRight w:val="0"/>
      <w:marTop w:val="0"/>
      <w:marBottom w:val="0"/>
      <w:divBdr>
        <w:top w:val="none" w:sz="0" w:space="0" w:color="auto"/>
        <w:left w:val="none" w:sz="0" w:space="0" w:color="auto"/>
        <w:bottom w:val="none" w:sz="0" w:space="0" w:color="auto"/>
        <w:right w:val="none" w:sz="0" w:space="0" w:color="auto"/>
      </w:divBdr>
    </w:div>
    <w:div w:id="1086612355">
      <w:bodyDiv w:val="1"/>
      <w:marLeft w:val="0"/>
      <w:marRight w:val="0"/>
      <w:marTop w:val="0"/>
      <w:marBottom w:val="0"/>
      <w:divBdr>
        <w:top w:val="none" w:sz="0" w:space="0" w:color="auto"/>
        <w:left w:val="none" w:sz="0" w:space="0" w:color="auto"/>
        <w:bottom w:val="none" w:sz="0" w:space="0" w:color="auto"/>
        <w:right w:val="none" w:sz="0" w:space="0" w:color="auto"/>
      </w:divBdr>
    </w:div>
    <w:div w:id="1179007962">
      <w:bodyDiv w:val="1"/>
      <w:marLeft w:val="0"/>
      <w:marRight w:val="0"/>
      <w:marTop w:val="0"/>
      <w:marBottom w:val="0"/>
      <w:divBdr>
        <w:top w:val="none" w:sz="0" w:space="0" w:color="auto"/>
        <w:left w:val="none" w:sz="0" w:space="0" w:color="auto"/>
        <w:bottom w:val="none" w:sz="0" w:space="0" w:color="auto"/>
        <w:right w:val="none" w:sz="0" w:space="0" w:color="auto"/>
      </w:divBdr>
    </w:div>
    <w:div w:id="1265457429">
      <w:bodyDiv w:val="1"/>
      <w:marLeft w:val="0"/>
      <w:marRight w:val="0"/>
      <w:marTop w:val="0"/>
      <w:marBottom w:val="0"/>
      <w:divBdr>
        <w:top w:val="none" w:sz="0" w:space="0" w:color="auto"/>
        <w:left w:val="none" w:sz="0" w:space="0" w:color="auto"/>
        <w:bottom w:val="none" w:sz="0" w:space="0" w:color="auto"/>
        <w:right w:val="none" w:sz="0" w:space="0" w:color="auto"/>
      </w:divBdr>
    </w:div>
    <w:div w:id="1370955566">
      <w:bodyDiv w:val="1"/>
      <w:marLeft w:val="0"/>
      <w:marRight w:val="0"/>
      <w:marTop w:val="0"/>
      <w:marBottom w:val="0"/>
      <w:divBdr>
        <w:top w:val="none" w:sz="0" w:space="0" w:color="auto"/>
        <w:left w:val="none" w:sz="0" w:space="0" w:color="auto"/>
        <w:bottom w:val="none" w:sz="0" w:space="0" w:color="auto"/>
        <w:right w:val="none" w:sz="0" w:space="0" w:color="auto"/>
      </w:divBdr>
    </w:div>
    <w:div w:id="18075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ovi.tn/wp-content/uploads/2024/06/Charte-verte-Greenovi-VF.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reenovi.tn/wp-content/uploads/2025/01/Greenovi-Plan-dAction-Genre-Synthese-122024.pdf" TargetMode="External"/><Relationship Id="rId4" Type="http://schemas.openxmlformats.org/officeDocument/2006/relationships/settings" Target="settings.xml"/><Relationship Id="rId9" Type="http://schemas.openxmlformats.org/officeDocument/2006/relationships/hyperlink" Target="https://greenovi.tn/wp-content/uploads/2024/07/glossaire-.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squadeasy.com/blog/empreinte-carbone/taxe-carbone-calcul-fonctionnement-et-prix" TargetMode="External"/><Relationship Id="rId1" Type="http://schemas.openxmlformats.org/officeDocument/2006/relationships/hyperlink" Target="https://globalclimateinitiatives.com/taxe-carbone-impacts-entreprises-prepa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DFB4B-4461-40CE-AF89-C95C137B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6716</Words>
  <Characters>36944</Characters>
  <Application>Microsoft Office Word</Application>
  <DocSecurity>0</DocSecurity>
  <Lines>307</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MARCELLI</dc:creator>
  <cp:keywords/>
  <dc:description/>
  <cp:lastModifiedBy>Jennifer JONES CHAPET</cp:lastModifiedBy>
  <cp:revision>2</cp:revision>
  <dcterms:created xsi:type="dcterms:W3CDTF">2025-08-08T08:52:00Z</dcterms:created>
  <dcterms:modified xsi:type="dcterms:W3CDTF">2025-08-08T08:52:00Z</dcterms:modified>
</cp:coreProperties>
</file>