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EEAEF" w14:textId="77777777" w:rsidR="001E168F" w:rsidRDefault="001E168F" w:rsidP="001E168F">
      <w:pPr>
        <w:spacing w:before="120"/>
        <w:rPr>
          <w:b/>
          <w:bCs/>
          <w:color w:val="263375"/>
          <w:sz w:val="52"/>
          <w:szCs w:val="52"/>
        </w:rPr>
      </w:pPr>
    </w:p>
    <w:p w14:paraId="5C47CC5B" w14:textId="77777777" w:rsidR="001E168F" w:rsidRDefault="001E168F" w:rsidP="001E168F">
      <w:pPr>
        <w:spacing w:before="120"/>
        <w:rPr>
          <w:b/>
          <w:bCs/>
          <w:color w:val="263375"/>
          <w:sz w:val="52"/>
          <w:szCs w:val="52"/>
        </w:rPr>
      </w:pPr>
    </w:p>
    <w:p w14:paraId="4977B0B9" w14:textId="77777777" w:rsidR="001E168F" w:rsidRDefault="001E168F" w:rsidP="001E168F">
      <w:pPr>
        <w:spacing w:before="120"/>
        <w:rPr>
          <w:b/>
          <w:bCs/>
          <w:color w:val="263375"/>
          <w:sz w:val="52"/>
          <w:szCs w:val="52"/>
        </w:rPr>
      </w:pPr>
    </w:p>
    <w:p w14:paraId="0FC3981B" w14:textId="77777777" w:rsidR="001E168F" w:rsidRDefault="001E168F" w:rsidP="001E168F">
      <w:pPr>
        <w:spacing w:before="120"/>
        <w:rPr>
          <w:b/>
          <w:bCs/>
          <w:color w:val="263375"/>
          <w:sz w:val="52"/>
          <w:szCs w:val="52"/>
        </w:rPr>
      </w:pPr>
      <w:r>
        <w:rPr>
          <w:b/>
          <w:bCs/>
          <w:color w:val="263375"/>
          <w:sz w:val="52"/>
          <w:szCs w:val="52"/>
        </w:rPr>
        <w:t>Assistance Technique dans le cadre du projet Choose Africa 2 - Bénin</w:t>
      </w:r>
    </w:p>
    <w:p w14:paraId="5DAEF0B0" w14:textId="77777777" w:rsidR="001E168F" w:rsidRDefault="001E168F" w:rsidP="001E168F">
      <w:pPr>
        <w:spacing w:before="120"/>
        <w:rPr>
          <w:b/>
          <w:bCs/>
          <w:color w:val="263375"/>
          <w:sz w:val="52"/>
          <w:szCs w:val="52"/>
        </w:rPr>
      </w:pPr>
    </w:p>
    <w:p w14:paraId="1B548893" w14:textId="77777777" w:rsidR="00DF4FA8" w:rsidRDefault="00DF4FA8" w:rsidP="001E168F">
      <w:pPr>
        <w:spacing w:before="120"/>
        <w:rPr>
          <w:b/>
          <w:bCs/>
          <w:color w:val="263375"/>
          <w:sz w:val="52"/>
          <w:szCs w:val="52"/>
        </w:rPr>
      </w:pPr>
    </w:p>
    <w:p w14:paraId="150833D1" w14:textId="77777777" w:rsidR="001E168F" w:rsidRPr="00DF4FA8" w:rsidRDefault="001E168F" w:rsidP="001E168F">
      <w:pPr>
        <w:spacing w:before="120"/>
        <w:rPr>
          <w:color w:val="auto"/>
          <w:sz w:val="16"/>
        </w:rPr>
      </w:pPr>
      <w:r>
        <w:rPr>
          <w:b/>
          <w:bCs/>
          <w:color w:val="auto"/>
          <w:sz w:val="40"/>
          <w:szCs w:val="52"/>
        </w:rPr>
        <w:t>Termes de référence</w:t>
      </w:r>
    </w:p>
    <w:p w14:paraId="76B8862E" w14:textId="77777777" w:rsidR="001E168F" w:rsidRPr="00DF4FA8" w:rsidRDefault="00DF4FA8" w:rsidP="00DF4FA8">
      <w:pPr>
        <w:pBdr>
          <w:bottom w:val="single" w:sz="12" w:space="12" w:color="015B54"/>
        </w:pBdr>
        <w:spacing w:after="260"/>
        <w:rPr>
          <w:b/>
          <w:bCs/>
          <w:color w:val="auto"/>
          <w:sz w:val="44"/>
          <w:szCs w:val="40"/>
        </w:rPr>
      </w:pPr>
      <w:r>
        <w:rPr>
          <w:b/>
          <w:bCs/>
          <w:color w:val="auto"/>
          <w:sz w:val="44"/>
          <w:szCs w:val="40"/>
        </w:rPr>
        <w:t>Audit organisationnel et fonctionnel de l’ADPME</w:t>
      </w:r>
    </w:p>
    <w:p w14:paraId="200087D3" w14:textId="77777777" w:rsidR="00F819D9" w:rsidRDefault="006F1617">
      <w:r>
        <w:br w:type="page"/>
      </w:r>
    </w:p>
    <w:p w14:paraId="4F677FE5" w14:textId="77777777" w:rsidR="00F819D9" w:rsidRDefault="006F1617">
      <w:pPr>
        <w:spacing w:after="200"/>
      </w:pPr>
      <w:r>
        <w:rPr>
          <w:b/>
          <w:bCs/>
          <w:color w:val="263375"/>
          <w:sz w:val="32"/>
          <w:szCs w:val="32"/>
        </w:rPr>
        <w:lastRenderedPageBreak/>
        <w:t>Sommaire</w:t>
      </w:r>
    </w:p>
    <w:p w14:paraId="50A250A7" w14:textId="77777777" w:rsidR="00F819D9" w:rsidRDefault="006F1617">
      <w:pPr>
        <w:tabs>
          <w:tab w:val="right" w:leader="dot" w:pos="9350"/>
        </w:tabs>
        <w:spacing w:after="130" w:line="264" w:lineRule="auto"/>
      </w:pPr>
      <w:r>
        <w:rPr>
          <w:sz w:val="22"/>
          <w:szCs w:val="22"/>
        </w:rPr>
        <w:t>1.  Contexte et justification</w:t>
      </w:r>
      <w:r>
        <w:rPr>
          <w:b/>
          <w:bCs/>
          <w:color w:val="263375"/>
          <w:sz w:val="22"/>
          <w:szCs w:val="22"/>
        </w:rPr>
        <w:tab/>
        <w:t>3</w:t>
      </w:r>
    </w:p>
    <w:p w14:paraId="7DFCF60C" w14:textId="77777777" w:rsidR="00F819D9" w:rsidRDefault="006F1617">
      <w:pPr>
        <w:tabs>
          <w:tab w:val="right" w:leader="dot" w:pos="9350"/>
        </w:tabs>
        <w:spacing w:after="130" w:line="264" w:lineRule="auto"/>
      </w:pPr>
      <w:r>
        <w:rPr>
          <w:sz w:val="22"/>
          <w:szCs w:val="22"/>
        </w:rPr>
        <w:t>2.  Objectifs de la mission</w:t>
      </w:r>
      <w:r>
        <w:rPr>
          <w:b/>
          <w:bCs/>
          <w:color w:val="263375"/>
          <w:sz w:val="22"/>
          <w:szCs w:val="22"/>
        </w:rPr>
        <w:tab/>
        <w:t>4</w:t>
      </w:r>
    </w:p>
    <w:p w14:paraId="6C783353" w14:textId="77777777" w:rsidR="00F819D9" w:rsidRDefault="006F1617">
      <w:pPr>
        <w:tabs>
          <w:tab w:val="right" w:leader="dot" w:pos="9350"/>
        </w:tabs>
        <w:spacing w:after="130" w:line="264" w:lineRule="auto"/>
      </w:pPr>
      <w:r>
        <w:rPr>
          <w:sz w:val="22"/>
          <w:szCs w:val="22"/>
        </w:rPr>
        <w:t>3.  Cadre de référence : la cible fonctionnelle de l'Agence</w:t>
      </w:r>
      <w:r>
        <w:rPr>
          <w:b/>
          <w:bCs/>
          <w:color w:val="263375"/>
          <w:sz w:val="22"/>
          <w:szCs w:val="22"/>
        </w:rPr>
        <w:tab/>
        <w:t>4</w:t>
      </w:r>
    </w:p>
    <w:p w14:paraId="5A55F8DA" w14:textId="77777777" w:rsidR="00F819D9" w:rsidRDefault="006F1617">
      <w:pPr>
        <w:tabs>
          <w:tab w:val="right" w:leader="dot" w:pos="9350"/>
        </w:tabs>
        <w:spacing w:after="130" w:line="264" w:lineRule="auto"/>
      </w:pPr>
      <w:r>
        <w:rPr>
          <w:sz w:val="22"/>
          <w:szCs w:val="22"/>
        </w:rPr>
        <w:t>4.  Périmètre et champ de l'audit</w:t>
      </w:r>
      <w:r>
        <w:rPr>
          <w:b/>
          <w:bCs/>
          <w:color w:val="263375"/>
          <w:sz w:val="22"/>
          <w:szCs w:val="22"/>
        </w:rPr>
        <w:tab/>
        <w:t>5</w:t>
      </w:r>
    </w:p>
    <w:p w14:paraId="2F38AD38" w14:textId="77777777" w:rsidR="00F819D9" w:rsidRDefault="006F1617">
      <w:pPr>
        <w:tabs>
          <w:tab w:val="right" w:leader="dot" w:pos="9350"/>
        </w:tabs>
        <w:spacing w:after="130" w:line="264" w:lineRule="auto"/>
      </w:pPr>
      <w:r>
        <w:rPr>
          <w:sz w:val="22"/>
          <w:szCs w:val="22"/>
        </w:rPr>
        <w:t>5.  Approche méthodologique</w:t>
      </w:r>
      <w:r>
        <w:rPr>
          <w:b/>
          <w:bCs/>
          <w:color w:val="263375"/>
          <w:sz w:val="22"/>
          <w:szCs w:val="22"/>
        </w:rPr>
        <w:tab/>
        <w:t>6</w:t>
      </w:r>
    </w:p>
    <w:p w14:paraId="2C5A1802" w14:textId="77777777" w:rsidR="00F819D9" w:rsidRDefault="006F1617">
      <w:pPr>
        <w:tabs>
          <w:tab w:val="right" w:leader="dot" w:pos="9350"/>
        </w:tabs>
        <w:spacing w:after="130" w:line="264" w:lineRule="auto"/>
      </w:pPr>
      <w:r>
        <w:rPr>
          <w:sz w:val="22"/>
          <w:szCs w:val="22"/>
        </w:rPr>
        <w:t>6.  Questions d'audit détaillées</w:t>
      </w:r>
      <w:r>
        <w:rPr>
          <w:b/>
          <w:bCs/>
          <w:color w:val="263375"/>
          <w:sz w:val="22"/>
          <w:szCs w:val="22"/>
        </w:rPr>
        <w:tab/>
        <w:t>7</w:t>
      </w:r>
    </w:p>
    <w:p w14:paraId="1757D654" w14:textId="77777777" w:rsidR="00F819D9" w:rsidRDefault="006F1617">
      <w:pPr>
        <w:tabs>
          <w:tab w:val="right" w:leader="dot" w:pos="9350"/>
        </w:tabs>
        <w:spacing w:after="130" w:line="264" w:lineRule="auto"/>
      </w:pPr>
      <w:r>
        <w:rPr>
          <w:sz w:val="22"/>
          <w:szCs w:val="22"/>
        </w:rPr>
        <w:t>7.  Livrables attendus</w:t>
      </w:r>
      <w:r>
        <w:rPr>
          <w:b/>
          <w:bCs/>
          <w:color w:val="263375"/>
          <w:sz w:val="22"/>
          <w:szCs w:val="22"/>
        </w:rPr>
        <w:tab/>
        <w:t>9</w:t>
      </w:r>
    </w:p>
    <w:p w14:paraId="1FC60093" w14:textId="77777777" w:rsidR="00F819D9" w:rsidRDefault="006F1617">
      <w:pPr>
        <w:tabs>
          <w:tab w:val="right" w:leader="dot" w:pos="9350"/>
        </w:tabs>
        <w:spacing w:after="130" w:line="264" w:lineRule="auto"/>
      </w:pPr>
      <w:r>
        <w:rPr>
          <w:sz w:val="22"/>
          <w:szCs w:val="22"/>
        </w:rPr>
        <w:t>8.  Profil du Consultant</w:t>
      </w:r>
      <w:r>
        <w:rPr>
          <w:b/>
          <w:bCs/>
          <w:color w:val="263375"/>
          <w:sz w:val="22"/>
          <w:szCs w:val="22"/>
        </w:rPr>
        <w:tab/>
        <w:t>9</w:t>
      </w:r>
    </w:p>
    <w:p w14:paraId="0A10D9C1" w14:textId="77777777" w:rsidR="00F819D9" w:rsidRDefault="006F1617">
      <w:pPr>
        <w:tabs>
          <w:tab w:val="right" w:leader="dot" w:pos="9350"/>
        </w:tabs>
        <w:spacing w:after="130" w:line="264" w:lineRule="auto"/>
      </w:pPr>
      <w:r>
        <w:rPr>
          <w:sz w:val="22"/>
          <w:szCs w:val="22"/>
        </w:rPr>
        <w:t>9.  Gouvernance de la mission</w:t>
      </w:r>
      <w:r>
        <w:rPr>
          <w:b/>
          <w:bCs/>
          <w:color w:val="263375"/>
          <w:sz w:val="22"/>
          <w:szCs w:val="22"/>
        </w:rPr>
        <w:tab/>
        <w:t>10</w:t>
      </w:r>
    </w:p>
    <w:p w14:paraId="437E6621" w14:textId="77777777" w:rsidR="00F819D9" w:rsidRDefault="006F1617">
      <w:pPr>
        <w:tabs>
          <w:tab w:val="right" w:leader="dot" w:pos="9350"/>
        </w:tabs>
        <w:spacing w:after="130" w:line="264" w:lineRule="auto"/>
      </w:pPr>
      <w:r>
        <w:rPr>
          <w:sz w:val="22"/>
          <w:szCs w:val="22"/>
        </w:rPr>
        <w:t>10.  Durée, calendrier et budget</w:t>
      </w:r>
      <w:r>
        <w:rPr>
          <w:b/>
          <w:bCs/>
          <w:color w:val="263375"/>
          <w:sz w:val="22"/>
          <w:szCs w:val="22"/>
        </w:rPr>
        <w:tab/>
        <w:t>10</w:t>
      </w:r>
    </w:p>
    <w:p w14:paraId="6320CF7C" w14:textId="77777777" w:rsidR="00F819D9" w:rsidRDefault="006F1617">
      <w:pPr>
        <w:tabs>
          <w:tab w:val="right" w:leader="dot" w:pos="9350"/>
        </w:tabs>
        <w:spacing w:after="130" w:line="264" w:lineRule="auto"/>
      </w:pPr>
      <w:r>
        <w:rPr>
          <w:sz w:val="22"/>
          <w:szCs w:val="22"/>
        </w:rPr>
        <w:t>11.  Modalités de soumission et de sélection</w:t>
      </w:r>
      <w:r>
        <w:rPr>
          <w:b/>
          <w:bCs/>
          <w:color w:val="263375"/>
          <w:sz w:val="22"/>
          <w:szCs w:val="22"/>
        </w:rPr>
        <w:tab/>
        <w:t>10</w:t>
      </w:r>
    </w:p>
    <w:p w14:paraId="7CC4BD88" w14:textId="77777777" w:rsidR="00F819D9" w:rsidRDefault="006F1617">
      <w:pPr>
        <w:tabs>
          <w:tab w:val="right" w:leader="dot" w:pos="9350"/>
        </w:tabs>
        <w:spacing w:after="130" w:line="264" w:lineRule="auto"/>
      </w:pPr>
      <w:r>
        <w:rPr>
          <w:sz w:val="22"/>
          <w:szCs w:val="22"/>
        </w:rPr>
        <w:t>12.  Documentation mise à disposition</w:t>
      </w:r>
      <w:r>
        <w:rPr>
          <w:b/>
          <w:bCs/>
          <w:color w:val="263375"/>
          <w:sz w:val="22"/>
          <w:szCs w:val="22"/>
        </w:rPr>
        <w:tab/>
        <w:t>11</w:t>
      </w:r>
    </w:p>
    <w:p w14:paraId="22A8036B" w14:textId="77777777" w:rsidR="00F819D9" w:rsidRDefault="006F1617">
      <w:r>
        <w:br w:type="page"/>
      </w:r>
    </w:p>
    <w:p w14:paraId="2297E0D6" w14:textId="77777777" w:rsidR="00F819D9" w:rsidRDefault="006F1617" w:rsidP="00DF4FA8">
      <w:pPr>
        <w:pStyle w:val="Titre1"/>
        <w:tabs>
          <w:tab w:val="right" w:pos="9506"/>
        </w:tabs>
        <w:spacing w:before="320" w:after="140"/>
      </w:pPr>
      <w:r>
        <w:rPr>
          <w:b/>
          <w:bCs/>
          <w:color w:val="263375"/>
          <w:sz w:val="30"/>
          <w:szCs w:val="30"/>
        </w:rPr>
        <w:t>1. Contexte et justification</w:t>
      </w:r>
      <w:r>
        <w:rPr>
          <w:b/>
          <w:bCs/>
          <w:color w:val="263375"/>
          <w:sz w:val="30"/>
          <w:szCs w:val="30"/>
        </w:rPr>
        <w:tab/>
      </w:r>
    </w:p>
    <w:p w14:paraId="379937BA" w14:textId="77777777" w:rsidR="00F819D9" w:rsidRDefault="006F1617">
      <w:pPr>
        <w:pStyle w:val="Titre2"/>
        <w:spacing w:before="220" w:after="100"/>
      </w:pPr>
      <w:r>
        <w:rPr>
          <w:b/>
          <w:bCs/>
          <w:color w:val="015B54"/>
          <w:sz w:val="24"/>
          <w:szCs w:val="24"/>
        </w:rPr>
        <w:t>1.1. Contexte institutionnel</w:t>
      </w:r>
    </w:p>
    <w:p w14:paraId="0BFBA713" w14:textId="77777777" w:rsidR="00F819D9" w:rsidRDefault="006F1617">
      <w:pPr>
        <w:spacing w:after="120" w:line="276" w:lineRule="auto"/>
        <w:jc w:val="both"/>
      </w:pPr>
      <w:r>
        <w:t xml:space="preserve">L'Agence de Développement des Petites et Moyennes Entreprises (ADPME) est le guichet unique de promotion et de développement des micros, petites et moyennes entreprises (MPME) au Bénin. Elle a été créée par le </w:t>
      </w:r>
      <w:r>
        <w:rPr>
          <w:bCs/>
        </w:rPr>
        <w:t>décret n°2022-199 du 23 mars 2022</w:t>
      </w:r>
      <w:r>
        <w:t xml:space="preserve"> et opère dans le cadre de la </w:t>
      </w:r>
      <w:r>
        <w:rPr>
          <w:bCs/>
        </w:rPr>
        <w:t>loi n°2020-03 du 20 mars 2020</w:t>
      </w:r>
      <w:r>
        <w:t xml:space="preserve"> portant promotion des PME, sous la tutelle du ministère en charge des PME.</w:t>
      </w:r>
    </w:p>
    <w:p w14:paraId="504548D6" w14:textId="2C46F71A" w:rsidR="007A7B4E" w:rsidRDefault="003512D9" w:rsidP="003512D9">
      <w:pPr>
        <w:spacing w:after="120" w:line="276" w:lineRule="auto"/>
        <w:jc w:val="both"/>
      </w:pPr>
      <w:r>
        <w:t xml:space="preserve">L'Agence a engagé sa structuration et son opérationnalisation en 2023. Son action s'inscrit dans les orientations de la </w:t>
      </w:r>
      <w:r>
        <w:rPr>
          <w:bCs/>
        </w:rPr>
        <w:t>Politique Nationale (PNPDPME 2025-2034)</w:t>
      </w:r>
      <w:r w:rsidR="00F10125">
        <w:t xml:space="preserve">, </w:t>
      </w:r>
      <w:r>
        <w:t xml:space="preserve">de la </w:t>
      </w:r>
      <w:r>
        <w:rPr>
          <w:bCs/>
        </w:rPr>
        <w:t>Stratégie Nationale (SNPDPME 2025-2029)</w:t>
      </w:r>
      <w:r>
        <w:t xml:space="preserve"> de promotion et de développement des PME et du Plan Stratégique 2025 – 2029 de l’ADPME. Si des progrès notables ont été enregistrés depuis lors, </w:t>
      </w:r>
      <w:r w:rsidR="00AD37A0">
        <w:t xml:space="preserve">notamment dans le cadre du PAEB et du dispositif d’assistance technique dédiée, </w:t>
      </w:r>
      <w:r>
        <w:t>l’Agence ne fait pas moins face à des défis majeurs pour se consolider durablement et jouer pleinement son rôle — celui d'opérateur de la politique de l'État béninois en faveur des PME, et d'interlocuteur crédible et légitime auprès de l'écosystème.</w:t>
      </w:r>
    </w:p>
    <w:p w14:paraId="0D0817C8" w14:textId="77777777" w:rsidR="00A775E8" w:rsidRDefault="00A775E8" w:rsidP="003512D9">
      <w:pPr>
        <w:spacing w:after="120" w:line="276" w:lineRule="auto"/>
        <w:jc w:val="both"/>
      </w:pPr>
      <w:r>
        <w:t>Elle fait donc face à des défis fonctionnels et opérationnels alors qu’elle dispose d’un cadre global d’intervention clair et d’une doctrine approuvée en Conseil des Ministres.</w:t>
      </w:r>
    </w:p>
    <w:p w14:paraId="0A850590" w14:textId="13DBFFDD" w:rsidR="003512D9" w:rsidRDefault="003512D9" w:rsidP="003512D9">
      <w:pPr>
        <w:spacing w:after="120" w:line="276" w:lineRule="auto"/>
        <w:jc w:val="both"/>
      </w:pPr>
      <w:r>
        <w:t>L'arrivée d'une nouvelle Directrice Générale</w:t>
      </w:r>
      <w:r w:rsidR="00AD37A0">
        <w:t xml:space="preserve"> en juillet 2026</w:t>
      </w:r>
      <w:r>
        <w:t xml:space="preserve"> constitue, à cet égard, une opportunité : celle de dresser le bilan de trois années de déploiement et de stabiliser le modèle organisationnel et fonctionnel de l'Agence, condition d'un passage à l'échelle et d'un déploiement optimal de son offre de services à l'écosystème sur toute l’étendue du territoire national de manière progressive.</w:t>
      </w:r>
    </w:p>
    <w:p w14:paraId="2C3317BE" w14:textId="5DDC3137" w:rsidR="00F819D9" w:rsidRPr="00DF4FA8" w:rsidRDefault="003512D9">
      <w:pPr>
        <w:spacing w:after="120" w:line="276" w:lineRule="auto"/>
        <w:jc w:val="both"/>
      </w:pPr>
      <w:r>
        <w:t xml:space="preserve">C'est dans le prolongement direct de cette opportunité et pour sécuriser l'atterrissage sur une organisation durable et une architecture fonctionnelle pertinente, que l'Agence a </w:t>
      </w:r>
      <w:r w:rsidR="00AD37A0">
        <w:t>demandé à</w:t>
      </w:r>
      <w:r>
        <w:t xml:space="preserve"> conduire le présent audit organisationnel, fonctionnel et de compétences, avec l'appui de l'assistance technique d'Expertise France déployée dans le cadre du programme Choose Africa 2 Bénin (CA2 Bénin), sur financement de l'Agence Française de Développement (AFD).</w:t>
      </w:r>
    </w:p>
    <w:p w14:paraId="3F2290DE" w14:textId="77777777" w:rsidR="00F819D9" w:rsidRDefault="006F1617">
      <w:pPr>
        <w:pStyle w:val="Titre2"/>
        <w:spacing w:before="220" w:after="100"/>
      </w:pPr>
      <w:r>
        <w:rPr>
          <w:b/>
          <w:bCs/>
          <w:color w:val="015B54"/>
          <w:sz w:val="24"/>
          <w:szCs w:val="24"/>
        </w:rPr>
        <w:t>1.2. Positionnement et portée de l'audit</w:t>
      </w:r>
    </w:p>
    <w:p w14:paraId="2C1C5B02" w14:textId="77777777" w:rsidR="00C95E1D" w:rsidRDefault="006F1617">
      <w:pPr>
        <w:spacing w:after="120" w:line="276" w:lineRule="auto"/>
        <w:jc w:val="both"/>
      </w:pPr>
      <w:r>
        <w:t>L'appui à l'ADPME s'inscrit dans le cadre de l’assistance technique CA2 (2 M€) financé par l’AFD et déployé par Expertise France.</w:t>
      </w:r>
    </w:p>
    <w:p w14:paraId="56DC24B5" w14:textId="2C37252A" w:rsidR="00C95E1D" w:rsidRDefault="00C95E1D" w:rsidP="00C95E1D">
      <w:pPr>
        <w:spacing w:after="120" w:line="276" w:lineRule="auto"/>
        <w:jc w:val="both"/>
      </w:pPr>
      <w:r>
        <w:t>Le présent audit constitue un jalon fondamental dans la consolidation de l'Agence. Il doit permettre à l'ADPME</w:t>
      </w:r>
      <w:r w:rsidR="00AD37A0">
        <w:t>, outre l’analyse de la situation à date,</w:t>
      </w:r>
      <w:r>
        <w:t xml:space="preserve"> de proposer une nouvelle architecture managériale et fonctionnelle — structure, fonctions, processus, responsabilités et besoins de nouvelles compétences clés à même de porter durablement son mandat et de traduire ses missions en une organisation opérante.</w:t>
      </w:r>
    </w:p>
    <w:p w14:paraId="56790A72" w14:textId="77777777" w:rsidR="00C95E1D" w:rsidRDefault="00C95E1D" w:rsidP="00C95E1D">
      <w:pPr>
        <w:spacing w:after="120" w:line="276" w:lineRule="auto"/>
        <w:jc w:val="both"/>
      </w:pPr>
      <w:r>
        <w:t>Cette architecture agit comme un levier, à double titre. Elle garantit la soutenabilité de l'Agence, en dotant ses missions permanentes d'une organisation et de ressources pérennes ; et elle démontre sa capacité opérationnelle à jouer pleinement son rôle d'opérateur, au service de la transformation structurelle de l'économie béninoise.</w:t>
      </w:r>
    </w:p>
    <w:p w14:paraId="7C929752" w14:textId="2FF5199C" w:rsidR="00F819D9" w:rsidRDefault="00C95E1D">
      <w:pPr>
        <w:spacing w:after="120" w:line="276" w:lineRule="auto"/>
        <w:jc w:val="both"/>
      </w:pPr>
      <w:r>
        <w:t>À ce titre, l'audit ne se limite pas à un diagnostic : il doit mener à une organisation cible qui sera soumise à validation du Conseil d'Administration de l'Agence, qui en fasse une référence institutionnelle partagée et sanctionnée au plus haut niveau de gouvernance — socle du passage à l'échelle et du déploiement effectif de l'offre de services à l'écosystème.</w:t>
      </w:r>
    </w:p>
    <w:p w14:paraId="68E44E03" w14:textId="6CA1A5FE" w:rsidR="00856854" w:rsidRDefault="00856854">
      <w:pPr>
        <w:spacing w:after="120" w:line="276" w:lineRule="auto"/>
        <w:jc w:val="both"/>
      </w:pPr>
    </w:p>
    <w:p w14:paraId="1069E84E" w14:textId="77777777" w:rsidR="00856854" w:rsidRDefault="00856854">
      <w:pPr>
        <w:spacing w:after="120" w:line="276" w:lineRule="auto"/>
        <w:jc w:val="both"/>
      </w:pPr>
    </w:p>
    <w:p w14:paraId="1EC411D0" w14:textId="77777777" w:rsidR="00F819D9" w:rsidRDefault="006F1617">
      <w:pPr>
        <w:pStyle w:val="Titre2"/>
        <w:spacing w:before="220" w:after="100"/>
      </w:pPr>
      <w:r>
        <w:rPr>
          <w:b/>
          <w:bCs/>
          <w:color w:val="015B54"/>
          <w:sz w:val="24"/>
          <w:szCs w:val="24"/>
        </w:rPr>
        <w:t>1.3. Justification de la mission</w:t>
      </w:r>
    </w:p>
    <w:p w14:paraId="62EC1720" w14:textId="77777777" w:rsidR="00F819D9" w:rsidRDefault="006F1617">
      <w:pPr>
        <w:spacing w:after="120" w:line="276" w:lineRule="auto"/>
        <w:jc w:val="both"/>
      </w:pPr>
      <w:r>
        <w:t>La justification de l'audit tient à un constat simple : l'Agence exécute et doit continuer à exécuter des chantiers structurants, mais son organisation n'est pas encore stabilisée en regard du mandat et des missions qui lui sont confiés. Plusieurs facteurs convergent :</w:t>
      </w:r>
    </w:p>
    <w:p w14:paraId="16401A2B" w14:textId="6748DBB0" w:rsidR="00F819D9" w:rsidRDefault="00187FCD">
      <w:pPr>
        <w:pStyle w:val="Paragraphedeliste"/>
        <w:numPr>
          <w:ilvl w:val="0"/>
          <w:numId w:val="2"/>
        </w:numPr>
        <w:spacing w:after="70" w:line="270" w:lineRule="auto"/>
        <w:jc w:val="both"/>
      </w:pPr>
      <w:r>
        <w:rPr>
          <w:b/>
          <w:bCs/>
        </w:rPr>
        <w:t>Une organisation non stabilisée</w:t>
      </w:r>
      <w:r>
        <w:t xml:space="preserve"> — coexistence de plusieurs schémas organisationnels et rattachements divergents, une gouvernance inter-directions (RACI) non formalisée</w:t>
      </w:r>
      <w:r w:rsidR="00AD37A0">
        <w:t>.</w:t>
      </w:r>
    </w:p>
    <w:p w14:paraId="34389A8B" w14:textId="14C2C970" w:rsidR="009D19B4" w:rsidRPr="009D19B4" w:rsidRDefault="009D19B4" w:rsidP="009D19B4">
      <w:pPr>
        <w:pStyle w:val="Paragraphedeliste"/>
        <w:numPr>
          <w:ilvl w:val="0"/>
          <w:numId w:val="2"/>
        </w:numPr>
        <w:spacing w:after="70" w:line="270" w:lineRule="auto"/>
        <w:jc w:val="both"/>
      </w:pPr>
      <w:r>
        <w:rPr>
          <w:b/>
          <w:bCs/>
        </w:rPr>
        <w:t xml:space="preserve">Un socle numérique et de données à approprier — </w:t>
      </w:r>
      <w:r>
        <w:rPr>
          <w:bCs/>
        </w:rPr>
        <w:t>ePME</w:t>
      </w:r>
      <w:r>
        <w:t>, colonne vertébrale de la stratégie et de l'offre de services, et la fonction de données et d'intelligence économique (veille économique, veille stratégique, veille réglementaire, marchés, technologies, filières, etc.) restent insuffisamment appropriés ou structurés en interne, alors qu'ils conditionnent le passage à l'échelle</w:t>
      </w:r>
      <w:r w:rsidR="00AD37A0">
        <w:t>.</w:t>
      </w:r>
    </w:p>
    <w:p w14:paraId="7A8DA5CD" w14:textId="694C257E" w:rsidR="00F819D9" w:rsidRDefault="00187FCD">
      <w:pPr>
        <w:pStyle w:val="Paragraphedeliste"/>
        <w:numPr>
          <w:ilvl w:val="0"/>
          <w:numId w:val="2"/>
        </w:numPr>
        <w:spacing w:after="70" w:line="270" w:lineRule="auto"/>
        <w:jc w:val="both"/>
      </w:pPr>
      <w:r>
        <w:rPr>
          <w:b/>
          <w:bCs/>
        </w:rPr>
        <w:t>Une pression d'échelle</w:t>
      </w:r>
      <w:r>
        <w:t xml:space="preserve"> — un tissu de plus de 250 000 unités économiques à couvrir, sans commune mesure avec la capacité actuelle d'accompagnement direct et indirect</w:t>
      </w:r>
      <w:r w:rsidR="00AD37A0">
        <w:t>.</w:t>
      </w:r>
    </w:p>
    <w:p w14:paraId="271EAB7A" w14:textId="13D5AC1C" w:rsidR="00F819D9" w:rsidRDefault="00187FCD">
      <w:pPr>
        <w:pStyle w:val="Paragraphedeliste"/>
        <w:numPr>
          <w:ilvl w:val="0"/>
          <w:numId w:val="2"/>
        </w:numPr>
        <w:spacing w:after="70" w:line="270" w:lineRule="auto"/>
        <w:jc w:val="both"/>
      </w:pPr>
      <w:r>
        <w:rPr>
          <w:b/>
          <w:bCs/>
        </w:rPr>
        <w:t>Un écosystème de programmes multiples</w:t>
      </w:r>
      <w:r>
        <w:t xml:space="preserve"> (PAEB, CA2 Bénin, WEDAF, ProPME, Benibizz, etc.) dont l'articulation avec l'organisation et</w:t>
      </w:r>
      <w:r w:rsidR="00AD37A0">
        <w:t xml:space="preserve">, la coordination </w:t>
      </w:r>
      <w:r>
        <w:t xml:space="preserve">la gestion appropriée </w:t>
      </w:r>
      <w:r w:rsidR="00AD37A0">
        <w:t xml:space="preserve">et la capitalisation </w:t>
      </w:r>
      <w:r>
        <w:t>restent à structurer</w:t>
      </w:r>
      <w:r w:rsidR="00AD37A0">
        <w:t>.</w:t>
      </w:r>
    </w:p>
    <w:p w14:paraId="5EA5207D" w14:textId="77777777" w:rsidR="00F819D9" w:rsidRDefault="00187FCD">
      <w:pPr>
        <w:pStyle w:val="Paragraphedeliste"/>
        <w:numPr>
          <w:ilvl w:val="0"/>
          <w:numId w:val="2"/>
        </w:numPr>
        <w:spacing w:after="70" w:line="270" w:lineRule="auto"/>
        <w:jc w:val="both"/>
      </w:pPr>
      <w:r>
        <w:rPr>
          <w:b/>
          <w:bCs/>
        </w:rPr>
        <w:t>Un modèle économique à expliciter</w:t>
      </w:r>
      <w:r>
        <w:t xml:space="preserve"> — la soutenabilité de la structure au-delà des financements-projets n'est pas aujourd'hui objectivée.</w:t>
      </w:r>
    </w:p>
    <w:p w14:paraId="7FDC4BF3" w14:textId="57EA474B" w:rsidR="008708BC" w:rsidRPr="00A16002" w:rsidRDefault="008708BC" w:rsidP="00A775E8">
      <w:pPr>
        <w:pStyle w:val="Paragraphedeliste"/>
        <w:numPr>
          <w:ilvl w:val="0"/>
          <w:numId w:val="2"/>
        </w:numPr>
        <w:spacing w:after="70" w:line="270" w:lineRule="auto"/>
        <w:jc w:val="both"/>
      </w:pPr>
      <w:r>
        <w:rPr>
          <w:b/>
          <w:bCs/>
        </w:rPr>
        <w:t xml:space="preserve">Territorialisation de l’accompagnement de l’ADPME </w:t>
      </w:r>
      <w:r>
        <w:t>— Faciliter l’accès équitable aux services de l’ADPME sur l’ensemble du territoire national</w:t>
      </w:r>
      <w:r w:rsidR="00AD37A0">
        <w:t xml:space="preserve"> et conformément à son rôle de Guichet Unique et son mandat d’animation et de coordination de l’écosystème.</w:t>
      </w:r>
    </w:p>
    <w:p w14:paraId="415AA2BD" w14:textId="77777777" w:rsidR="008708BC" w:rsidRPr="00A16002" w:rsidRDefault="008708BC">
      <w:pPr>
        <w:pStyle w:val="Paragraphedeliste"/>
        <w:numPr>
          <w:ilvl w:val="0"/>
          <w:numId w:val="2"/>
        </w:numPr>
        <w:spacing w:after="70" w:line="270" w:lineRule="auto"/>
        <w:jc w:val="both"/>
      </w:pPr>
      <w:r>
        <w:rPr>
          <w:b/>
          <w:bCs/>
        </w:rPr>
        <w:t>Intégration de nouvelles catégories de cibles à accompagner </w:t>
      </w:r>
      <w:r>
        <w:t>—</w:t>
      </w:r>
      <w:r>
        <w:rPr>
          <w:b/>
          <w:bCs/>
        </w:rPr>
        <w:t xml:space="preserve"> </w:t>
      </w:r>
      <w:r>
        <w:rPr>
          <w:bCs/>
        </w:rPr>
        <w:t>SCOOP (Sociétés Coopératives), segment idéation-pré amorçage, etc.</w:t>
      </w:r>
    </w:p>
    <w:p w14:paraId="4D21F112" w14:textId="77777777" w:rsidR="00E2458F" w:rsidRDefault="00A775E8" w:rsidP="00E2458F">
      <w:pPr>
        <w:pStyle w:val="Paragraphedeliste"/>
        <w:numPr>
          <w:ilvl w:val="0"/>
          <w:numId w:val="2"/>
        </w:numPr>
        <w:spacing w:after="70" w:line="270" w:lineRule="auto"/>
        <w:jc w:val="both"/>
      </w:pPr>
      <w:r>
        <w:rPr>
          <w:b/>
          <w:bCs/>
        </w:rPr>
        <w:t>Stratégie d’appropriation, d’internalisation et de pérennisation des projets des PTF.</w:t>
      </w:r>
    </w:p>
    <w:p w14:paraId="2A2A1329" w14:textId="77777777" w:rsidR="00F819D9" w:rsidRDefault="006F1617">
      <w:pPr>
        <w:spacing w:after="120" w:line="276" w:lineRule="auto"/>
        <w:jc w:val="both"/>
      </w:pPr>
      <w:r>
        <w:t>L'audit doit permettre à l'Agence de réorganiser ses fonctions en cohérence avec son mandat, de se doter de l'organigramme fonctionnel requis, de mobiliser les compétences nécessaires et de définir son modèle de mobilisation de ressources et de pérennisation.</w:t>
      </w:r>
    </w:p>
    <w:p w14:paraId="2B2DDAA5" w14:textId="77777777" w:rsidR="00F819D9" w:rsidRDefault="006F1617">
      <w:pPr>
        <w:pStyle w:val="Titre2"/>
        <w:spacing w:before="220" w:after="100"/>
      </w:pPr>
      <w:r>
        <w:rPr>
          <w:b/>
          <w:bCs/>
          <w:color w:val="015B54"/>
          <w:sz w:val="24"/>
          <w:szCs w:val="24"/>
        </w:rPr>
        <w:t>1.4. Un exercice de consolidation</w:t>
      </w:r>
    </w:p>
    <w:p w14:paraId="1929C21D" w14:textId="77777777" w:rsidR="00F819D9" w:rsidRDefault="006F1617">
      <w:pPr>
        <w:spacing w:after="120" w:line="276" w:lineRule="auto"/>
        <w:jc w:val="both"/>
      </w:pPr>
      <w:r>
        <w:t xml:space="preserve">L'Agence dispose déjà d'un stock de travaux d'analyse : le </w:t>
      </w:r>
      <w:r>
        <w:rPr>
          <w:bCs/>
        </w:rPr>
        <w:t>rapport de diagnostic ACACIA (février 2025)</w:t>
      </w:r>
      <w:r>
        <w:t xml:space="preserve"> sur la mise en œuvre du PAEB, les appuis de diagnostic institutionnel conduits avec le soutien de LuxDev, les notes et productions de l'assistance technique d’Expertise France, ainsi que des propositions d'organigramme déjà élaborées. Le présent audit </w:t>
      </w:r>
      <w:r>
        <w:rPr>
          <w:bCs/>
        </w:rPr>
        <w:t>ne constitue pas donc un diagnostic partant d’un terrain vierge</w:t>
      </w:r>
      <w:r>
        <w:t xml:space="preserve">. Il procède par </w:t>
      </w:r>
      <w:r>
        <w:rPr>
          <w:bCs/>
        </w:rPr>
        <w:t>consolidation et actualisation</w:t>
      </w:r>
      <w:r>
        <w:t xml:space="preserve"> : il capitalise sur l'existant, ne réinstruit que ce qui a évolué ou n'a pas été traité, intègre les orientations et la vision du Chef de l’Etat, des membres du gouvernement au travers de la nouvelle Direction Générale et vise à produire des décisions d'organisation plutôt que des constats supplémentaires. Cette exigence de capitalisation et de propositions concrètes, est un attendu central de la mission.</w:t>
      </w:r>
    </w:p>
    <w:p w14:paraId="720881AA" w14:textId="77777777" w:rsidR="00F819D9" w:rsidRDefault="006F1617">
      <w:pPr>
        <w:pStyle w:val="Titre1"/>
        <w:spacing w:before="320" w:after="140"/>
      </w:pPr>
      <w:r>
        <w:rPr>
          <w:b/>
          <w:bCs/>
          <w:color w:val="263375"/>
          <w:sz w:val="30"/>
          <w:szCs w:val="30"/>
        </w:rPr>
        <w:t>2. Objectifs de la mission</w:t>
      </w:r>
    </w:p>
    <w:p w14:paraId="4B633A43" w14:textId="77777777" w:rsidR="00F819D9" w:rsidRDefault="006F1617">
      <w:pPr>
        <w:pStyle w:val="Titre2"/>
        <w:spacing w:before="220" w:after="100"/>
      </w:pPr>
      <w:r>
        <w:rPr>
          <w:b/>
          <w:bCs/>
          <w:color w:val="015B54"/>
          <w:sz w:val="24"/>
          <w:szCs w:val="24"/>
        </w:rPr>
        <w:t>2.1. Objectif général</w:t>
      </w:r>
    </w:p>
    <w:p w14:paraId="38BEFE92" w14:textId="2A4BF055" w:rsidR="00F819D9" w:rsidRDefault="006F1617">
      <w:pPr>
        <w:spacing w:after="120" w:line="276" w:lineRule="auto"/>
        <w:jc w:val="both"/>
      </w:pPr>
      <w:r>
        <w:t xml:space="preserve">L'objectif général de la mission est de </w:t>
      </w:r>
      <w:r>
        <w:rPr>
          <w:bCs/>
        </w:rPr>
        <w:t>doter l'ADPME d'une organisation cible — structure, fonctions, processus, compétences et modèle économique — apte à exécuter durablement et de façon autonome son mandat</w:t>
      </w:r>
      <w:r>
        <w:t>, en consolidant les analyses existantes, en s'appuyant sur les chantiers déjà engagés et en s’arrimant à la vision de la Direction Générale.</w:t>
      </w:r>
    </w:p>
    <w:p w14:paraId="3E4FAD18" w14:textId="77777777" w:rsidR="00856854" w:rsidRPr="00C90F3D" w:rsidRDefault="00856854">
      <w:pPr>
        <w:spacing w:after="120" w:line="276" w:lineRule="auto"/>
        <w:jc w:val="both"/>
      </w:pPr>
    </w:p>
    <w:p w14:paraId="123905E7" w14:textId="77777777" w:rsidR="00F819D9" w:rsidRDefault="006F1617">
      <w:pPr>
        <w:pStyle w:val="Titre2"/>
        <w:spacing w:before="220" w:after="100"/>
      </w:pPr>
      <w:r>
        <w:rPr>
          <w:b/>
          <w:bCs/>
          <w:color w:val="015B54"/>
          <w:sz w:val="24"/>
          <w:szCs w:val="24"/>
        </w:rPr>
        <w:t>2.2. Objectifs spécifiques</w:t>
      </w:r>
    </w:p>
    <w:p w14:paraId="30A420BF" w14:textId="77777777" w:rsidR="00772348" w:rsidRDefault="00772348" w:rsidP="00772348">
      <w:pPr>
        <w:pStyle w:val="Paragraphedeliste"/>
        <w:numPr>
          <w:ilvl w:val="0"/>
          <w:numId w:val="3"/>
        </w:numPr>
        <w:spacing w:after="80" w:line="270" w:lineRule="auto"/>
        <w:jc w:val="both"/>
      </w:pPr>
      <w:r>
        <w:t>Apprécier l'alignement de l'organisation actuelle sur le mandat, les missions et le périmètre réel de l'Agence, tel qu'il a évolué.</w:t>
      </w:r>
    </w:p>
    <w:p w14:paraId="23891136" w14:textId="77777777" w:rsidR="00772348" w:rsidRDefault="00772348" w:rsidP="00772348">
      <w:pPr>
        <w:pStyle w:val="Paragraphedeliste"/>
        <w:numPr>
          <w:ilvl w:val="0"/>
          <w:numId w:val="3"/>
        </w:numPr>
        <w:spacing w:after="80" w:line="270" w:lineRule="auto"/>
        <w:jc w:val="both"/>
      </w:pPr>
      <w:r>
        <w:t>Consolider les diagnostics et propositions existants et les actualiser au regard de la vision et des orientations de la nouvelle Direction Générale, pour en faire une proposition de macro-structure présentable pour validation.</w:t>
      </w:r>
    </w:p>
    <w:p w14:paraId="5C660594" w14:textId="77777777" w:rsidR="00772348" w:rsidRDefault="00772348" w:rsidP="00772348">
      <w:pPr>
        <w:pStyle w:val="Paragraphedeliste"/>
        <w:numPr>
          <w:ilvl w:val="0"/>
          <w:numId w:val="3"/>
        </w:numPr>
        <w:spacing w:after="80" w:line="270" w:lineRule="auto"/>
        <w:jc w:val="both"/>
      </w:pPr>
      <w:r>
        <w:t>Définir l'architecture fonctionnelle cible et l'organigramme détaillé associé, incluant un référentiel de responsabilités (RACI) inter-directions.</w:t>
      </w:r>
    </w:p>
    <w:p w14:paraId="50F0EB1C" w14:textId="77777777" w:rsidR="00772348" w:rsidRDefault="00772348" w:rsidP="00772348">
      <w:pPr>
        <w:pStyle w:val="Paragraphedeliste"/>
        <w:numPr>
          <w:ilvl w:val="0"/>
          <w:numId w:val="3"/>
        </w:numPr>
        <w:spacing w:after="80" w:line="270" w:lineRule="auto"/>
        <w:jc w:val="both"/>
      </w:pPr>
      <w:r>
        <w:t>Rattacher chacun des chantiers structurants de l'Agence à un département ou service de l'organisation cible — en particulier le cœur d'accompagnement et de financement, le socle numérique et données (ePME, intelligence économique), la stratégie de déploiement territorial, le dispositif de gestion et de labellisation des SAE, et la gestion des projets et programmes multi-bailleurs.</w:t>
      </w:r>
    </w:p>
    <w:p w14:paraId="45788409" w14:textId="77777777" w:rsidR="00772348" w:rsidRDefault="00772348" w:rsidP="00772348">
      <w:pPr>
        <w:pStyle w:val="Paragraphedeliste"/>
        <w:numPr>
          <w:ilvl w:val="0"/>
          <w:numId w:val="3"/>
        </w:numPr>
        <w:spacing w:after="80" w:line="270" w:lineRule="auto"/>
        <w:jc w:val="both"/>
      </w:pPr>
      <w:r>
        <w:t>Définir les modalités d'articulation de l'Agence avec les dispositifs publics et les acteurs de l'écosystème — notamment la CDC Bénin, le FIGPME et les chambres consulaires (CCIB, CMA, CA) — en clarifiant les interfaces, les rôles respectifs et les circuits de coordination.</w:t>
      </w:r>
    </w:p>
    <w:p w14:paraId="3B6E3891" w14:textId="77777777" w:rsidR="00772348" w:rsidRDefault="00772348" w:rsidP="00772348">
      <w:pPr>
        <w:pStyle w:val="Paragraphedeliste"/>
        <w:numPr>
          <w:ilvl w:val="0"/>
          <w:numId w:val="3"/>
        </w:numPr>
        <w:spacing w:after="80" w:line="270" w:lineRule="auto"/>
        <w:jc w:val="both"/>
      </w:pPr>
      <w:r>
        <w:t>Établir le modèle économique de pérennisation de la structure cible et outiller la demande d'allocation budgétaire à la tutelle.</w:t>
      </w:r>
    </w:p>
    <w:p w14:paraId="0E7CF0B7" w14:textId="77777777" w:rsidR="00772348" w:rsidRDefault="00772348" w:rsidP="00772348">
      <w:pPr>
        <w:pStyle w:val="Paragraphedeliste"/>
        <w:numPr>
          <w:ilvl w:val="0"/>
          <w:numId w:val="3"/>
        </w:numPr>
        <w:spacing w:after="80" w:line="270" w:lineRule="auto"/>
        <w:jc w:val="both"/>
      </w:pPr>
      <w:r>
        <w:t>Établir le plan de mobilisation des ressources humaines et des compétences requises, en distinguant ce qui relève du budget national et ce qui relève des budgets-projets.</w:t>
      </w:r>
    </w:p>
    <w:p w14:paraId="6A2B4E61" w14:textId="77777777" w:rsidR="00F819D9" w:rsidRDefault="006F1617">
      <w:pPr>
        <w:pStyle w:val="Paragraphedeliste"/>
        <w:numPr>
          <w:ilvl w:val="0"/>
          <w:numId w:val="3"/>
        </w:numPr>
        <w:spacing w:after="80" w:line="270" w:lineRule="auto"/>
        <w:jc w:val="both"/>
      </w:pPr>
      <w:r>
        <w:t>Proposer un plan de transition de l'organisation actuelle vers l'organisation cible, articulé aux chantiers en cours et définissant les différents jalons à court, moyen et long terme.</w:t>
      </w:r>
    </w:p>
    <w:p w14:paraId="1A6ADE65" w14:textId="77777777" w:rsidR="00F819D9" w:rsidRDefault="006F1617">
      <w:pPr>
        <w:pStyle w:val="Titre1"/>
        <w:spacing w:before="320" w:after="140"/>
      </w:pPr>
      <w:r>
        <w:rPr>
          <w:b/>
          <w:bCs/>
          <w:color w:val="263375"/>
          <w:sz w:val="30"/>
          <w:szCs w:val="30"/>
        </w:rPr>
        <w:t>3. Cadre de référence : la cible fonctionnelle de l'Agence</w:t>
      </w:r>
    </w:p>
    <w:p w14:paraId="10E28589" w14:textId="77777777" w:rsidR="00F819D9" w:rsidRDefault="006F1617">
      <w:pPr>
        <w:spacing w:after="120" w:line="276" w:lineRule="auto"/>
        <w:jc w:val="both"/>
      </w:pPr>
      <w:r>
        <w:t xml:space="preserve">Le présent audit s'inscrit dans un cadre de référence explicite — la </w:t>
      </w:r>
      <w:r>
        <w:rPr>
          <w:bCs/>
        </w:rPr>
        <w:t>cible fonctionnelle de l'Agence</w:t>
      </w:r>
      <w:r>
        <w:t xml:space="preserve"> — qui en constitue la grille de lecture obligatoire. La Consultant conduit ses travaux de manière autonome, mais oriente ses analyses et recommandations au service de cette cible.</w:t>
      </w:r>
    </w:p>
    <w:p w14:paraId="5D299F20" w14:textId="77777777" w:rsidR="00F819D9" w:rsidRDefault="006F1617">
      <w:pPr>
        <w:pStyle w:val="Titre2"/>
        <w:spacing w:before="220" w:after="100"/>
      </w:pPr>
      <w:r>
        <w:rPr>
          <w:b/>
          <w:bCs/>
          <w:color w:val="015B54"/>
          <w:sz w:val="24"/>
          <w:szCs w:val="24"/>
        </w:rPr>
        <w:t>3.1. Le principe directeur : partir du mandat et s’ancrer dans la doctrine d’intervention</w:t>
      </w:r>
    </w:p>
    <w:p w14:paraId="20CA7DF8" w14:textId="77777777" w:rsidR="00F819D9" w:rsidRDefault="006F1617">
      <w:pPr>
        <w:spacing w:after="120" w:line="276" w:lineRule="auto"/>
        <w:jc w:val="both"/>
      </w:pPr>
      <w:r>
        <w:t xml:space="preserve">La cible se lit dans un seul sens : </w:t>
      </w:r>
      <w:r>
        <w:rPr>
          <w:bCs/>
        </w:rPr>
        <w:t>mandat → missions → chantiers → organigramme → compétences → modèle économique</w:t>
      </w:r>
      <w:r>
        <w:t xml:space="preserve">. La mission doit partir des fonctions réelles que l'Agence doit exécuter suivant la Doctrine — les chantiers structurants — et l'organigramme est celui qui les héberge et les fait tourner. </w:t>
      </w:r>
      <w:r>
        <w:rPr>
          <w:bCs/>
        </w:rPr>
        <w:t>Les chantiers sont la charnière entre le mandat et l'organisation</w:t>
      </w:r>
      <w:r>
        <w:t xml:space="preserve"> : le mandat (attributions de l’Agence) est un cadre, les chantiers en sont la traduction opérationnelle, l'organigramme en est le support.</w:t>
      </w:r>
    </w:p>
    <w:p w14:paraId="134F69CA" w14:textId="77777777" w:rsidR="00F819D9" w:rsidRPr="00856854" w:rsidRDefault="006F1617">
      <w:pPr>
        <w:pStyle w:val="Titre2"/>
        <w:spacing w:before="220" w:after="100"/>
        <w:rPr>
          <w:b/>
          <w:bCs/>
          <w:color w:val="015B54"/>
          <w:sz w:val="24"/>
          <w:szCs w:val="24"/>
        </w:rPr>
      </w:pPr>
      <w:r w:rsidRPr="00856854">
        <w:rPr>
          <w:b/>
          <w:bCs/>
          <w:color w:val="015B54"/>
          <w:sz w:val="24"/>
          <w:szCs w:val="24"/>
        </w:rPr>
        <w:t xml:space="preserve">3.2. </w:t>
      </w:r>
      <w:r>
        <w:rPr>
          <w:b/>
          <w:bCs/>
          <w:color w:val="015B54"/>
          <w:sz w:val="24"/>
          <w:szCs w:val="24"/>
        </w:rPr>
        <w:t>La ligne socle / projet, fondement du modèle économique</w:t>
      </w:r>
    </w:p>
    <w:p w14:paraId="689A23ED" w14:textId="77777777" w:rsidR="00F819D9" w:rsidRPr="00772348" w:rsidRDefault="006F1617">
      <w:pPr>
        <w:spacing w:after="120" w:line="276" w:lineRule="auto"/>
        <w:jc w:val="both"/>
      </w:pPr>
      <w:r>
        <w:t xml:space="preserve">Le modèle de pérennisation n'est pas un chantier séparé : c'est une question posée à chacun des chantiers — </w:t>
      </w:r>
      <w:r>
        <w:rPr>
          <w:bCs/>
        </w:rPr>
        <w:t>qui finance, et pour combien de temps</w:t>
      </w:r>
      <w:r>
        <w:t>. Chaque fonction se range d'un côté ou de l'autre d'une ligne de partage :</w:t>
      </w:r>
    </w:p>
    <w:p w14:paraId="7C61281D" w14:textId="77777777" w:rsidR="00F819D9" w:rsidRPr="00D563B3" w:rsidRDefault="00772348">
      <w:pPr>
        <w:pStyle w:val="Paragraphedeliste"/>
        <w:numPr>
          <w:ilvl w:val="0"/>
          <w:numId w:val="2"/>
        </w:numPr>
        <w:spacing w:after="70" w:line="270" w:lineRule="auto"/>
        <w:jc w:val="both"/>
      </w:pPr>
      <w:r>
        <w:rPr>
          <w:bCs/>
        </w:rPr>
        <w:t>Fonctions socle → dotation de l'État (permanentes)</w:t>
      </w:r>
      <w:r>
        <w:t xml:space="preserve"> : le parcours PME et le manuel, le noyau du métier d'accompagnement, l'exploitation d'ePME, la culture de la donnée et l'intelligence économique, la labellisation des SAE, la coordination multi-bailleurs, la présence territoriale permanente ;</w:t>
      </w:r>
    </w:p>
    <w:p w14:paraId="364CEBC1" w14:textId="77777777" w:rsidR="00F819D9" w:rsidRPr="00D563B3" w:rsidRDefault="00772348">
      <w:pPr>
        <w:pStyle w:val="Paragraphedeliste"/>
        <w:numPr>
          <w:ilvl w:val="0"/>
          <w:numId w:val="2"/>
        </w:numPr>
        <w:spacing w:after="70" w:line="270" w:lineRule="auto"/>
        <w:jc w:val="both"/>
      </w:pPr>
      <w:r>
        <w:rPr>
          <w:bCs/>
        </w:rPr>
        <w:t>Fonctions projet → financement des partenaires techniques et financiers (temporaires, avec bascule ou extinction)</w:t>
      </w:r>
      <w:r>
        <w:t xml:space="preserve"> : le renforcement initial des SAE, le pilote territorial, les stratégies de filière, l'entrepreneuriat féminin, ainsi que l'amorçage de toute fonction destinée à être internalisée ensuite.</w:t>
      </w:r>
    </w:p>
    <w:p w14:paraId="3FFD1179" w14:textId="77777777" w:rsidR="00F819D9" w:rsidRPr="00D563B3" w:rsidRDefault="006F1617">
      <w:pPr>
        <w:spacing w:after="120" w:line="276" w:lineRule="auto"/>
        <w:jc w:val="both"/>
      </w:pPr>
      <w:r>
        <w:t>Le tracé précis de cette ligne — en particulier au sein du cœur de métier, partagé entre un noyau permanent et une montée en charge sur projet — constitue l'un des livrables déterminants de l'audit.</w:t>
      </w:r>
    </w:p>
    <w:p w14:paraId="6A9417EF" w14:textId="77777777" w:rsidR="00F819D9" w:rsidRPr="00856854" w:rsidRDefault="006F1617">
      <w:pPr>
        <w:pStyle w:val="Titre2"/>
        <w:spacing w:before="220" w:after="100"/>
        <w:rPr>
          <w:b/>
          <w:bCs/>
          <w:color w:val="015B54"/>
          <w:sz w:val="24"/>
          <w:szCs w:val="24"/>
        </w:rPr>
      </w:pPr>
      <w:r w:rsidRPr="00856854">
        <w:rPr>
          <w:b/>
          <w:bCs/>
          <w:color w:val="015B54"/>
          <w:sz w:val="24"/>
          <w:szCs w:val="24"/>
        </w:rPr>
        <w:t xml:space="preserve">3.3. </w:t>
      </w:r>
      <w:r>
        <w:rPr>
          <w:b/>
          <w:bCs/>
          <w:color w:val="015B54"/>
          <w:sz w:val="24"/>
          <w:szCs w:val="24"/>
        </w:rPr>
        <w:t>La cible comme grille d'évaluation de l'audit</w:t>
      </w:r>
    </w:p>
    <w:p w14:paraId="4E6728E1" w14:textId="77777777" w:rsidR="00F819D9" w:rsidRPr="00D563B3" w:rsidRDefault="006F1617">
      <w:pPr>
        <w:spacing w:after="120" w:line="276" w:lineRule="auto"/>
        <w:jc w:val="both"/>
      </w:pPr>
      <w:r>
        <w:t xml:space="preserve">Chaque proposition de l'audit s'évalue à une seule aune : </w:t>
      </w:r>
      <w:r>
        <w:rPr>
          <w:bCs/>
          <w:i/>
          <w:iCs/>
        </w:rPr>
        <w:t>« Est-ce que cela rapproche l'Agence de sa capacité à tenir ces chantiers de façon autonome et financée durablement ? »</w:t>
      </w:r>
    </w:p>
    <w:p w14:paraId="66981FA5" w14:textId="77777777" w:rsidR="00F819D9" w:rsidRDefault="006F1617">
      <w:pPr>
        <w:pStyle w:val="Titre1"/>
        <w:spacing w:before="320" w:after="140"/>
      </w:pPr>
      <w:r>
        <w:rPr>
          <w:b/>
          <w:bCs/>
          <w:color w:val="263375"/>
          <w:sz w:val="30"/>
          <w:szCs w:val="30"/>
        </w:rPr>
        <w:t>4. Périmètre et champ de l'audit</w:t>
      </w:r>
    </w:p>
    <w:p w14:paraId="7502E9F6" w14:textId="77777777" w:rsidR="00F819D9" w:rsidRDefault="006F1617">
      <w:pPr>
        <w:pStyle w:val="Titre2"/>
        <w:spacing w:before="220" w:after="100"/>
      </w:pPr>
      <w:r>
        <w:rPr>
          <w:b/>
          <w:bCs/>
          <w:color w:val="015B54"/>
          <w:sz w:val="24"/>
          <w:szCs w:val="24"/>
        </w:rPr>
        <w:t>4.1. Périmètre organisationnel</w:t>
      </w:r>
    </w:p>
    <w:p w14:paraId="3B42BC11" w14:textId="07385DC1" w:rsidR="00E128B6" w:rsidRDefault="006F1617">
      <w:pPr>
        <w:spacing w:after="120" w:line="276" w:lineRule="auto"/>
        <w:jc w:val="both"/>
      </w:pPr>
      <w:r>
        <w:t xml:space="preserve">L'audit porte sur </w:t>
      </w:r>
      <w:r w:rsidR="00856854">
        <w:t>l’organisation et le fonctionnement de</w:t>
      </w:r>
      <w:r>
        <w:t xml:space="preserve"> l'ADPME </w:t>
      </w:r>
      <w:r w:rsidR="00856854">
        <w:t>au regard de son mandat</w:t>
      </w:r>
      <w:r>
        <w:t>. Il couvre l'organisation actuelle telle qu'elle fonctionne, ainsi que l'organisation cible à définir.</w:t>
      </w:r>
      <w:r w:rsidR="00856854">
        <w:t xml:space="preserve"> Le périmètre à étudier concerne notamment la gouvernance, l’offre de service, l’organisation fonctionnelle, l’organigramme opérationnel, les fonctions support, les ressources humaines et son modèle économique</w:t>
      </w:r>
      <w:r w:rsidR="00796A6F">
        <w:t>.</w:t>
      </w:r>
    </w:p>
    <w:p w14:paraId="0A35A129" w14:textId="77777777" w:rsidR="00F819D9" w:rsidRDefault="006F1617">
      <w:pPr>
        <w:pStyle w:val="Titre2"/>
        <w:spacing w:before="220" w:after="100"/>
      </w:pPr>
      <w:r>
        <w:rPr>
          <w:b/>
          <w:bCs/>
          <w:color w:val="015B54"/>
          <w:sz w:val="24"/>
          <w:szCs w:val="24"/>
        </w:rPr>
        <w:t>4.2. Dimensions couvertes</w:t>
      </w:r>
    </w:p>
    <w:p w14:paraId="46745239" w14:textId="0A185A46" w:rsidR="00F819D9" w:rsidRDefault="00856854">
      <w:pPr>
        <w:spacing w:after="120" w:line="276" w:lineRule="auto"/>
        <w:jc w:val="both"/>
      </w:pPr>
      <w:r>
        <w:t>L'audit couvre</w:t>
      </w:r>
      <w:r w:rsidR="006F1617">
        <w:t xml:space="preserve"> les dimensions suivantes :</w:t>
      </w:r>
    </w:p>
    <w:p w14:paraId="7783349D" w14:textId="77777777" w:rsidR="00F819D9" w:rsidRDefault="006F1617">
      <w:pPr>
        <w:pStyle w:val="Paragraphedeliste"/>
        <w:numPr>
          <w:ilvl w:val="0"/>
          <w:numId w:val="2"/>
        </w:numPr>
        <w:spacing w:after="70" w:line="270" w:lineRule="auto"/>
        <w:jc w:val="both"/>
      </w:pPr>
      <w:r>
        <w:rPr>
          <w:bCs/>
        </w:rPr>
        <w:t>Mandat et missions</w:t>
      </w:r>
      <w:r>
        <w:rPr>
          <w:b/>
          <w:bCs/>
        </w:rPr>
        <w:t xml:space="preserve"> — </w:t>
      </w:r>
      <w:r>
        <w:t>alignement de l'organisation sur les textes fondateurs et le périmètre réel de l'Agence.</w:t>
      </w:r>
    </w:p>
    <w:p w14:paraId="7F86580D" w14:textId="77777777" w:rsidR="00F819D9" w:rsidRPr="00D563B3" w:rsidRDefault="006F1617">
      <w:pPr>
        <w:pStyle w:val="Paragraphedeliste"/>
        <w:numPr>
          <w:ilvl w:val="0"/>
          <w:numId w:val="2"/>
        </w:numPr>
        <w:spacing w:after="70" w:line="270" w:lineRule="auto"/>
        <w:jc w:val="both"/>
      </w:pPr>
      <w:r>
        <w:rPr>
          <w:bCs/>
        </w:rPr>
        <w:t xml:space="preserve">Structure et gouvernance — </w:t>
      </w:r>
      <w:r>
        <w:t>organigramme, rattachements, instances, référentiel de responsabilités (RACI), circuits de décision.</w:t>
      </w:r>
    </w:p>
    <w:p w14:paraId="5FECF603" w14:textId="170BAA34" w:rsidR="00F819D9" w:rsidRPr="00D563B3" w:rsidRDefault="006F1617">
      <w:pPr>
        <w:pStyle w:val="Paragraphedeliste"/>
        <w:numPr>
          <w:ilvl w:val="0"/>
          <w:numId w:val="2"/>
        </w:numPr>
        <w:spacing w:after="70" w:line="270" w:lineRule="auto"/>
        <w:jc w:val="both"/>
      </w:pPr>
      <w:r>
        <w:rPr>
          <w:bCs/>
        </w:rPr>
        <w:t xml:space="preserve">Processus cœur de métier — </w:t>
      </w:r>
      <w:r w:rsidR="00856854">
        <w:rPr>
          <w:bCs/>
        </w:rPr>
        <w:t xml:space="preserve">offre de services, </w:t>
      </w:r>
      <w:r>
        <w:t xml:space="preserve">parcours PME, </w:t>
      </w:r>
      <w:r w:rsidR="00856854">
        <w:t>positionnement dans l’écosystème et rôle sur le continuum accompagnement-financement dans l’écosystème</w:t>
      </w:r>
      <w:r>
        <w:t>.</w:t>
      </w:r>
    </w:p>
    <w:p w14:paraId="20A6C4B5" w14:textId="0593832D" w:rsidR="00F819D9" w:rsidRPr="00D563B3" w:rsidRDefault="006F1617">
      <w:pPr>
        <w:pStyle w:val="Paragraphedeliste"/>
        <w:numPr>
          <w:ilvl w:val="0"/>
          <w:numId w:val="2"/>
        </w:numPr>
        <w:spacing w:after="70" w:line="270" w:lineRule="auto"/>
        <w:jc w:val="both"/>
      </w:pPr>
      <w:r>
        <w:rPr>
          <w:bCs/>
        </w:rPr>
        <w:t xml:space="preserve">Système d'information et données — </w:t>
      </w:r>
      <w:r>
        <w:t xml:space="preserve">ePME, </w:t>
      </w:r>
      <w:r w:rsidR="00856854">
        <w:t>digitalisation</w:t>
      </w:r>
      <w:r>
        <w:t>,</w:t>
      </w:r>
      <w:r w:rsidR="00856854">
        <w:t xml:space="preserve"> culture de la donnée,</w:t>
      </w:r>
      <w:r>
        <w:t xml:space="preserve"> fonction d'intelligence économique.</w:t>
      </w:r>
    </w:p>
    <w:p w14:paraId="38D511A5" w14:textId="09DD5FFB" w:rsidR="00F819D9" w:rsidRPr="00D563B3" w:rsidRDefault="006F1617">
      <w:pPr>
        <w:pStyle w:val="Paragraphedeliste"/>
        <w:numPr>
          <w:ilvl w:val="0"/>
          <w:numId w:val="2"/>
        </w:numPr>
        <w:spacing w:after="70" w:line="270" w:lineRule="auto"/>
        <w:jc w:val="both"/>
      </w:pPr>
      <w:r>
        <w:rPr>
          <w:bCs/>
        </w:rPr>
        <w:t xml:space="preserve">Fonctions de soutenabilité — </w:t>
      </w:r>
      <w:r>
        <w:t xml:space="preserve">fonction </w:t>
      </w:r>
      <w:r w:rsidR="00856854">
        <w:t>financière et modèle économique</w:t>
      </w:r>
      <w:r>
        <w:t>.</w:t>
      </w:r>
    </w:p>
    <w:p w14:paraId="6112C221" w14:textId="77777777" w:rsidR="00F819D9" w:rsidRPr="00D563B3" w:rsidRDefault="006F1617">
      <w:pPr>
        <w:pStyle w:val="Paragraphedeliste"/>
        <w:numPr>
          <w:ilvl w:val="0"/>
          <w:numId w:val="2"/>
        </w:numPr>
        <w:spacing w:after="70" w:line="270" w:lineRule="auto"/>
        <w:jc w:val="both"/>
      </w:pPr>
      <w:r>
        <w:rPr>
          <w:bCs/>
        </w:rPr>
        <w:t xml:space="preserve">Ressources humaines et compétences — </w:t>
      </w:r>
      <w:r>
        <w:t>adéquation des effectifs et des compétences aux fonctions, profils type et compétences à mobiliser en cas d’inadéquation, distinction socle permanent / projet.</w:t>
      </w:r>
    </w:p>
    <w:p w14:paraId="27AE4801" w14:textId="77777777" w:rsidR="00F819D9" w:rsidRPr="00D563B3" w:rsidRDefault="006F1617">
      <w:pPr>
        <w:pStyle w:val="Paragraphedeliste"/>
        <w:numPr>
          <w:ilvl w:val="0"/>
          <w:numId w:val="2"/>
        </w:numPr>
        <w:spacing w:after="70" w:line="270" w:lineRule="auto"/>
        <w:jc w:val="both"/>
      </w:pPr>
      <w:r>
        <w:rPr>
          <w:bCs/>
        </w:rPr>
        <w:t xml:space="preserve">Gestion des projets et programmes — </w:t>
      </w:r>
      <w:r>
        <w:t>dispositif de gestion appropriée et de coordination des projets et programmes des PTF.</w:t>
      </w:r>
    </w:p>
    <w:p w14:paraId="640D03EF" w14:textId="5CE2D50A" w:rsidR="00F819D9" w:rsidRPr="00D563B3" w:rsidRDefault="006F1617">
      <w:pPr>
        <w:pStyle w:val="Paragraphedeliste"/>
        <w:numPr>
          <w:ilvl w:val="0"/>
          <w:numId w:val="2"/>
        </w:numPr>
        <w:spacing w:after="70" w:line="270" w:lineRule="auto"/>
        <w:jc w:val="both"/>
      </w:pPr>
      <w:r>
        <w:rPr>
          <w:bCs/>
        </w:rPr>
        <w:t xml:space="preserve">Déploiement territorial et SAE — </w:t>
      </w:r>
      <w:r>
        <w:t xml:space="preserve">dispositif de territorialisation, </w:t>
      </w:r>
      <w:r w:rsidR="00856854">
        <w:t>pilotage des SAE</w:t>
      </w:r>
      <w:r>
        <w:t>.</w:t>
      </w:r>
    </w:p>
    <w:p w14:paraId="20834EA0" w14:textId="187175B4" w:rsidR="00D563B3" w:rsidRDefault="006F1617" w:rsidP="00BC1EE2">
      <w:pPr>
        <w:pStyle w:val="Paragraphedeliste"/>
        <w:numPr>
          <w:ilvl w:val="0"/>
          <w:numId w:val="2"/>
        </w:numPr>
        <w:spacing w:after="70" w:line="270" w:lineRule="auto"/>
        <w:jc w:val="both"/>
      </w:pPr>
      <w:r>
        <w:rPr>
          <w:bCs/>
        </w:rPr>
        <w:t xml:space="preserve">Stratégies transversales et sectorielles — </w:t>
      </w:r>
      <w:r>
        <w:t>entrepreneuriat féminin, entrepreneuriat vert, ESG ; stratégies sectorielles et de filière.</w:t>
      </w:r>
    </w:p>
    <w:p w14:paraId="686C027A" w14:textId="77777777" w:rsidR="00F819D9" w:rsidRDefault="006F1617">
      <w:pPr>
        <w:pStyle w:val="Titre2"/>
        <w:spacing w:before="220" w:after="100"/>
      </w:pPr>
      <w:r>
        <w:rPr>
          <w:b/>
          <w:bCs/>
          <w:color w:val="015B54"/>
          <w:sz w:val="24"/>
          <w:szCs w:val="24"/>
        </w:rPr>
        <w:t>4.3. Inclusions et exclusions explicites</w:t>
      </w:r>
    </w:p>
    <w:p w14:paraId="12A7DE8F" w14:textId="77777777" w:rsidR="00F819D9" w:rsidRDefault="006F1617">
      <w:pPr>
        <w:spacing w:after="120" w:line="276" w:lineRule="auto"/>
        <w:jc w:val="both"/>
      </w:pPr>
      <w:r>
        <w:t xml:space="preserve">Est explicitement </w:t>
      </w:r>
      <w:r>
        <w:rPr>
          <w:b/>
          <w:bCs/>
        </w:rPr>
        <w:t>inclus</w:t>
      </w:r>
      <w:r>
        <w:t xml:space="preserve"> : le tracé de la ligne de financement socle / projet, l'évaluation de la soutenabilité de la structure cible, et l'articulation de l'organisation aux chantiers structurants.</w:t>
      </w:r>
    </w:p>
    <w:p w14:paraId="4D11DE6D" w14:textId="77777777" w:rsidR="00F819D9" w:rsidRDefault="006F1617">
      <w:pPr>
        <w:spacing w:after="120" w:line="276" w:lineRule="auto"/>
        <w:jc w:val="both"/>
      </w:pPr>
      <w:r>
        <w:t xml:space="preserve">Est explicitement </w:t>
      </w:r>
      <w:r>
        <w:rPr>
          <w:b/>
          <w:bCs/>
        </w:rPr>
        <w:t>exclu</w:t>
      </w:r>
      <w:r>
        <w:t xml:space="preserve"> : l'audit comptable et financier des comptes de l'Agence, l'audit de conformité des marchés déjà passés, et l'évaluation de la performance individuelle des agents. La mission ne se substitue pas non plus aux décisions relevant de la tutelle (fixation de la dotation, politique de contribution des PM</w:t>
      </w:r>
      <w:r w:rsidRPr="00856854">
        <w:rPr>
          <w:color w:val="auto"/>
        </w:rPr>
        <w:t>E).</w:t>
      </w:r>
    </w:p>
    <w:p w14:paraId="418EEA91" w14:textId="77777777" w:rsidR="00F819D9" w:rsidRDefault="006F1617">
      <w:pPr>
        <w:pStyle w:val="Titre1"/>
        <w:spacing w:before="320" w:after="140"/>
      </w:pPr>
      <w:r>
        <w:rPr>
          <w:b/>
          <w:bCs/>
          <w:color w:val="263375"/>
          <w:sz w:val="30"/>
          <w:szCs w:val="30"/>
        </w:rPr>
        <w:t>5. Approche méthodologique</w:t>
      </w:r>
    </w:p>
    <w:p w14:paraId="22C996E4" w14:textId="77777777" w:rsidR="00F819D9" w:rsidRDefault="006F1617">
      <w:pPr>
        <w:pStyle w:val="Titre2"/>
        <w:spacing w:before="220" w:after="100"/>
      </w:pPr>
      <w:r>
        <w:rPr>
          <w:b/>
          <w:bCs/>
          <w:color w:val="015B54"/>
          <w:sz w:val="24"/>
          <w:szCs w:val="24"/>
        </w:rPr>
        <w:t>5.1. Une démarche en deux temps</w:t>
      </w:r>
    </w:p>
    <w:p w14:paraId="2AAE76FB" w14:textId="77777777" w:rsidR="00F819D9" w:rsidRDefault="006F1617">
      <w:pPr>
        <w:spacing w:after="120" w:line="276" w:lineRule="auto"/>
        <w:jc w:val="both"/>
      </w:pPr>
      <w:r>
        <w:t>La mission se déroule en deux temps articulés, de granularité différente, afin de concilier la rapidité de la décision structurante et la profondeur de l'analyse fonctionnelle.</w:t>
      </w:r>
    </w:p>
    <w:p w14:paraId="02173FF9" w14:textId="77777777" w:rsidR="00F819D9" w:rsidRDefault="006F1617">
      <w:pPr>
        <w:pStyle w:val="Titre2"/>
        <w:spacing w:before="220" w:after="100"/>
      </w:pPr>
      <w:r>
        <w:rPr>
          <w:b/>
          <w:bCs/>
          <w:color w:val="015B54"/>
          <w:sz w:val="24"/>
          <w:szCs w:val="24"/>
        </w:rPr>
        <w:t>5.2. Temps 1 — Consolidation macro (jalon de décision)</w:t>
      </w:r>
    </w:p>
    <w:p w14:paraId="50FDDD31" w14:textId="29F1F3D1" w:rsidR="00F819D9" w:rsidRDefault="006F1617">
      <w:pPr>
        <w:spacing w:after="120" w:line="276" w:lineRule="auto"/>
        <w:jc w:val="both"/>
      </w:pPr>
      <w:r>
        <w:t xml:space="preserve">Le premier temps, consiste à consolider les diagnostics et propositions existants pour arrêter la </w:t>
      </w:r>
      <w:r>
        <w:rPr>
          <w:bCs/>
        </w:rPr>
        <w:t>macro-structure</w:t>
      </w:r>
      <w:r>
        <w:t xml:space="preserve"> de l'Agence : grandes directions, rattachements, fonctions de portage. Il aboutit à une proposition instruite et appropriable, présentable pour validation d’abord par la Direction Générale et pour présentation ensuite en Conseil d'Administration.</w:t>
      </w:r>
    </w:p>
    <w:p w14:paraId="42235BB0" w14:textId="23D7361C" w:rsidR="00AD37A0" w:rsidRDefault="00AD37A0">
      <w:pPr>
        <w:spacing w:after="120" w:line="276" w:lineRule="auto"/>
        <w:jc w:val="both"/>
      </w:pPr>
      <w:r>
        <w:t>Le Consultant pourra mener des entretiens ciblés avec la Direction Générale et les autres personnes ressources.</w:t>
      </w:r>
    </w:p>
    <w:p w14:paraId="293C3435" w14:textId="77777777" w:rsidR="00F819D9" w:rsidRDefault="006F1617">
      <w:pPr>
        <w:pStyle w:val="Titre2"/>
        <w:spacing w:before="220" w:after="100"/>
      </w:pPr>
      <w:r>
        <w:rPr>
          <w:b/>
          <w:bCs/>
          <w:color w:val="015B54"/>
          <w:sz w:val="24"/>
          <w:szCs w:val="24"/>
        </w:rPr>
        <w:t>5.3. Temps 2 — Architecture fonctionnelle et organigramme cible détaillé</w:t>
      </w:r>
    </w:p>
    <w:p w14:paraId="05AB9F49" w14:textId="16342224" w:rsidR="00F819D9" w:rsidRDefault="006F1617">
      <w:pPr>
        <w:spacing w:after="120" w:line="276" w:lineRule="auto"/>
        <w:jc w:val="both"/>
      </w:pPr>
      <w:r>
        <w:t xml:space="preserve">Le second temps, conduit en parallèle puis au-delà, approfondit l'architecture fonctionnelle et produit l'organigramme cible détaillé, le référentiel de responsabilités (RACI), le plan </w:t>
      </w:r>
      <w:r w:rsidR="00963E1C">
        <w:t xml:space="preserve">RH et </w:t>
      </w:r>
      <w:r>
        <w:t>de compétences et le modèle économique.</w:t>
      </w:r>
      <w:r w:rsidR="00963E1C">
        <w:t xml:space="preserve"> Il détaille la macro-structure,</w:t>
      </w:r>
      <w:r>
        <w:t xml:space="preserve"> la dimensionne et la projette vers la cible de l’Agence à court, moyen et long terme.</w:t>
      </w:r>
    </w:p>
    <w:p w14:paraId="240A78AE" w14:textId="77777777" w:rsidR="00F819D9" w:rsidRDefault="006F1617">
      <w:pPr>
        <w:pStyle w:val="Titre2"/>
        <w:spacing w:before="220" w:after="100"/>
      </w:pPr>
      <w:r>
        <w:rPr>
          <w:b/>
          <w:bCs/>
          <w:color w:val="015B54"/>
          <w:sz w:val="24"/>
          <w:szCs w:val="24"/>
        </w:rPr>
        <w:t>5.4. Principe de capitalisation</w:t>
      </w:r>
    </w:p>
    <w:p w14:paraId="40C477CA" w14:textId="0FE39604" w:rsidR="00F819D9" w:rsidRDefault="006E7EB2">
      <w:pPr>
        <w:spacing w:after="120" w:line="276" w:lineRule="auto"/>
        <w:jc w:val="both"/>
      </w:pPr>
      <w:r>
        <w:t>Le Consultant part des travaux existants (diagnostic ACACIA, diagnostic LuxDev, notes et propositions de l'assistance technique) et n'en réinstruit que ce qui a évolué ou n'a pas été traité. Il actualise ces travaux avec les usages actuels et intègre la vision et les orientations de la Direction Générale.</w:t>
      </w:r>
    </w:p>
    <w:p w14:paraId="52226B99" w14:textId="77777777" w:rsidR="00F819D9" w:rsidRDefault="006F1617">
      <w:pPr>
        <w:pStyle w:val="Titre1"/>
        <w:spacing w:before="320" w:after="140"/>
      </w:pPr>
      <w:r>
        <w:rPr>
          <w:b/>
          <w:bCs/>
          <w:color w:val="263375"/>
          <w:sz w:val="30"/>
          <w:szCs w:val="30"/>
        </w:rPr>
        <w:t>6. Questions d'audit détaillées</w:t>
      </w:r>
    </w:p>
    <w:p w14:paraId="0D86BB2E" w14:textId="77777777" w:rsidR="00F819D9" w:rsidRDefault="006F1617">
      <w:pPr>
        <w:spacing w:after="120" w:line="276" w:lineRule="auto"/>
        <w:jc w:val="both"/>
      </w:pPr>
      <w:r>
        <w:t>Les questions ci-dessous structurent l'analyse. Elles ne sont pas limitatives : Le Consultant peut les compléter, à condition de rester au service de la cible définie à la section 3.</w:t>
      </w:r>
    </w:p>
    <w:p w14:paraId="04C78B16" w14:textId="77777777" w:rsidR="00F819D9" w:rsidRDefault="006F1617">
      <w:pPr>
        <w:pStyle w:val="Titre2"/>
        <w:spacing w:before="220" w:after="100"/>
      </w:pPr>
      <w:r>
        <w:rPr>
          <w:b/>
          <w:bCs/>
          <w:color w:val="015B54"/>
          <w:sz w:val="24"/>
          <w:szCs w:val="24"/>
        </w:rPr>
        <w:t>6.1. Alignement mandat / missions / périmètre réel</w:t>
      </w:r>
    </w:p>
    <w:p w14:paraId="762F8762" w14:textId="77777777" w:rsidR="00F819D9" w:rsidRDefault="006F1617">
      <w:pPr>
        <w:pStyle w:val="Paragraphedeliste"/>
        <w:numPr>
          <w:ilvl w:val="0"/>
          <w:numId w:val="2"/>
        </w:numPr>
        <w:spacing w:after="70" w:line="270" w:lineRule="auto"/>
        <w:jc w:val="both"/>
      </w:pPr>
      <w:r>
        <w:t>L'organisation actuelle couvre-t-elle l'ensemble des missions confiées par les textes fondateurs (décret n°2022-199, loi n°2020-03) ?</w:t>
      </w:r>
    </w:p>
    <w:p w14:paraId="1869A3E1" w14:textId="77777777" w:rsidR="00F819D9" w:rsidRDefault="007E5019">
      <w:pPr>
        <w:pStyle w:val="Paragraphedeliste"/>
        <w:numPr>
          <w:ilvl w:val="0"/>
          <w:numId w:val="2"/>
        </w:numPr>
        <w:spacing w:after="70" w:line="270" w:lineRule="auto"/>
        <w:jc w:val="both"/>
      </w:pPr>
      <w:r>
        <w:t>Le périmètre réel de l'Agence est-il reflété dans l'organisation ? Quelles fonctions ne trouvent aujourd'hui aucun responsable ?</w:t>
      </w:r>
    </w:p>
    <w:p w14:paraId="27C0AA29" w14:textId="77777777" w:rsidR="00F819D9" w:rsidRDefault="006F1617">
      <w:pPr>
        <w:pStyle w:val="Paragraphedeliste"/>
        <w:numPr>
          <w:ilvl w:val="0"/>
          <w:numId w:val="2"/>
        </w:numPr>
        <w:spacing w:after="70" w:line="270" w:lineRule="auto"/>
        <w:jc w:val="both"/>
      </w:pPr>
      <w:r>
        <w:t>Les orientations de la PNPDPME 2025-2034 et de la SNPDPME 2025-2029 sont-elles traduites dans les fonctions de l'Agence ?</w:t>
      </w:r>
    </w:p>
    <w:p w14:paraId="254C9BF2" w14:textId="77777777" w:rsidR="00F819D9" w:rsidRDefault="006F1617">
      <w:pPr>
        <w:pStyle w:val="Titre2"/>
        <w:spacing w:before="220" w:after="100"/>
      </w:pPr>
      <w:r>
        <w:rPr>
          <w:b/>
          <w:bCs/>
          <w:color w:val="015B54"/>
          <w:sz w:val="24"/>
          <w:szCs w:val="24"/>
        </w:rPr>
        <w:t>6.2. Structure et gouvernance</w:t>
      </w:r>
    </w:p>
    <w:p w14:paraId="07075D79" w14:textId="77777777" w:rsidR="00F819D9" w:rsidRDefault="006F1617">
      <w:pPr>
        <w:pStyle w:val="Paragraphedeliste"/>
        <w:numPr>
          <w:ilvl w:val="0"/>
          <w:numId w:val="2"/>
        </w:numPr>
        <w:spacing w:after="70" w:line="270" w:lineRule="auto"/>
        <w:jc w:val="both"/>
      </w:pPr>
      <w:r>
        <w:t>Quels sont les schémas organisationnels coexistants, et quelles divergences de rattachement doivent être arbitrées ?</w:t>
      </w:r>
    </w:p>
    <w:p w14:paraId="4099942B" w14:textId="77777777" w:rsidR="00F819D9" w:rsidRDefault="006F1617">
      <w:pPr>
        <w:pStyle w:val="Paragraphedeliste"/>
        <w:numPr>
          <w:ilvl w:val="0"/>
          <w:numId w:val="2"/>
        </w:numPr>
        <w:spacing w:after="70" w:line="270" w:lineRule="auto"/>
        <w:jc w:val="both"/>
      </w:pPr>
      <w:r>
        <w:t>Comment formaliser la gouvernance inter-directions (référentiel RACI, instances, rythme de décision) pour lever les blocages au sommet ?</w:t>
      </w:r>
    </w:p>
    <w:p w14:paraId="5ED60BB6" w14:textId="77777777" w:rsidR="00F819D9" w:rsidRDefault="006F1617">
      <w:pPr>
        <w:pStyle w:val="Paragraphedeliste"/>
        <w:numPr>
          <w:ilvl w:val="0"/>
          <w:numId w:val="2"/>
        </w:numPr>
        <w:spacing w:after="70" w:line="270" w:lineRule="auto"/>
        <w:jc w:val="both"/>
      </w:pPr>
      <w:r>
        <w:t>La macro-structure proposée (directions, staffs, rattachements) est-elle cohérente avec le mandat et soutenable en régime permanent ?</w:t>
      </w:r>
    </w:p>
    <w:p w14:paraId="548C3A01" w14:textId="77777777" w:rsidR="00F819D9" w:rsidRDefault="006F1617">
      <w:pPr>
        <w:pStyle w:val="Titre2"/>
        <w:spacing w:before="220" w:after="100"/>
      </w:pPr>
      <w:r>
        <w:rPr>
          <w:b/>
          <w:bCs/>
          <w:color w:val="015B54"/>
          <w:sz w:val="24"/>
          <w:szCs w:val="24"/>
        </w:rPr>
        <w:t>6.3. Processus cœur de métier</w:t>
      </w:r>
    </w:p>
    <w:p w14:paraId="229A1FFE" w14:textId="77777777" w:rsidR="00F819D9" w:rsidRDefault="006F1617">
      <w:pPr>
        <w:pStyle w:val="Paragraphedeliste"/>
        <w:numPr>
          <w:ilvl w:val="0"/>
          <w:numId w:val="2"/>
        </w:numPr>
        <w:spacing w:after="70" w:line="270" w:lineRule="auto"/>
        <w:jc w:val="both"/>
      </w:pPr>
      <w:r>
        <w:t>Le parcours PME et le manuel d'opération sont-ils stabilisés, cohérents et appropriés par les équipes ? Quel dispositif garantit leur internalisation et déploiement effectif ?</w:t>
      </w:r>
    </w:p>
    <w:p w14:paraId="0DCA0EC5" w14:textId="77777777" w:rsidR="00F819D9" w:rsidRDefault="006F1617">
      <w:pPr>
        <w:pStyle w:val="Paragraphedeliste"/>
        <w:numPr>
          <w:ilvl w:val="0"/>
          <w:numId w:val="2"/>
        </w:numPr>
        <w:spacing w:after="70" w:line="270" w:lineRule="auto"/>
        <w:jc w:val="both"/>
      </w:pPr>
      <w:r>
        <w:t>Comment le métier d'accompagnement / financement doit-il être structuré comme fonction durable, au-delà des pilotes, en distinguant le noyau permanent de la montée en charge sur projet ?</w:t>
      </w:r>
    </w:p>
    <w:p w14:paraId="1BA55796" w14:textId="77777777" w:rsidR="00F819D9" w:rsidRDefault="006F1617">
      <w:pPr>
        <w:pStyle w:val="Paragraphedeliste"/>
        <w:numPr>
          <w:ilvl w:val="0"/>
          <w:numId w:val="2"/>
        </w:numPr>
        <w:spacing w:after="70" w:line="270" w:lineRule="auto"/>
        <w:jc w:val="both"/>
      </w:pPr>
      <w:r>
        <w:t>Les processus d'instruction, de sélection, d’accompagnement et de financement présentent-ils des goulots d'étranglement, et comment l'organisation cible les résout-elle ?</w:t>
      </w:r>
    </w:p>
    <w:p w14:paraId="311DDBED" w14:textId="4AC9D5EC" w:rsidR="007E5019" w:rsidRDefault="007E5019">
      <w:pPr>
        <w:pStyle w:val="Paragraphedeliste"/>
        <w:numPr>
          <w:ilvl w:val="0"/>
          <w:numId w:val="2"/>
        </w:numPr>
        <w:spacing w:after="70" w:line="270" w:lineRule="auto"/>
        <w:jc w:val="both"/>
      </w:pPr>
      <w:r>
        <w:t>Le métier est-il articulé avec les rôles des</w:t>
      </w:r>
      <w:r w:rsidR="003A08EC">
        <w:t xml:space="preserve"> SAE,</w:t>
      </w:r>
      <w:r>
        <w:t xml:space="preserve"> institutions financières, de la CDC Bénin, du FIGPME ?</w:t>
      </w:r>
    </w:p>
    <w:p w14:paraId="618AE30B" w14:textId="77777777" w:rsidR="00617013" w:rsidRDefault="00617013">
      <w:pPr>
        <w:pStyle w:val="Paragraphedeliste"/>
        <w:numPr>
          <w:ilvl w:val="0"/>
          <w:numId w:val="2"/>
        </w:numPr>
        <w:spacing w:after="70" w:line="270" w:lineRule="auto"/>
        <w:jc w:val="both"/>
      </w:pPr>
      <w:r>
        <w:t xml:space="preserve">Les compétences requises pour déployer la stratégie sont-elles disponibles en interne ? </w:t>
      </w:r>
    </w:p>
    <w:p w14:paraId="283515EF" w14:textId="77777777" w:rsidR="00F819D9" w:rsidRDefault="006F1617">
      <w:pPr>
        <w:pStyle w:val="Titre2"/>
        <w:spacing w:before="220" w:after="100"/>
      </w:pPr>
      <w:r>
        <w:rPr>
          <w:b/>
          <w:bCs/>
          <w:color w:val="015B54"/>
          <w:sz w:val="24"/>
          <w:szCs w:val="24"/>
        </w:rPr>
        <w:t>6.4. Backbone numérique et données</w:t>
      </w:r>
    </w:p>
    <w:p w14:paraId="17972BBF" w14:textId="77777777" w:rsidR="00F819D9" w:rsidRDefault="006F1617">
      <w:pPr>
        <w:pStyle w:val="Paragraphedeliste"/>
        <w:numPr>
          <w:ilvl w:val="0"/>
          <w:numId w:val="2"/>
        </w:numPr>
        <w:spacing w:after="70" w:line="270" w:lineRule="auto"/>
        <w:jc w:val="both"/>
      </w:pPr>
      <w:r>
        <w:t>ePME est-il approprié en interne comme colonne vertébrale, ou seulement exploité comme canal technique ? Quel dispositif d'appropriation prévoir ?</w:t>
      </w:r>
    </w:p>
    <w:p w14:paraId="1D760186" w14:textId="77777777" w:rsidR="00F819D9" w:rsidRDefault="006F1617">
      <w:pPr>
        <w:pStyle w:val="Paragraphedeliste"/>
        <w:numPr>
          <w:ilvl w:val="0"/>
          <w:numId w:val="2"/>
        </w:numPr>
        <w:spacing w:after="70" w:line="270" w:lineRule="auto"/>
        <w:jc w:val="both"/>
      </w:pPr>
      <w:r>
        <w:t>Comment structurer la culture de la donnée et la fonction d'intelligence économique, et à quel niveau les rattacher pour qu'elles alimentent les stratégies sectorielles et l'accès aux marchés ?</w:t>
      </w:r>
    </w:p>
    <w:p w14:paraId="532541ED" w14:textId="77777777" w:rsidR="00F819D9" w:rsidRDefault="006F1617">
      <w:pPr>
        <w:pStyle w:val="Titre2"/>
        <w:spacing w:before="220" w:after="100"/>
      </w:pPr>
      <w:r>
        <w:rPr>
          <w:b/>
          <w:bCs/>
          <w:color w:val="015B54"/>
          <w:sz w:val="24"/>
          <w:szCs w:val="24"/>
        </w:rPr>
        <w:t>6.5. Déploiement territorial et dispositif SAE</w:t>
      </w:r>
    </w:p>
    <w:p w14:paraId="575F0F8A" w14:textId="77777777" w:rsidR="00F819D9" w:rsidRDefault="006F1617">
      <w:pPr>
        <w:pStyle w:val="Paragraphedeliste"/>
        <w:numPr>
          <w:ilvl w:val="0"/>
          <w:numId w:val="2"/>
        </w:numPr>
        <w:spacing w:after="70" w:line="270" w:lineRule="auto"/>
        <w:jc w:val="both"/>
      </w:pPr>
      <w:r>
        <w:t>Comment structurer le déploiement territorial de l'Agence ?</w:t>
      </w:r>
    </w:p>
    <w:p w14:paraId="74E4174B" w14:textId="77777777" w:rsidR="00F819D9" w:rsidRDefault="007E5019">
      <w:pPr>
        <w:pStyle w:val="Paragraphedeliste"/>
        <w:numPr>
          <w:ilvl w:val="0"/>
          <w:numId w:val="2"/>
        </w:numPr>
        <w:spacing w:after="70" w:line="270" w:lineRule="auto"/>
        <w:jc w:val="both"/>
      </w:pPr>
      <w:r>
        <w:t>Quelle stratégie de pilotage (sélection, catégorisation, labellisation, renforcement continu des capacités) des SAE ?</w:t>
      </w:r>
    </w:p>
    <w:p w14:paraId="6D5E833E" w14:textId="77777777" w:rsidR="00F819D9" w:rsidRDefault="006F1617">
      <w:pPr>
        <w:pStyle w:val="Paragraphedeliste"/>
        <w:numPr>
          <w:ilvl w:val="0"/>
          <w:numId w:val="2"/>
        </w:numPr>
        <w:spacing w:after="70" w:line="270" w:lineRule="auto"/>
        <w:jc w:val="both"/>
      </w:pPr>
      <w:r>
        <w:t>Quelle fonction, dans l'organisation cible, porte durablement la relation aux SAE et la présence territoriale ?</w:t>
      </w:r>
    </w:p>
    <w:p w14:paraId="5DDDCA0C" w14:textId="77777777" w:rsidR="00F819D9" w:rsidRDefault="006F1617">
      <w:pPr>
        <w:pStyle w:val="Titre2"/>
        <w:spacing w:before="220" w:after="100"/>
      </w:pPr>
      <w:r>
        <w:rPr>
          <w:b/>
          <w:bCs/>
          <w:color w:val="015B54"/>
          <w:sz w:val="24"/>
          <w:szCs w:val="24"/>
        </w:rPr>
        <w:t>6.6. Stratégies transversales et sectorielles</w:t>
      </w:r>
    </w:p>
    <w:p w14:paraId="209D1730" w14:textId="77777777" w:rsidR="00F819D9" w:rsidRDefault="006F1617">
      <w:pPr>
        <w:pStyle w:val="Paragraphedeliste"/>
        <w:numPr>
          <w:ilvl w:val="0"/>
          <w:numId w:val="2"/>
        </w:numPr>
        <w:spacing w:after="70" w:line="270" w:lineRule="auto"/>
        <w:jc w:val="both"/>
      </w:pPr>
      <w:r>
        <w:t>Comment ancrer les stratégies transversales (entrepreneuriat féminin, entrepreneuriat vert, ESG, ESS, coopératives, etc.) comme fonctions à part entière, et non comme composantes ponctuelles ?</w:t>
      </w:r>
    </w:p>
    <w:p w14:paraId="458F4456" w14:textId="77777777" w:rsidR="00F819D9" w:rsidRDefault="006F1617">
      <w:pPr>
        <w:pStyle w:val="Paragraphedeliste"/>
        <w:numPr>
          <w:ilvl w:val="0"/>
          <w:numId w:val="2"/>
        </w:numPr>
        <w:spacing w:after="70" w:line="270" w:lineRule="auto"/>
        <w:jc w:val="both"/>
      </w:pPr>
      <w:r>
        <w:t>Comment organiser le développement des stratégies sectorielles et de filière portées par les projets, et leur articulation avec le cœur de métier ?</w:t>
      </w:r>
    </w:p>
    <w:p w14:paraId="243D5E0D" w14:textId="77777777" w:rsidR="00F819D9" w:rsidRDefault="00241D24">
      <w:pPr>
        <w:pStyle w:val="Titre2"/>
        <w:spacing w:before="220" w:after="100"/>
      </w:pPr>
      <w:r>
        <w:rPr>
          <w:b/>
          <w:bCs/>
          <w:color w:val="015B54"/>
          <w:sz w:val="24"/>
          <w:szCs w:val="24"/>
        </w:rPr>
        <w:t>6.7. Ressources humaines et compétences</w:t>
      </w:r>
    </w:p>
    <w:p w14:paraId="614DE526" w14:textId="77777777" w:rsidR="00F819D9" w:rsidRDefault="006F1617">
      <w:pPr>
        <w:pStyle w:val="Paragraphedeliste"/>
        <w:numPr>
          <w:ilvl w:val="0"/>
          <w:numId w:val="2"/>
        </w:numPr>
        <w:spacing w:after="70" w:line="270" w:lineRule="auto"/>
        <w:jc w:val="both"/>
      </w:pPr>
      <w:r>
        <w:t>Quel est l'écart entre les compétences disponibles et celles requises par les fonctions cibles ?</w:t>
      </w:r>
    </w:p>
    <w:p w14:paraId="045CC723" w14:textId="77777777" w:rsidR="00F819D9" w:rsidRDefault="006F1617">
      <w:pPr>
        <w:pStyle w:val="Paragraphedeliste"/>
        <w:numPr>
          <w:ilvl w:val="0"/>
          <w:numId w:val="2"/>
        </w:numPr>
        <w:spacing w:after="70" w:line="270" w:lineRule="auto"/>
        <w:jc w:val="both"/>
      </w:pPr>
      <w:r>
        <w:t>Quelles fonctions relèvent du budget national (permanentes) et lesquelles peuvent être armées ou amorcées sur budgets-projets, avec quel plan de bascule vers la dotation ?</w:t>
      </w:r>
    </w:p>
    <w:p w14:paraId="76504581" w14:textId="77777777" w:rsidR="00F819D9" w:rsidRDefault="006F1617">
      <w:pPr>
        <w:pStyle w:val="Paragraphedeliste"/>
        <w:numPr>
          <w:ilvl w:val="0"/>
          <w:numId w:val="2"/>
        </w:numPr>
        <w:spacing w:after="70" w:line="270" w:lineRule="auto"/>
        <w:jc w:val="both"/>
      </w:pPr>
      <w:r>
        <w:t>Comment sécuriser la soutenabilité des postes aujourd'hui financés sur ressources bailleurs et voués à l'internalisation ?</w:t>
      </w:r>
    </w:p>
    <w:p w14:paraId="0087641F" w14:textId="77777777" w:rsidR="00F819D9" w:rsidRDefault="00241D24">
      <w:pPr>
        <w:pStyle w:val="Titre2"/>
        <w:spacing w:before="220" w:after="100"/>
      </w:pPr>
      <w:r>
        <w:rPr>
          <w:b/>
          <w:bCs/>
          <w:color w:val="015B54"/>
          <w:sz w:val="24"/>
          <w:szCs w:val="24"/>
        </w:rPr>
        <w:t>6.8. Gestion des projets et programmes multi-bailleurs</w:t>
      </w:r>
    </w:p>
    <w:p w14:paraId="6518AF48" w14:textId="77777777" w:rsidR="00F819D9" w:rsidRDefault="006F1617">
      <w:pPr>
        <w:pStyle w:val="Paragraphedeliste"/>
        <w:numPr>
          <w:ilvl w:val="0"/>
          <w:numId w:val="2"/>
        </w:numPr>
        <w:spacing w:after="70" w:line="270" w:lineRule="auto"/>
        <w:jc w:val="both"/>
      </w:pPr>
      <w:r>
        <w:t>Comment structurer le dispositif de gestion appropriée des projets et programmes des PTF en lien avec la nouvelle organisation ?</w:t>
      </w:r>
    </w:p>
    <w:p w14:paraId="7F095BEF" w14:textId="77777777" w:rsidR="00F819D9" w:rsidRDefault="006F1617">
      <w:pPr>
        <w:pStyle w:val="Paragraphedeliste"/>
        <w:numPr>
          <w:ilvl w:val="0"/>
          <w:numId w:val="2"/>
        </w:numPr>
        <w:spacing w:after="70" w:line="270" w:lineRule="auto"/>
        <w:jc w:val="both"/>
      </w:pPr>
      <w:r>
        <w:t>Quel dispositif de coordination, de registre unique et de reporting harmonisé vers la tutelle et les partenaires ?</w:t>
      </w:r>
    </w:p>
    <w:p w14:paraId="2518D204" w14:textId="77777777" w:rsidR="00F819D9" w:rsidRDefault="006F1617">
      <w:pPr>
        <w:pStyle w:val="Paragraphedeliste"/>
        <w:numPr>
          <w:ilvl w:val="0"/>
          <w:numId w:val="2"/>
        </w:numPr>
        <w:spacing w:after="70" w:line="270" w:lineRule="auto"/>
        <w:jc w:val="both"/>
      </w:pPr>
      <w:r>
        <w:t>Comment l'organisation absorbe-t-elle la charge de coordination liée à la multiplicité des bailleurs et de leurs logiques de reporting ?</w:t>
      </w:r>
    </w:p>
    <w:p w14:paraId="443DB666" w14:textId="77777777" w:rsidR="00F819D9" w:rsidRDefault="00241D24">
      <w:pPr>
        <w:pStyle w:val="Titre2"/>
        <w:spacing w:before="220" w:after="100"/>
      </w:pPr>
      <w:r>
        <w:rPr>
          <w:b/>
          <w:bCs/>
          <w:color w:val="015B54"/>
          <w:sz w:val="24"/>
          <w:szCs w:val="24"/>
        </w:rPr>
        <w:t>6.9. Modèle économique et soutenabilité financière</w:t>
      </w:r>
    </w:p>
    <w:p w14:paraId="0E8B43D2" w14:textId="77777777" w:rsidR="00F819D9" w:rsidRDefault="006F1617">
      <w:pPr>
        <w:pStyle w:val="Paragraphedeliste"/>
        <w:numPr>
          <w:ilvl w:val="0"/>
          <w:numId w:val="2"/>
        </w:numPr>
        <w:spacing w:after="70" w:line="270" w:lineRule="auto"/>
        <w:jc w:val="both"/>
      </w:pPr>
      <w:r>
        <w:t>Quel est le coût de fonctionnement de la structure cible en régime permanent, fonction par fonction ?</w:t>
      </w:r>
    </w:p>
    <w:p w14:paraId="0FB57DD3" w14:textId="77777777" w:rsidR="00F819D9" w:rsidRDefault="006F1617">
      <w:pPr>
        <w:pStyle w:val="Paragraphedeliste"/>
        <w:numPr>
          <w:ilvl w:val="0"/>
          <w:numId w:val="2"/>
        </w:numPr>
        <w:spacing w:after="70" w:line="270" w:lineRule="auto"/>
        <w:jc w:val="both"/>
      </w:pPr>
      <w:r>
        <w:t>Où passe la ligne de partage entre les fonctions financées par la dotation de l'État (socle) et celles financées par les projets, avec pour ces dernières une échéance de bascule ou d'extinction ?</w:t>
      </w:r>
    </w:p>
    <w:p w14:paraId="40A8B369" w14:textId="77777777" w:rsidR="00F819D9" w:rsidRDefault="006F1617">
      <w:pPr>
        <w:pStyle w:val="Paragraphedeliste"/>
        <w:numPr>
          <w:ilvl w:val="0"/>
          <w:numId w:val="2"/>
        </w:numPr>
        <w:spacing w:after="70" w:line="270" w:lineRule="auto"/>
        <w:jc w:val="both"/>
      </w:pPr>
      <w:r>
        <w:t>Quel est l'écart entre le coût du socle permanent et la dotation actuelle — c'est-à-dire le montant de l'allocation supplémentaire à demander à la tutelle ?</w:t>
      </w:r>
    </w:p>
    <w:p w14:paraId="10C13C0D" w14:textId="6ECAE6B9" w:rsidR="00F819D9" w:rsidRDefault="006F1617">
      <w:pPr>
        <w:pStyle w:val="Titre1"/>
        <w:spacing w:before="320" w:after="140"/>
      </w:pPr>
      <w:r>
        <w:rPr>
          <w:b/>
          <w:bCs/>
          <w:color w:val="263375"/>
          <w:sz w:val="30"/>
          <w:szCs w:val="30"/>
        </w:rPr>
        <w:t xml:space="preserve">7. </w:t>
      </w:r>
      <w:bookmarkStart w:id="0" w:name="_GoBack"/>
      <w:r>
        <w:rPr>
          <w:b/>
          <w:bCs/>
          <w:color w:val="263375"/>
          <w:sz w:val="30"/>
          <w:szCs w:val="30"/>
        </w:rPr>
        <w:t>Livrables attendus</w:t>
      </w:r>
      <w:r w:rsidR="003A1756">
        <w:rPr>
          <w:b/>
          <w:bCs/>
          <w:color w:val="263375"/>
          <w:sz w:val="30"/>
          <w:szCs w:val="30"/>
        </w:rPr>
        <w:t xml:space="preserve"> </w:t>
      </w:r>
    </w:p>
    <w:p w14:paraId="6029665C" w14:textId="77777777" w:rsidR="00F819D9" w:rsidRDefault="006F1617">
      <w:pPr>
        <w:pStyle w:val="Titre2"/>
        <w:spacing w:before="220" w:after="100"/>
      </w:pPr>
      <w:r>
        <w:rPr>
          <w:b/>
          <w:bCs/>
          <w:color w:val="015B54"/>
          <w:sz w:val="24"/>
          <w:szCs w:val="24"/>
        </w:rPr>
        <w:t>7.1. Livrable 1 — Rapport de consolidation macro (fin du Temps 1)</w:t>
      </w:r>
    </w:p>
    <w:p w14:paraId="2F48B4A2" w14:textId="622FEB4C" w:rsidR="00F819D9" w:rsidRDefault="006F1617">
      <w:pPr>
        <w:spacing w:after="120" w:line="276" w:lineRule="auto"/>
        <w:jc w:val="both"/>
      </w:pPr>
      <w:r>
        <w:t>À l'issue du Temps 1, le Consultant remet un rapport de consolidation présentant : la synthèse actualisée des diagnostics existants ; l’intégration de la vision et des orientations de la Direction Générale, la proposition de macro-structure (directions, rattachements, fonctions de portage, compétences clés par direction, service, cellule, fonctions supports) ; et les éléments nécessaires à la décision du Conseil d'Administration. Ce livrable est conçu pour être validé par la Direction Générale et directement présentable au Conseil.</w:t>
      </w:r>
    </w:p>
    <w:p w14:paraId="6362A570" w14:textId="4452AC8D" w:rsidR="00024B92" w:rsidRDefault="00024B92">
      <w:pPr>
        <w:spacing w:after="120" w:line="276" w:lineRule="auto"/>
        <w:jc w:val="both"/>
      </w:pPr>
      <w:r>
        <w:t>Une première restitution (avec présentation Powerpoint) à l’ADPME</w:t>
      </w:r>
      <w:r w:rsidR="003A08EC">
        <w:t xml:space="preserve">, à l’AFD et à </w:t>
      </w:r>
      <w:r>
        <w:t>Expertise France sera effectuée après production du livrable 1.</w:t>
      </w:r>
    </w:p>
    <w:p w14:paraId="13468332" w14:textId="77777777" w:rsidR="00F819D9" w:rsidRDefault="006F1617">
      <w:pPr>
        <w:pStyle w:val="Titre2"/>
        <w:spacing w:before="220" w:after="100"/>
      </w:pPr>
      <w:r>
        <w:rPr>
          <w:b/>
          <w:bCs/>
          <w:color w:val="015B54"/>
          <w:sz w:val="24"/>
          <w:szCs w:val="24"/>
        </w:rPr>
        <w:t>7.2. Livrable 2 — Architecture fonctionnelle et organisation cible (Temps 2)</w:t>
      </w:r>
    </w:p>
    <w:p w14:paraId="1323CE90" w14:textId="77777777" w:rsidR="00F819D9" w:rsidRDefault="006F1617">
      <w:pPr>
        <w:spacing w:after="120" w:line="276" w:lineRule="auto"/>
        <w:jc w:val="both"/>
      </w:pPr>
      <w:r>
        <w:t>Le second livrable comprend :</w:t>
      </w:r>
    </w:p>
    <w:p w14:paraId="5FB82308" w14:textId="77777777" w:rsidR="00F819D9" w:rsidRDefault="00241D24">
      <w:pPr>
        <w:pStyle w:val="Paragraphedeliste"/>
        <w:numPr>
          <w:ilvl w:val="0"/>
          <w:numId w:val="2"/>
        </w:numPr>
        <w:spacing w:after="70" w:line="270" w:lineRule="auto"/>
        <w:jc w:val="both"/>
      </w:pPr>
      <w:r>
        <w:t>L’architecture fonctionnelle cible et l'organigramme détaillé associé ;</w:t>
      </w:r>
    </w:p>
    <w:p w14:paraId="3624D701" w14:textId="77777777" w:rsidR="00F819D9" w:rsidRPr="00241D24" w:rsidRDefault="00241D24">
      <w:pPr>
        <w:pStyle w:val="Paragraphedeliste"/>
        <w:numPr>
          <w:ilvl w:val="0"/>
          <w:numId w:val="2"/>
        </w:numPr>
        <w:spacing w:after="70" w:line="270" w:lineRule="auto"/>
        <w:jc w:val="both"/>
      </w:pPr>
      <w:r>
        <w:t>Le référentiel de responsabilités (RACI) inter-directions ;</w:t>
      </w:r>
    </w:p>
    <w:p w14:paraId="3E5906D2" w14:textId="77777777" w:rsidR="00F819D9" w:rsidRPr="00241D24" w:rsidRDefault="00241D24">
      <w:pPr>
        <w:pStyle w:val="Paragraphedeliste"/>
        <w:numPr>
          <w:ilvl w:val="0"/>
          <w:numId w:val="2"/>
        </w:numPr>
        <w:spacing w:after="70" w:line="270" w:lineRule="auto"/>
        <w:jc w:val="both"/>
      </w:pPr>
      <w:r>
        <w:rPr>
          <w:bCs/>
        </w:rPr>
        <w:t>Le rattachement de chacun des chantiers structurants à un propriétaire fonctionnel</w:t>
      </w:r>
      <w:r>
        <w:t xml:space="preserve"> dans l'organisation cible ;</w:t>
      </w:r>
    </w:p>
    <w:p w14:paraId="78678EBC" w14:textId="77777777" w:rsidR="00F819D9" w:rsidRPr="00241D24" w:rsidRDefault="00241D24">
      <w:pPr>
        <w:pStyle w:val="Paragraphedeliste"/>
        <w:numPr>
          <w:ilvl w:val="0"/>
          <w:numId w:val="2"/>
        </w:numPr>
        <w:spacing w:after="70" w:line="270" w:lineRule="auto"/>
        <w:jc w:val="both"/>
      </w:pPr>
      <w:r>
        <w:rPr>
          <w:bCs/>
        </w:rPr>
        <w:t>Le modèle économique de pérennisation</w:t>
      </w:r>
      <w:r>
        <w:t>, comprenant : (i) le coût de la structure cible en régime permanent ; (ii) la ligne de partage socle permanent / projet, fonction par fonction ; (iii) l'écart de dotation à combler, formulé comme demande chiffrée à la tutelle ;</w:t>
      </w:r>
    </w:p>
    <w:p w14:paraId="37DBCA71" w14:textId="77777777" w:rsidR="00F819D9" w:rsidRDefault="00241D24">
      <w:pPr>
        <w:pStyle w:val="Paragraphedeliste"/>
        <w:numPr>
          <w:ilvl w:val="0"/>
          <w:numId w:val="2"/>
        </w:numPr>
        <w:spacing w:after="70" w:line="270" w:lineRule="auto"/>
        <w:jc w:val="both"/>
      </w:pPr>
      <w:r>
        <w:t>Le plan de mobilisation des compétences (budget national et budgets-projets) ;</w:t>
      </w:r>
    </w:p>
    <w:p w14:paraId="05F22C8B" w14:textId="078CBE8D" w:rsidR="00F819D9" w:rsidRDefault="00241D24">
      <w:pPr>
        <w:pStyle w:val="Paragraphedeliste"/>
        <w:numPr>
          <w:ilvl w:val="0"/>
          <w:numId w:val="2"/>
        </w:numPr>
        <w:spacing w:after="70" w:line="270" w:lineRule="auto"/>
        <w:jc w:val="both"/>
      </w:pPr>
      <w:r>
        <w:t>Le plan de transition de l'organisation actuelle vers l'organisation cible, articulé aux chantiers en cours et définissant les différents jalons à court, moyen et long terme.</w:t>
      </w:r>
    </w:p>
    <w:p w14:paraId="2A441159" w14:textId="7A6495B6" w:rsidR="00024B92" w:rsidRDefault="00024B92" w:rsidP="00024B92">
      <w:pPr>
        <w:spacing w:after="120" w:line="276" w:lineRule="auto"/>
        <w:jc w:val="both"/>
      </w:pPr>
      <w:r>
        <w:t>Une restitution finale (avec présentation Powerpoint) à l’ADPME et Expertise France sera effectuée après production du livrable 2.</w:t>
      </w:r>
    </w:p>
    <w:p w14:paraId="36A37BA8" w14:textId="77777777" w:rsidR="00F819D9" w:rsidRPr="00024B92" w:rsidRDefault="006F1617">
      <w:pPr>
        <w:pStyle w:val="Titre2"/>
        <w:spacing w:before="220" w:after="100"/>
        <w:rPr>
          <w:b/>
          <w:bCs/>
          <w:color w:val="015B54"/>
          <w:sz w:val="24"/>
          <w:szCs w:val="24"/>
        </w:rPr>
      </w:pPr>
      <w:r w:rsidRPr="00024B92">
        <w:rPr>
          <w:b/>
          <w:bCs/>
          <w:color w:val="015B54"/>
          <w:sz w:val="24"/>
          <w:szCs w:val="24"/>
        </w:rPr>
        <w:t>7.3. Livrable 3 — Rapport final de mission (fin du Temps 3)</w:t>
      </w:r>
    </w:p>
    <w:p w14:paraId="38CBA77C" w14:textId="77777777" w:rsidR="00F819D9" w:rsidRDefault="006F1617">
      <w:pPr>
        <w:spacing w:after="120" w:line="276" w:lineRule="auto"/>
        <w:jc w:val="both"/>
      </w:pPr>
      <w:r w:rsidRPr="00024B92">
        <w:t>À l'issue du Temps 3, le Consultant remet le rapport final de mission. Ce livrable consolide les Livrables 1 et 2 après intégration des retours des points de restitution et des décisions de validation (Direction Générale et, le cas échéant, Conseil d'Administration). Il comprend : une synthèse exécutive de la mission ; l'organisation cible arrêtée (macro-structure, organigramme détaillé, RACI) ; le modèle économique de pérennisation et la demande d'allocation budgétaire chiffrée ; le plan de mobilisation des compétences ; et le plan de transition assorti de ses jalons à court, moyen et long terme. Il constitue le document de référence remis à l'ADPME et à Expertise France en clôture de la mission.</w:t>
      </w:r>
    </w:p>
    <w:p w14:paraId="77E51683" w14:textId="77777777" w:rsidR="00F819D9" w:rsidRPr="00024B92" w:rsidRDefault="006F1617">
      <w:pPr>
        <w:pStyle w:val="Titre2"/>
        <w:spacing w:before="220" w:after="100"/>
        <w:rPr>
          <w:b/>
          <w:bCs/>
          <w:color w:val="015B54"/>
          <w:sz w:val="24"/>
          <w:szCs w:val="24"/>
        </w:rPr>
      </w:pPr>
      <w:r w:rsidRPr="00024B92">
        <w:rPr>
          <w:b/>
          <w:bCs/>
          <w:color w:val="015B54"/>
          <w:sz w:val="24"/>
          <w:szCs w:val="24"/>
        </w:rPr>
        <w:t xml:space="preserve">7.4. </w:t>
      </w:r>
      <w:r>
        <w:rPr>
          <w:b/>
          <w:bCs/>
          <w:color w:val="015B54"/>
          <w:sz w:val="24"/>
          <w:szCs w:val="24"/>
        </w:rPr>
        <w:t>Exigences transverses</w:t>
      </w:r>
    </w:p>
    <w:p w14:paraId="2A9D90F5" w14:textId="598E0901" w:rsidR="00F819D9" w:rsidRDefault="006F1617">
      <w:pPr>
        <w:spacing w:after="120" w:line="276" w:lineRule="auto"/>
        <w:jc w:val="both"/>
      </w:pPr>
      <w:r>
        <w:t>Tous les livrables sont rédigés en français, dans un format éditable, et font l'objet de points de restitution intermédiaires. Les livrables sont validés selon le dispositif de gouvernance défini à la section 9.</w:t>
      </w:r>
    </w:p>
    <w:bookmarkEnd w:id="0"/>
    <w:p w14:paraId="38FC3F0F" w14:textId="77777777" w:rsidR="00024B92" w:rsidRDefault="00024B92">
      <w:pPr>
        <w:spacing w:after="120" w:line="276" w:lineRule="auto"/>
        <w:jc w:val="both"/>
      </w:pPr>
    </w:p>
    <w:p w14:paraId="24F7A623" w14:textId="78664E5B" w:rsidR="003A08EC" w:rsidRDefault="003A08EC" w:rsidP="003A08EC">
      <w:pPr>
        <w:pStyle w:val="Titre1"/>
        <w:spacing w:before="320" w:after="140"/>
      </w:pPr>
      <w:r>
        <w:rPr>
          <w:b/>
          <w:bCs/>
          <w:color w:val="263375"/>
          <w:sz w:val="30"/>
          <w:szCs w:val="30"/>
        </w:rPr>
        <w:t>8. Gouvernance de la mission</w:t>
      </w:r>
    </w:p>
    <w:p w14:paraId="4BAD5F6F" w14:textId="5E501058" w:rsidR="003A08EC" w:rsidRDefault="003A08EC" w:rsidP="003A08EC">
      <w:pPr>
        <w:pStyle w:val="Titre2"/>
        <w:spacing w:before="220" w:after="100"/>
      </w:pPr>
      <w:r>
        <w:rPr>
          <w:b/>
          <w:bCs/>
          <w:color w:val="015B54"/>
          <w:sz w:val="24"/>
          <w:szCs w:val="24"/>
        </w:rPr>
        <w:t>8.1. Commanditaire et bénéficiaire</w:t>
      </w:r>
    </w:p>
    <w:p w14:paraId="5533138B" w14:textId="77777777" w:rsidR="003A08EC" w:rsidRDefault="003A08EC" w:rsidP="003A08EC">
      <w:pPr>
        <w:spacing w:after="120" w:line="276" w:lineRule="auto"/>
        <w:jc w:val="both"/>
      </w:pPr>
      <w:r>
        <w:t xml:space="preserve">La mission est commanditée par la Direction Générale de l’ADPME au travers de l’assistance technique d’Expertise France dans la cadre du projet CHOOSE AFRICA 2 Bénin, sur financement de l'Agence Française de Développement (AFD). </w:t>
      </w:r>
    </w:p>
    <w:p w14:paraId="23819CC1" w14:textId="41A933B1" w:rsidR="003A08EC" w:rsidRDefault="003A08EC" w:rsidP="003A08EC">
      <w:pPr>
        <w:pStyle w:val="Titre2"/>
        <w:spacing w:before="220" w:after="100"/>
      </w:pPr>
      <w:r>
        <w:rPr>
          <w:b/>
          <w:bCs/>
          <w:color w:val="015B54"/>
          <w:sz w:val="24"/>
          <w:szCs w:val="24"/>
        </w:rPr>
        <w:t>8.2. Dispositif de pilotage et de suivi</w:t>
      </w:r>
    </w:p>
    <w:p w14:paraId="3E67691C" w14:textId="77777777" w:rsidR="003A08EC" w:rsidRDefault="003A08EC" w:rsidP="003A08EC">
      <w:pPr>
        <w:spacing w:after="120" w:line="276" w:lineRule="auto"/>
        <w:jc w:val="both"/>
      </w:pPr>
      <w:r>
        <w:t>Un comité restreint de suivi de la mission est mis en place par la Direction Générale. Le comité valide les points d'étape, ajuste les orientations et approuve les livrables. Le comité peut convoquer une réunion de suivi autant que de besoin.</w:t>
      </w:r>
    </w:p>
    <w:p w14:paraId="20383E93" w14:textId="77777777" w:rsidR="003A08EC" w:rsidRPr="00564451" w:rsidRDefault="003A08EC" w:rsidP="003A08EC">
      <w:pPr>
        <w:spacing w:after="120" w:line="276" w:lineRule="auto"/>
        <w:jc w:val="both"/>
        <w:rPr>
          <w:highlight w:val="yellow"/>
        </w:rPr>
      </w:pPr>
      <w:r>
        <w:t>La composition du comité restreint sera arrêtée lors de la réunion de cadrage.</w:t>
      </w:r>
    </w:p>
    <w:p w14:paraId="2007C59A" w14:textId="77777777" w:rsidR="003A08EC" w:rsidRDefault="003A08EC">
      <w:pPr>
        <w:pStyle w:val="Titre1"/>
        <w:spacing w:before="320" w:after="140"/>
        <w:rPr>
          <w:b/>
          <w:bCs/>
          <w:color w:val="263375"/>
          <w:sz w:val="30"/>
          <w:szCs w:val="30"/>
        </w:rPr>
      </w:pPr>
    </w:p>
    <w:p w14:paraId="79CEDA19" w14:textId="32B26993" w:rsidR="00F819D9" w:rsidRDefault="003A08EC">
      <w:pPr>
        <w:pStyle w:val="Titre1"/>
        <w:spacing w:before="320" w:after="140"/>
      </w:pPr>
      <w:r>
        <w:rPr>
          <w:b/>
          <w:bCs/>
          <w:color w:val="263375"/>
          <w:sz w:val="30"/>
          <w:szCs w:val="30"/>
        </w:rPr>
        <w:t>9</w:t>
      </w:r>
      <w:r w:rsidR="006F1617">
        <w:rPr>
          <w:b/>
          <w:bCs/>
          <w:color w:val="263375"/>
          <w:sz w:val="30"/>
          <w:szCs w:val="30"/>
        </w:rPr>
        <w:t>. Profil du Consultant</w:t>
      </w:r>
    </w:p>
    <w:p w14:paraId="0F91DBC8" w14:textId="018909C4" w:rsidR="00F819D9" w:rsidRDefault="003A08EC">
      <w:pPr>
        <w:pStyle w:val="Titre2"/>
        <w:spacing w:before="220" w:after="100"/>
      </w:pPr>
      <w:r>
        <w:rPr>
          <w:b/>
          <w:bCs/>
          <w:color w:val="015B54"/>
          <w:sz w:val="24"/>
          <w:szCs w:val="24"/>
        </w:rPr>
        <w:t>9</w:t>
      </w:r>
      <w:r w:rsidR="006F1617">
        <w:rPr>
          <w:b/>
          <w:bCs/>
          <w:color w:val="015B54"/>
          <w:sz w:val="24"/>
          <w:szCs w:val="24"/>
        </w:rPr>
        <w:t>.1. Nature du prestataire</w:t>
      </w:r>
    </w:p>
    <w:p w14:paraId="69A9544E" w14:textId="77777777" w:rsidR="00D5615B" w:rsidRDefault="00D5615B" w:rsidP="00D5615B">
      <w:pPr>
        <w:spacing w:after="120" w:line="276" w:lineRule="auto"/>
        <w:jc w:val="both"/>
      </w:pPr>
      <w:r>
        <w:t>La mission est confiée à un cabinet disposant des expertises requises, ou à un groupement de consultants individuels disposant d'une expérience avérée sur le métier du continuum et auprès d'institutions publiques en charge du développement du secteur privé.</w:t>
      </w:r>
    </w:p>
    <w:p w14:paraId="20142D92" w14:textId="5BDD61AA" w:rsidR="00D5615B" w:rsidRDefault="00D5615B" w:rsidP="00D5615B">
      <w:pPr>
        <w:spacing w:after="120" w:line="276" w:lineRule="auto"/>
        <w:jc w:val="both"/>
      </w:pPr>
      <w:r>
        <w:t>La mission étant un exercice de consolidation/approfondissement et non de diagnostic à blanc, le prestataire capitalise sur les travaux existants mis à sa disposition. Les offres sont dimensionnées en conséquence : la valeur attendue réside dans la capacité de synthèse, d'a</w:t>
      </w:r>
      <w:r w:rsidR="00024B92">
        <w:t>rbitrage et de mise en décision</w:t>
      </w:r>
      <w:r>
        <w:t>.</w:t>
      </w:r>
    </w:p>
    <w:p w14:paraId="41250FD5" w14:textId="0148641F" w:rsidR="00F819D9" w:rsidRDefault="003A08EC">
      <w:pPr>
        <w:pStyle w:val="Titre2"/>
        <w:spacing w:before="220" w:after="100"/>
      </w:pPr>
      <w:r>
        <w:rPr>
          <w:b/>
          <w:bCs/>
          <w:color w:val="015B54"/>
          <w:sz w:val="24"/>
          <w:szCs w:val="24"/>
        </w:rPr>
        <w:t>9</w:t>
      </w:r>
      <w:r w:rsidR="006F1617">
        <w:rPr>
          <w:b/>
          <w:bCs/>
          <w:color w:val="015B54"/>
          <w:sz w:val="24"/>
          <w:szCs w:val="24"/>
        </w:rPr>
        <w:t>.2. Compétences requises</w:t>
      </w:r>
    </w:p>
    <w:p w14:paraId="45DD3765" w14:textId="77777777" w:rsidR="00D5615B" w:rsidRDefault="00D5615B" w:rsidP="00D5615B">
      <w:pPr>
        <w:pStyle w:val="Paragraphedeliste"/>
        <w:numPr>
          <w:ilvl w:val="0"/>
          <w:numId w:val="2"/>
        </w:numPr>
        <w:spacing w:after="70" w:line="270" w:lineRule="auto"/>
        <w:jc w:val="both"/>
      </w:pPr>
      <w:r>
        <w:t>Audit et diagnostic organisationnel d'institutions publiques ou d'agences de développement ;</w:t>
      </w:r>
    </w:p>
    <w:p w14:paraId="52A2EF70" w14:textId="3D7DAA41" w:rsidR="00D5615B" w:rsidRDefault="00024B92" w:rsidP="00D5615B">
      <w:pPr>
        <w:pStyle w:val="Paragraphedeliste"/>
        <w:numPr>
          <w:ilvl w:val="0"/>
          <w:numId w:val="2"/>
        </w:numPr>
        <w:spacing w:after="70" w:line="270" w:lineRule="auto"/>
        <w:jc w:val="both"/>
      </w:pPr>
      <w:r>
        <w:t>I</w:t>
      </w:r>
      <w:r w:rsidR="00D5615B">
        <w:t>ngénierie organisationnelle et RH (organigrammes, processus, RACI</w:t>
      </w:r>
      <w:r>
        <w:t>, manuels de procédures</w:t>
      </w:r>
      <w:r w:rsidR="00D5615B">
        <w:t>) ;</w:t>
      </w:r>
    </w:p>
    <w:p w14:paraId="4FC87C0B" w14:textId="77777777" w:rsidR="00D5615B" w:rsidRDefault="00D5615B" w:rsidP="00D5615B">
      <w:pPr>
        <w:pStyle w:val="Paragraphedeliste"/>
        <w:numPr>
          <w:ilvl w:val="0"/>
          <w:numId w:val="2"/>
        </w:numPr>
        <w:spacing w:after="70" w:line="270" w:lineRule="auto"/>
        <w:jc w:val="both"/>
      </w:pPr>
      <w:r>
        <w:t>Modèle économique et financier (coût de structure, soutenabilité, articulation dotation / financements-projets) ;</w:t>
      </w:r>
    </w:p>
    <w:p w14:paraId="594BA276" w14:textId="77777777" w:rsidR="00D5615B" w:rsidRDefault="00D5615B" w:rsidP="00D5615B">
      <w:pPr>
        <w:pStyle w:val="Paragraphedeliste"/>
        <w:numPr>
          <w:ilvl w:val="0"/>
          <w:numId w:val="2"/>
        </w:numPr>
        <w:spacing w:after="70" w:line="270" w:lineRule="auto"/>
        <w:jc w:val="both"/>
      </w:pPr>
      <w:r>
        <w:t>Expertise technique sur le continuum accompagnement-financement des PME ;</w:t>
      </w:r>
    </w:p>
    <w:p w14:paraId="45A47B5C" w14:textId="77777777" w:rsidR="00F819D9" w:rsidRDefault="00241D24">
      <w:pPr>
        <w:pStyle w:val="Paragraphedeliste"/>
        <w:numPr>
          <w:ilvl w:val="0"/>
          <w:numId w:val="2"/>
        </w:numPr>
        <w:spacing w:after="70" w:line="270" w:lineRule="auto"/>
        <w:jc w:val="both"/>
      </w:pPr>
      <w:r>
        <w:t>Connaissance de l'écosystème d'appui aux PME, du contexte béninois et des logiques des partenaires techniques et financiers.</w:t>
      </w:r>
    </w:p>
    <w:p w14:paraId="521D40E0" w14:textId="77777777" w:rsidR="00BE55D3" w:rsidRDefault="00C012B5">
      <w:pPr>
        <w:pStyle w:val="Paragraphedeliste"/>
        <w:numPr>
          <w:ilvl w:val="0"/>
          <w:numId w:val="2"/>
        </w:numPr>
        <w:spacing w:after="70" w:line="270" w:lineRule="auto"/>
        <w:jc w:val="both"/>
      </w:pPr>
      <w:r w:rsidRPr="00024B92">
        <w:t>Compréhension des enjeux de système d'information et de données appliqués à une agence publique (appropriation d'un socle numérique de type ePME, structuration d'une fonction d'intelligence économique), en cohérence avec le rôle central reconnu à ePME dans la présente mission.</w:t>
      </w:r>
    </w:p>
    <w:p w14:paraId="474EC404" w14:textId="5135AA6A" w:rsidR="00E128B6" w:rsidRDefault="003A08EC" w:rsidP="00E128B6">
      <w:pPr>
        <w:pStyle w:val="Titre2"/>
        <w:spacing w:before="220" w:after="100"/>
      </w:pPr>
      <w:r>
        <w:rPr>
          <w:b/>
          <w:bCs/>
          <w:color w:val="015B54"/>
          <w:sz w:val="24"/>
          <w:szCs w:val="24"/>
        </w:rPr>
        <w:t>9</w:t>
      </w:r>
      <w:r w:rsidR="007E0B4B">
        <w:rPr>
          <w:b/>
          <w:bCs/>
          <w:color w:val="015B54"/>
          <w:sz w:val="24"/>
          <w:szCs w:val="24"/>
        </w:rPr>
        <w:t>.3. Profil du Consultant</w:t>
      </w:r>
    </w:p>
    <w:p w14:paraId="33C2A3D9" w14:textId="77777777" w:rsidR="00D5615B" w:rsidRDefault="00D5615B" w:rsidP="002A345A">
      <w:pPr>
        <w:spacing w:after="120" w:line="276" w:lineRule="auto"/>
        <w:jc w:val="both"/>
      </w:pPr>
      <w:r>
        <w:t>L'équipe doit être composée à minima de deux experts seniors complémentaires, format cohérent avec la nature de consolidation de la mission et avec le calendrier contraint. Le prestataire désigne parmi eux le chef de mission, interlocuteur du comité de suivi et responsable de la cohérence d'ensemble et des livrables.</w:t>
      </w:r>
    </w:p>
    <w:p w14:paraId="4D147FDE" w14:textId="77777777" w:rsidR="00D5615B" w:rsidRDefault="00D5615B" w:rsidP="00D5615B">
      <w:pPr>
        <w:spacing w:after="70" w:line="270" w:lineRule="auto"/>
        <w:ind w:left="140"/>
        <w:jc w:val="both"/>
      </w:pPr>
    </w:p>
    <w:p w14:paraId="267A3ECB" w14:textId="77777777" w:rsidR="00D5615B" w:rsidRPr="00D5615B" w:rsidRDefault="00D5615B" w:rsidP="002A345A">
      <w:pPr>
        <w:spacing w:after="70" w:line="270" w:lineRule="auto"/>
        <w:jc w:val="both"/>
        <w:rPr>
          <w:b/>
        </w:rPr>
      </w:pPr>
      <w:r>
        <w:rPr>
          <w:b/>
        </w:rPr>
        <w:t>Expert 1 — Expert senior du continuum accompagnement-financement des PME (10+ ans d’expérience)</w:t>
      </w:r>
    </w:p>
    <w:p w14:paraId="656EF3BE" w14:textId="77777777" w:rsidR="003A08EC" w:rsidRDefault="00D5615B" w:rsidP="00BC1EE2">
      <w:pPr>
        <w:pStyle w:val="Paragraphedeliste"/>
        <w:numPr>
          <w:ilvl w:val="0"/>
          <w:numId w:val="2"/>
        </w:numPr>
        <w:spacing w:after="70" w:line="270" w:lineRule="auto"/>
        <w:jc w:val="both"/>
      </w:pPr>
      <w:r>
        <w:t>Il garantit que l'organisation cible est en mesure de faire tourner durablement le cœur de métier de l'Agence.</w:t>
      </w:r>
    </w:p>
    <w:p w14:paraId="27D8FEC5" w14:textId="12D78FD8" w:rsidR="003A08EC" w:rsidRDefault="00D5615B" w:rsidP="00BC1EE2">
      <w:pPr>
        <w:pStyle w:val="Paragraphedeliste"/>
        <w:numPr>
          <w:ilvl w:val="0"/>
          <w:numId w:val="2"/>
        </w:numPr>
        <w:spacing w:after="70" w:line="270" w:lineRule="auto"/>
        <w:jc w:val="both"/>
      </w:pPr>
      <w:r>
        <w:t>Il justifie d'une expertise avérée sur le métier de l'accompagnement (au moins 10 ans d’expérience), du financement et des garanties pour le développement des PME, ainsi que sur les mécanismes opérationnels, les procédures et les parcours d'accompagnement.</w:t>
      </w:r>
    </w:p>
    <w:p w14:paraId="6691E5DD" w14:textId="72B608D7" w:rsidR="003A08EC" w:rsidRDefault="00D5615B" w:rsidP="00BC1EE2">
      <w:pPr>
        <w:pStyle w:val="Paragraphedeliste"/>
        <w:numPr>
          <w:ilvl w:val="0"/>
          <w:numId w:val="2"/>
        </w:numPr>
        <w:spacing w:after="70" w:line="270" w:lineRule="auto"/>
        <w:jc w:val="both"/>
      </w:pPr>
      <w:r>
        <w:t xml:space="preserve">Il maîtrise l'articulation du métier avec les instruments et acteurs </w:t>
      </w:r>
      <w:r w:rsidR="003A08EC">
        <w:t xml:space="preserve">de l’accompagnement technique, </w:t>
      </w:r>
      <w:r>
        <w:t>du financement (dispositifs de garantie, CDC Bénin, FIGPME) et la logique de déploiement territorial de l'offre de services.</w:t>
      </w:r>
    </w:p>
    <w:p w14:paraId="3AC7AEBD" w14:textId="4C7E02DC" w:rsidR="00F94D2B" w:rsidRDefault="00D5615B" w:rsidP="00BC1EE2">
      <w:pPr>
        <w:pStyle w:val="Paragraphedeliste"/>
        <w:numPr>
          <w:ilvl w:val="0"/>
          <w:numId w:val="2"/>
        </w:numPr>
        <w:spacing w:after="70" w:line="270" w:lineRule="auto"/>
        <w:jc w:val="both"/>
      </w:pPr>
      <w:r>
        <w:t>Sa lecture assure la validation opérationnelle de l'organigramme cible. Une connaissance de l’écosystème entrepreneurial du Bénin serait un avantage.</w:t>
      </w:r>
    </w:p>
    <w:p w14:paraId="19875CF5" w14:textId="5CBB72A4" w:rsidR="00D5615B" w:rsidRPr="00F94D2B" w:rsidRDefault="00D5615B" w:rsidP="002A345A">
      <w:pPr>
        <w:spacing w:before="240" w:line="270" w:lineRule="auto"/>
        <w:jc w:val="both"/>
        <w:rPr>
          <w:b/>
        </w:rPr>
      </w:pPr>
      <w:r>
        <w:rPr>
          <w:b/>
        </w:rPr>
        <w:t>Expert 2 — Expert en dispositifs publ</w:t>
      </w:r>
      <w:r w:rsidR="00024B92">
        <w:rPr>
          <w:b/>
        </w:rPr>
        <w:t>ics d'appui au secteur privé (15</w:t>
      </w:r>
      <w:r>
        <w:rPr>
          <w:b/>
        </w:rPr>
        <w:t>+ ans d’expérience)</w:t>
      </w:r>
    </w:p>
    <w:p w14:paraId="6C3B8E3D" w14:textId="77777777" w:rsidR="003A08EC" w:rsidRDefault="00D5615B" w:rsidP="00BC1EE2">
      <w:pPr>
        <w:pStyle w:val="Paragraphedeliste"/>
        <w:numPr>
          <w:ilvl w:val="0"/>
          <w:numId w:val="2"/>
        </w:numPr>
        <w:spacing w:after="70" w:line="270" w:lineRule="auto"/>
        <w:jc w:val="both"/>
      </w:pPr>
      <w:r>
        <w:t>Il porte le regard tiers sur l'architecture institutionnelle de l'Agence.</w:t>
      </w:r>
    </w:p>
    <w:p w14:paraId="7AA64D18" w14:textId="19409B59" w:rsidR="003A08EC" w:rsidRDefault="00D5615B" w:rsidP="00BC1EE2">
      <w:pPr>
        <w:pStyle w:val="Paragraphedeliste"/>
        <w:numPr>
          <w:ilvl w:val="0"/>
          <w:numId w:val="2"/>
        </w:numPr>
        <w:spacing w:after="70" w:line="270" w:lineRule="auto"/>
        <w:jc w:val="both"/>
      </w:pPr>
      <w:r>
        <w:t>Il justifie d'une expertise confirmée en diagnostic institutionnel, en transformation organisationnell</w:t>
      </w:r>
      <w:r w:rsidR="00107FDB">
        <w:t>e et en modélisation économique</w:t>
      </w:r>
      <w:r>
        <w:t>.</w:t>
      </w:r>
    </w:p>
    <w:p w14:paraId="7905E3BD" w14:textId="5E946E9C" w:rsidR="00D5615B" w:rsidRDefault="00D5615B" w:rsidP="00BC1EE2">
      <w:pPr>
        <w:pStyle w:val="Paragraphedeliste"/>
        <w:numPr>
          <w:ilvl w:val="0"/>
          <w:numId w:val="2"/>
        </w:numPr>
        <w:spacing w:after="70" w:line="270" w:lineRule="auto"/>
        <w:jc w:val="both"/>
      </w:pPr>
      <w:r>
        <w:t>À ce titre, il conduit la consolidation de la macro-structure, de l'organigramme cible et du référentiel de responsabilités (RACI) à partir des travaux fournis, et porte le modèle économique de pérennisation : chiffrage de la structure cible, tracé de la ligne socle / projet, articulation dotation / financements-projets. Il assure le dialogue de gouvernance avec la Direction Générale et le comité de suivi</w:t>
      </w:r>
      <w:r w:rsidR="003A08EC">
        <w:t xml:space="preserve"> de la mission</w:t>
      </w:r>
      <w:r>
        <w:t>.</w:t>
      </w:r>
    </w:p>
    <w:p w14:paraId="71FEC776" w14:textId="77777777" w:rsidR="00D5615B" w:rsidRDefault="00D5615B" w:rsidP="00024B92">
      <w:pPr>
        <w:spacing w:after="120" w:line="276" w:lineRule="auto"/>
        <w:jc w:val="both"/>
      </w:pPr>
    </w:p>
    <w:p w14:paraId="5636F92B" w14:textId="77777777" w:rsidR="00D5615B" w:rsidRDefault="00D5615B" w:rsidP="00024B92">
      <w:pPr>
        <w:spacing w:after="120" w:line="276" w:lineRule="auto"/>
        <w:jc w:val="both"/>
      </w:pPr>
      <w:r>
        <w:t>Exigences transversales</w:t>
      </w:r>
    </w:p>
    <w:p w14:paraId="1601D7D7" w14:textId="08CA061E" w:rsidR="00D5615B" w:rsidRDefault="00D5615B" w:rsidP="00024B92">
      <w:pPr>
        <w:spacing w:after="120" w:line="276" w:lineRule="auto"/>
        <w:jc w:val="both"/>
      </w:pPr>
      <w:r>
        <w:t xml:space="preserve">Chacun des deux experts justifie d'une expérience en Afrique de l'Ouest, de préférence au Bénin, et d'une bonne connaissance des </w:t>
      </w:r>
      <w:r w:rsidR="00107FDB">
        <w:t>mécanismes</w:t>
      </w:r>
      <w:r>
        <w:t xml:space="preserve"> des parten</w:t>
      </w:r>
      <w:r w:rsidR="00024B92">
        <w:t>aires techniques et financiers.</w:t>
      </w:r>
    </w:p>
    <w:p w14:paraId="5FC21830" w14:textId="77777777" w:rsidR="00E128B6" w:rsidRDefault="00E128B6" w:rsidP="00E128B6">
      <w:pPr>
        <w:spacing w:after="70" w:line="270" w:lineRule="auto"/>
        <w:jc w:val="both"/>
      </w:pPr>
    </w:p>
    <w:p w14:paraId="23C66F8F" w14:textId="77777777" w:rsidR="00E128B6" w:rsidRDefault="00E128B6">
      <w:pPr>
        <w:spacing w:after="120" w:line="276" w:lineRule="auto"/>
        <w:jc w:val="both"/>
      </w:pPr>
    </w:p>
    <w:p w14:paraId="0EB292A0" w14:textId="77777777" w:rsidR="00F819D9" w:rsidRPr="00107FDB" w:rsidRDefault="00E128B6">
      <w:pPr>
        <w:pStyle w:val="Titre1"/>
        <w:spacing w:before="320" w:after="140"/>
        <w:rPr>
          <w:b/>
          <w:bCs/>
          <w:color w:val="263375"/>
          <w:sz w:val="30"/>
          <w:szCs w:val="30"/>
        </w:rPr>
      </w:pPr>
      <w:r>
        <w:rPr>
          <w:b/>
          <w:bCs/>
          <w:color w:val="263375"/>
          <w:sz w:val="30"/>
          <w:szCs w:val="30"/>
        </w:rPr>
        <w:t xml:space="preserve">10. Durée, calendrier </w:t>
      </w:r>
      <w:r w:rsidRPr="00107FDB">
        <w:rPr>
          <w:b/>
          <w:bCs/>
          <w:color w:val="263375"/>
          <w:sz w:val="30"/>
          <w:szCs w:val="30"/>
        </w:rPr>
        <w:t>et budget</w:t>
      </w:r>
    </w:p>
    <w:p w14:paraId="73AFB726" w14:textId="322F13CC" w:rsidR="00E128B6" w:rsidRDefault="006F1617">
      <w:pPr>
        <w:spacing w:after="120" w:line="276" w:lineRule="auto"/>
        <w:jc w:val="both"/>
      </w:pPr>
      <w:r>
        <w:t xml:space="preserve">La mission est prévue pour une durée </w:t>
      </w:r>
      <w:r w:rsidR="00763090">
        <w:t xml:space="preserve">de </w:t>
      </w:r>
      <w:r w:rsidR="003A08EC">
        <w:t>30</w:t>
      </w:r>
      <w:r w:rsidR="00763090" w:rsidRPr="00107FDB">
        <w:t xml:space="preserve"> hommes/jours (h/j), </w:t>
      </w:r>
      <w:r>
        <w:t xml:space="preserve">totale </w:t>
      </w:r>
      <w:r w:rsidRPr="00107FDB">
        <w:t>répartis entre les experts mobilisés</w:t>
      </w:r>
      <w:r>
        <w:t>.</w:t>
      </w:r>
    </w:p>
    <w:p w14:paraId="37122165" w14:textId="3327ACFC" w:rsidR="00F819D9" w:rsidRDefault="00E128B6">
      <w:pPr>
        <w:spacing w:after="120" w:line="276" w:lineRule="auto"/>
        <w:jc w:val="both"/>
      </w:pPr>
      <w:r>
        <w:t xml:space="preserve">Elle s'organise autour des </w:t>
      </w:r>
      <w:r w:rsidRPr="00107FDB">
        <w:t>trois</w:t>
      </w:r>
      <w:r>
        <w:t xml:space="preserve"> temps décrits ci-dessous. Elle devra impérativement être réalisée et clôturée dans une d</w:t>
      </w:r>
      <w:r w:rsidR="00107FDB">
        <w:t>urée maximale de trois (3) mois</w:t>
      </w:r>
      <w:r w:rsidRPr="00107FDB">
        <w:t>.</w:t>
      </w:r>
    </w:p>
    <w:tbl>
      <w:tblPr>
        <w:tblW w:w="9600" w:type="dxa"/>
        <w:tblBorders>
          <w:top w:val="single" w:sz="2" w:space="0" w:color="C9CDDA"/>
          <w:left w:val="single" w:sz="2" w:space="0" w:color="C9CDDA"/>
          <w:bottom w:val="single" w:sz="2" w:space="0" w:color="C9CDDA"/>
          <w:right w:val="single" w:sz="2" w:space="0" w:color="C9CDDA"/>
          <w:insideH w:val="single" w:sz="2" w:space="0" w:color="D9DCE6"/>
          <w:insideV w:val="single" w:sz="2" w:space="0" w:color="D9DCE6"/>
        </w:tblBorders>
        <w:tblCellMar>
          <w:left w:w="10" w:type="dxa"/>
          <w:right w:w="10" w:type="dxa"/>
        </w:tblCellMar>
        <w:tblLook w:val="04A0" w:firstRow="1" w:lastRow="0" w:firstColumn="1" w:lastColumn="0" w:noHBand="0" w:noVBand="1"/>
      </w:tblPr>
      <w:tblGrid>
        <w:gridCol w:w="2400"/>
        <w:gridCol w:w="2600"/>
        <w:gridCol w:w="4600"/>
      </w:tblGrid>
      <w:tr w:rsidR="00F819D9" w:rsidRPr="00E128B6" w14:paraId="34247523" w14:textId="77777777">
        <w:tc>
          <w:tcPr>
            <w:tcW w:w="2400" w:type="dxa"/>
            <w:shd w:val="clear" w:color="auto" w:fill="263375"/>
            <w:tcMar>
              <w:top w:w="70" w:type="dxa"/>
              <w:left w:w="110" w:type="dxa"/>
              <w:bottom w:w="70" w:type="dxa"/>
              <w:right w:w="110" w:type="dxa"/>
            </w:tcMar>
          </w:tcPr>
          <w:p w14:paraId="4D97EB72" w14:textId="77777777" w:rsidR="00F819D9" w:rsidRPr="00E128B6" w:rsidRDefault="006F1617">
            <w:pPr>
              <w:spacing w:line="250" w:lineRule="auto"/>
            </w:pPr>
            <w:r>
              <w:rPr>
                <w:b/>
                <w:bCs/>
                <w:color w:val="FFFFFF"/>
                <w:sz w:val="19"/>
                <w:szCs w:val="19"/>
              </w:rPr>
              <w:t>Séquence</w:t>
            </w:r>
          </w:p>
        </w:tc>
        <w:tc>
          <w:tcPr>
            <w:tcW w:w="2600" w:type="dxa"/>
            <w:shd w:val="clear" w:color="auto" w:fill="263375"/>
            <w:tcMar>
              <w:top w:w="70" w:type="dxa"/>
              <w:left w:w="110" w:type="dxa"/>
              <w:bottom w:w="70" w:type="dxa"/>
              <w:right w:w="110" w:type="dxa"/>
            </w:tcMar>
          </w:tcPr>
          <w:p w14:paraId="58304064" w14:textId="77777777" w:rsidR="00F819D9" w:rsidRPr="00E128B6" w:rsidRDefault="006F1617">
            <w:pPr>
              <w:spacing w:line="250" w:lineRule="auto"/>
            </w:pPr>
            <w:r>
              <w:rPr>
                <w:b/>
                <w:bCs/>
                <w:color w:val="FFFFFF"/>
                <w:sz w:val="19"/>
                <w:szCs w:val="19"/>
              </w:rPr>
              <w:t>Durée indicative</w:t>
            </w:r>
          </w:p>
        </w:tc>
        <w:tc>
          <w:tcPr>
            <w:tcW w:w="4600" w:type="dxa"/>
            <w:shd w:val="clear" w:color="auto" w:fill="263375"/>
            <w:tcMar>
              <w:top w:w="70" w:type="dxa"/>
              <w:left w:w="110" w:type="dxa"/>
              <w:bottom w:w="70" w:type="dxa"/>
              <w:right w:w="110" w:type="dxa"/>
            </w:tcMar>
          </w:tcPr>
          <w:p w14:paraId="4E231D36" w14:textId="77777777" w:rsidR="00F819D9" w:rsidRPr="00E128B6" w:rsidRDefault="006F1617">
            <w:pPr>
              <w:spacing w:line="250" w:lineRule="auto"/>
            </w:pPr>
            <w:r>
              <w:rPr>
                <w:b/>
                <w:bCs/>
                <w:color w:val="FFFFFF"/>
                <w:sz w:val="19"/>
                <w:szCs w:val="19"/>
              </w:rPr>
              <w:t>Aboutissement</w:t>
            </w:r>
          </w:p>
        </w:tc>
      </w:tr>
      <w:tr w:rsidR="00F819D9" w:rsidRPr="00D20404" w14:paraId="25C584BF" w14:textId="77777777">
        <w:tc>
          <w:tcPr>
            <w:tcW w:w="2400" w:type="dxa"/>
            <w:tcMar>
              <w:top w:w="70" w:type="dxa"/>
              <w:left w:w="110" w:type="dxa"/>
              <w:bottom w:w="70" w:type="dxa"/>
              <w:right w:w="110" w:type="dxa"/>
            </w:tcMar>
          </w:tcPr>
          <w:p w14:paraId="75AE955B" w14:textId="77777777" w:rsidR="00F819D9" w:rsidRPr="00A16002" w:rsidRDefault="006F1617">
            <w:pPr>
              <w:spacing w:line="250" w:lineRule="auto"/>
            </w:pPr>
            <w:r>
              <w:rPr>
                <w:b/>
                <w:bCs/>
                <w:sz w:val="19"/>
                <w:szCs w:val="19"/>
              </w:rPr>
              <w:t>Temps 1 — consolidation macro</w:t>
            </w:r>
          </w:p>
        </w:tc>
        <w:tc>
          <w:tcPr>
            <w:tcW w:w="2600" w:type="dxa"/>
            <w:tcMar>
              <w:top w:w="70" w:type="dxa"/>
              <w:left w:w="110" w:type="dxa"/>
              <w:bottom w:w="70" w:type="dxa"/>
              <w:right w:w="110" w:type="dxa"/>
            </w:tcMar>
          </w:tcPr>
          <w:p w14:paraId="45A4B580" w14:textId="49C527D2" w:rsidR="00F819D9" w:rsidRPr="00A16002" w:rsidRDefault="006F1617" w:rsidP="00BC1EE2">
            <w:pPr>
              <w:spacing w:line="250" w:lineRule="auto"/>
            </w:pPr>
            <w:r>
              <w:rPr>
                <w:sz w:val="19"/>
                <w:szCs w:val="19"/>
              </w:rPr>
              <w:t>≈ 2 semaines</w:t>
            </w:r>
            <w:r w:rsidR="00B720D0">
              <w:rPr>
                <w:sz w:val="19"/>
                <w:szCs w:val="19"/>
              </w:rPr>
              <w:t xml:space="preserve"> -</w:t>
            </w:r>
            <w:r w:rsidR="00107FDB">
              <w:rPr>
                <w:sz w:val="19"/>
                <w:szCs w:val="19"/>
              </w:rPr>
              <w:t xml:space="preserve"> (</w:t>
            </w:r>
            <w:r w:rsidR="00D712FC">
              <w:rPr>
                <w:sz w:val="19"/>
                <w:szCs w:val="19"/>
              </w:rPr>
              <w:t xml:space="preserve">10 </w:t>
            </w:r>
            <w:r w:rsidR="00107FDB">
              <w:rPr>
                <w:sz w:val="19"/>
                <w:szCs w:val="19"/>
              </w:rPr>
              <w:t>h/J)</w:t>
            </w:r>
          </w:p>
        </w:tc>
        <w:tc>
          <w:tcPr>
            <w:tcW w:w="4600" w:type="dxa"/>
            <w:tcMar>
              <w:top w:w="70" w:type="dxa"/>
              <w:left w:w="110" w:type="dxa"/>
              <w:bottom w:w="70" w:type="dxa"/>
              <w:right w:w="110" w:type="dxa"/>
            </w:tcMar>
          </w:tcPr>
          <w:p w14:paraId="5AD3C9A3" w14:textId="77777777" w:rsidR="00BE08BD" w:rsidRPr="00D20404" w:rsidRDefault="00E128B6" w:rsidP="00B720D0">
            <w:pPr>
              <w:spacing w:line="250" w:lineRule="auto"/>
              <w:jc w:val="both"/>
              <w:rPr>
                <w:sz w:val="19"/>
                <w:szCs w:val="19"/>
              </w:rPr>
            </w:pPr>
            <w:r>
              <w:rPr>
                <w:sz w:val="19"/>
                <w:szCs w:val="19"/>
              </w:rPr>
              <w:t xml:space="preserve">Livrable 1 : </w:t>
            </w:r>
            <w:r w:rsidRPr="00107FDB">
              <w:rPr>
                <w:color w:val="auto"/>
                <w:sz w:val="19"/>
                <w:szCs w:val="19"/>
              </w:rPr>
              <w:t>Rapport de consolidation macro</w:t>
            </w:r>
          </w:p>
          <w:p w14:paraId="09EB5FC3" w14:textId="77777777" w:rsidR="00F819D9" w:rsidRPr="00A16002" w:rsidRDefault="00BE08BD" w:rsidP="00A16002">
            <w:pPr>
              <w:spacing w:line="250" w:lineRule="auto"/>
              <w:jc w:val="both"/>
            </w:pPr>
            <w:r>
              <w:rPr>
                <w:sz w:val="19"/>
                <w:szCs w:val="19"/>
              </w:rPr>
              <w:t>Proposition de la macro-structure de l'Agence : grandes directions, rattachements, fonctions de portage. Il aboutit à une proposition instruite et appropriable, présentable pour validation d’abord par la Direction Générale et pour présentation ensuite en Conseil d'Administration.</w:t>
            </w:r>
          </w:p>
        </w:tc>
      </w:tr>
      <w:tr w:rsidR="00F819D9" w:rsidRPr="00D20404" w14:paraId="6F303E3B" w14:textId="77777777">
        <w:tc>
          <w:tcPr>
            <w:tcW w:w="2400" w:type="dxa"/>
            <w:tcMar>
              <w:top w:w="70" w:type="dxa"/>
              <w:left w:w="110" w:type="dxa"/>
              <w:bottom w:w="70" w:type="dxa"/>
              <w:right w:w="110" w:type="dxa"/>
            </w:tcMar>
          </w:tcPr>
          <w:p w14:paraId="2582631D" w14:textId="0049D176" w:rsidR="00F819D9" w:rsidRPr="00A16002" w:rsidRDefault="006F1617">
            <w:pPr>
              <w:spacing w:line="250" w:lineRule="auto"/>
            </w:pPr>
            <w:r>
              <w:rPr>
                <w:b/>
                <w:bCs/>
                <w:sz w:val="19"/>
                <w:szCs w:val="19"/>
              </w:rPr>
              <w:t>Temps 2 — architecture cible</w:t>
            </w:r>
            <w:r w:rsidR="004A0277">
              <w:rPr>
                <w:b/>
                <w:bCs/>
                <w:sz w:val="19"/>
                <w:szCs w:val="19"/>
              </w:rPr>
              <w:t xml:space="preserve"> détaillée</w:t>
            </w:r>
          </w:p>
        </w:tc>
        <w:tc>
          <w:tcPr>
            <w:tcW w:w="2600" w:type="dxa"/>
            <w:tcMar>
              <w:top w:w="70" w:type="dxa"/>
              <w:left w:w="110" w:type="dxa"/>
              <w:bottom w:w="70" w:type="dxa"/>
              <w:right w:w="110" w:type="dxa"/>
            </w:tcMar>
          </w:tcPr>
          <w:p w14:paraId="16210D34" w14:textId="73EED625" w:rsidR="00F819D9" w:rsidRPr="00107FDB" w:rsidRDefault="00B720D0" w:rsidP="00BC1EE2">
            <w:pPr>
              <w:spacing w:line="250" w:lineRule="auto"/>
              <w:rPr>
                <w:color w:val="auto"/>
              </w:rPr>
            </w:pPr>
            <w:r>
              <w:rPr>
                <w:color w:val="auto"/>
                <w:sz w:val="19"/>
                <w:szCs w:val="19"/>
              </w:rPr>
              <w:t>≈ 2</w:t>
            </w:r>
            <w:r w:rsidR="00D20404" w:rsidRPr="00107FDB">
              <w:rPr>
                <w:color w:val="auto"/>
                <w:sz w:val="19"/>
                <w:szCs w:val="19"/>
              </w:rPr>
              <w:t xml:space="preserve"> semaines</w:t>
            </w:r>
            <w:r w:rsidR="00107FDB">
              <w:rPr>
                <w:color w:val="auto"/>
                <w:sz w:val="19"/>
                <w:szCs w:val="19"/>
              </w:rPr>
              <w:t xml:space="preserve"> </w:t>
            </w:r>
            <w:r>
              <w:rPr>
                <w:color w:val="auto"/>
                <w:sz w:val="19"/>
                <w:szCs w:val="19"/>
              </w:rPr>
              <w:t xml:space="preserve">- </w:t>
            </w:r>
            <w:r w:rsidR="00107FDB">
              <w:rPr>
                <w:color w:val="auto"/>
                <w:sz w:val="19"/>
                <w:szCs w:val="19"/>
              </w:rPr>
              <w:t>(1</w:t>
            </w:r>
            <w:r w:rsidR="00D712FC">
              <w:rPr>
                <w:color w:val="auto"/>
                <w:sz w:val="19"/>
                <w:szCs w:val="19"/>
              </w:rPr>
              <w:t>5</w:t>
            </w:r>
            <w:r w:rsidR="00107FDB">
              <w:rPr>
                <w:color w:val="auto"/>
                <w:sz w:val="19"/>
                <w:szCs w:val="19"/>
              </w:rPr>
              <w:t xml:space="preserve"> h/j)</w:t>
            </w:r>
          </w:p>
        </w:tc>
        <w:tc>
          <w:tcPr>
            <w:tcW w:w="4600" w:type="dxa"/>
            <w:tcMar>
              <w:top w:w="70" w:type="dxa"/>
              <w:left w:w="110" w:type="dxa"/>
              <w:bottom w:w="70" w:type="dxa"/>
              <w:right w:w="110" w:type="dxa"/>
            </w:tcMar>
          </w:tcPr>
          <w:p w14:paraId="0D044A2D" w14:textId="77777777" w:rsidR="00BE08BD" w:rsidRPr="00D20404" w:rsidRDefault="00E128B6" w:rsidP="00B720D0">
            <w:pPr>
              <w:spacing w:line="250" w:lineRule="auto"/>
              <w:jc w:val="both"/>
              <w:rPr>
                <w:sz w:val="19"/>
                <w:szCs w:val="19"/>
              </w:rPr>
            </w:pPr>
            <w:r>
              <w:rPr>
                <w:sz w:val="19"/>
                <w:szCs w:val="19"/>
              </w:rPr>
              <w:t>Livrable 2 : Architecture fonctionnelle et organigramme cible détaillé</w:t>
            </w:r>
          </w:p>
          <w:p w14:paraId="789E625B" w14:textId="77777777" w:rsidR="00F819D9" w:rsidRPr="00D20404" w:rsidRDefault="00BE08BD" w:rsidP="00A16002">
            <w:pPr>
              <w:spacing w:line="250" w:lineRule="auto"/>
              <w:jc w:val="both"/>
            </w:pPr>
            <w:r>
              <w:rPr>
                <w:sz w:val="19"/>
                <w:szCs w:val="19"/>
              </w:rPr>
              <w:t>Approfondissement de la macro-structure : approfondit l'architecture fonctionnelle et produit l'organigramme cible détaillé, le référentiel de responsabilités (RACI), le plan de compétences, plan de réaffectation RH, plan de recrutement et le modèle économique.</w:t>
            </w:r>
          </w:p>
        </w:tc>
      </w:tr>
      <w:tr w:rsidR="00BE08BD" w14:paraId="11099619" w14:textId="77777777">
        <w:tc>
          <w:tcPr>
            <w:tcW w:w="2400" w:type="dxa"/>
            <w:tcMar>
              <w:top w:w="70" w:type="dxa"/>
              <w:left w:w="110" w:type="dxa"/>
              <w:bottom w:w="70" w:type="dxa"/>
              <w:right w:w="110" w:type="dxa"/>
            </w:tcMar>
          </w:tcPr>
          <w:p w14:paraId="28D06355" w14:textId="77777777" w:rsidR="00BE08BD" w:rsidRPr="00A16002" w:rsidRDefault="00BE08BD">
            <w:pPr>
              <w:spacing w:line="250" w:lineRule="auto"/>
              <w:rPr>
                <w:b/>
                <w:bCs/>
                <w:sz w:val="19"/>
                <w:szCs w:val="19"/>
              </w:rPr>
            </w:pPr>
            <w:r>
              <w:rPr>
                <w:b/>
                <w:bCs/>
                <w:sz w:val="19"/>
                <w:szCs w:val="19"/>
              </w:rPr>
              <w:t>Temps 3 — Rapport final de mission</w:t>
            </w:r>
          </w:p>
        </w:tc>
        <w:tc>
          <w:tcPr>
            <w:tcW w:w="2600" w:type="dxa"/>
            <w:tcMar>
              <w:top w:w="70" w:type="dxa"/>
              <w:left w:w="110" w:type="dxa"/>
              <w:bottom w:w="70" w:type="dxa"/>
              <w:right w:w="110" w:type="dxa"/>
            </w:tcMar>
          </w:tcPr>
          <w:p w14:paraId="5D7F7E22" w14:textId="43A48E09" w:rsidR="00BE08BD" w:rsidRPr="00107FDB" w:rsidRDefault="00B720D0" w:rsidP="00BC1EE2">
            <w:pPr>
              <w:spacing w:line="250" w:lineRule="auto"/>
              <w:rPr>
                <w:color w:val="auto"/>
                <w:sz w:val="19"/>
                <w:szCs w:val="19"/>
              </w:rPr>
            </w:pPr>
            <w:r>
              <w:rPr>
                <w:color w:val="auto"/>
                <w:sz w:val="19"/>
                <w:szCs w:val="19"/>
              </w:rPr>
              <w:t xml:space="preserve">≈ </w:t>
            </w:r>
            <w:r w:rsidR="003A08EC">
              <w:rPr>
                <w:color w:val="auto"/>
                <w:sz w:val="19"/>
                <w:szCs w:val="19"/>
              </w:rPr>
              <w:t>1</w:t>
            </w:r>
            <w:r w:rsidR="00BE08BD" w:rsidRPr="00107FDB">
              <w:rPr>
                <w:color w:val="auto"/>
                <w:sz w:val="19"/>
                <w:szCs w:val="19"/>
              </w:rPr>
              <w:t xml:space="preserve"> semaine</w:t>
            </w:r>
            <w:r w:rsidR="00107FDB">
              <w:rPr>
                <w:color w:val="auto"/>
                <w:sz w:val="19"/>
                <w:szCs w:val="19"/>
              </w:rPr>
              <w:t xml:space="preserve"> </w:t>
            </w:r>
            <w:r>
              <w:rPr>
                <w:color w:val="auto"/>
                <w:sz w:val="19"/>
                <w:szCs w:val="19"/>
              </w:rPr>
              <w:t xml:space="preserve">- </w:t>
            </w:r>
            <w:r w:rsidR="00107FDB">
              <w:rPr>
                <w:color w:val="auto"/>
                <w:sz w:val="19"/>
                <w:szCs w:val="19"/>
              </w:rPr>
              <w:t>(5 h/j )</w:t>
            </w:r>
          </w:p>
        </w:tc>
        <w:tc>
          <w:tcPr>
            <w:tcW w:w="4600" w:type="dxa"/>
            <w:tcMar>
              <w:top w:w="70" w:type="dxa"/>
              <w:left w:w="110" w:type="dxa"/>
              <w:bottom w:w="70" w:type="dxa"/>
              <w:right w:w="110" w:type="dxa"/>
            </w:tcMar>
          </w:tcPr>
          <w:p w14:paraId="7F16B869" w14:textId="77777777" w:rsidR="00BE08BD" w:rsidRPr="00107FDB" w:rsidRDefault="00BE08BD" w:rsidP="00B720D0">
            <w:pPr>
              <w:spacing w:line="250" w:lineRule="auto"/>
              <w:jc w:val="both"/>
              <w:rPr>
                <w:color w:val="auto"/>
                <w:sz w:val="19"/>
                <w:szCs w:val="19"/>
              </w:rPr>
            </w:pPr>
            <w:r w:rsidRPr="00107FDB">
              <w:rPr>
                <w:color w:val="auto"/>
                <w:sz w:val="19"/>
                <w:szCs w:val="19"/>
              </w:rPr>
              <w:t>Livrable 3 : Rapport final de mission</w:t>
            </w:r>
          </w:p>
          <w:p w14:paraId="25ADA116" w14:textId="77777777" w:rsidR="00BE08BD" w:rsidRDefault="00BE08BD" w:rsidP="00B720D0">
            <w:pPr>
              <w:spacing w:line="250" w:lineRule="auto"/>
              <w:jc w:val="both"/>
              <w:rPr>
                <w:sz w:val="19"/>
                <w:szCs w:val="19"/>
              </w:rPr>
            </w:pPr>
            <w:r w:rsidRPr="00107FDB">
              <w:rPr>
                <w:color w:val="auto"/>
                <w:sz w:val="19"/>
                <w:szCs w:val="19"/>
              </w:rPr>
              <w:t>Rapport consolidant les Livrables 1 et 2, intégrant les retours des restitutions et de la validation, et présentant la synthèse exécutive de la mission, l'organisation cible arrêtée et la feuille de route de mise en œuvre.</w:t>
            </w:r>
          </w:p>
        </w:tc>
      </w:tr>
    </w:tbl>
    <w:p w14:paraId="37CFED09" w14:textId="77777777" w:rsidR="00E128B6" w:rsidRDefault="00E128B6">
      <w:pPr>
        <w:spacing w:after="120" w:line="276" w:lineRule="auto"/>
        <w:jc w:val="both"/>
      </w:pPr>
    </w:p>
    <w:p w14:paraId="3EC555B3" w14:textId="3B44ED28" w:rsidR="00F819D9" w:rsidRDefault="00BE08BD" w:rsidP="00E128B6">
      <w:pPr>
        <w:spacing w:after="120" w:line="276" w:lineRule="auto"/>
        <w:jc w:val="both"/>
      </w:pPr>
      <w:r>
        <w:t xml:space="preserve">Outre ces livrables, le Consultant devra produire </w:t>
      </w:r>
      <w:r w:rsidR="00B720D0">
        <w:t>des feuilles de temps</w:t>
      </w:r>
      <w:r>
        <w:t xml:space="preserve"> à destination d’Expertise France.</w:t>
      </w:r>
    </w:p>
    <w:p w14:paraId="33758F4B" w14:textId="77777777" w:rsidR="00BE55D3" w:rsidRPr="00B720D0" w:rsidRDefault="00C012B5">
      <w:pPr>
        <w:pStyle w:val="Titre1"/>
        <w:spacing w:before="320" w:after="140"/>
        <w:rPr>
          <w:b/>
          <w:bCs/>
          <w:color w:val="263375"/>
          <w:sz w:val="30"/>
          <w:szCs w:val="30"/>
        </w:rPr>
      </w:pPr>
      <w:r w:rsidRPr="00B720D0">
        <w:rPr>
          <w:b/>
          <w:bCs/>
          <w:color w:val="263375"/>
          <w:sz w:val="30"/>
          <w:szCs w:val="30"/>
        </w:rPr>
        <w:t>11. Modalités de soumission et de sélection</w:t>
      </w:r>
    </w:p>
    <w:p w14:paraId="4006ECDD" w14:textId="77777777" w:rsidR="00BE55D3" w:rsidRPr="00B720D0" w:rsidRDefault="00C012B5">
      <w:pPr>
        <w:pStyle w:val="Titre2"/>
        <w:spacing w:before="220" w:after="100"/>
        <w:rPr>
          <w:b/>
          <w:bCs/>
          <w:color w:val="015B54"/>
          <w:sz w:val="24"/>
          <w:szCs w:val="24"/>
        </w:rPr>
      </w:pPr>
      <w:r w:rsidRPr="00B720D0">
        <w:rPr>
          <w:b/>
          <w:bCs/>
          <w:color w:val="015B54"/>
          <w:sz w:val="24"/>
          <w:szCs w:val="24"/>
        </w:rPr>
        <w:t>11.1. Composition de l'offre</w:t>
      </w:r>
    </w:p>
    <w:p w14:paraId="64B9B219" w14:textId="77777777" w:rsidR="00BE55D3" w:rsidRDefault="00C012B5">
      <w:pPr>
        <w:spacing w:after="120" w:line="276" w:lineRule="auto"/>
        <w:jc w:val="both"/>
      </w:pPr>
      <w:r w:rsidRPr="00B720D0">
        <w:t>Chaque soumissionnaire remet une offre en deux composantes :</w:t>
      </w:r>
    </w:p>
    <w:p w14:paraId="42F264CA" w14:textId="53804C43" w:rsidR="00BE55D3" w:rsidRDefault="00C012B5">
      <w:pPr>
        <w:pStyle w:val="Paragraphedeliste"/>
        <w:numPr>
          <w:ilvl w:val="0"/>
          <w:numId w:val="2"/>
        </w:numPr>
        <w:spacing w:after="70" w:line="270" w:lineRule="auto"/>
        <w:jc w:val="both"/>
      </w:pPr>
      <w:r w:rsidRPr="00B720D0">
        <w:t>Une offre technique comprenant : la compréhension des termes de référence et des enjeux de la mission ; la méthodologie proposée</w:t>
      </w:r>
      <w:r w:rsidR="00B720D0">
        <w:t>,</w:t>
      </w:r>
      <w:r w:rsidRPr="00B720D0">
        <w:t xml:space="preserve"> le plan de travail et le calendrier détail</w:t>
      </w:r>
      <w:r w:rsidR="00B720D0">
        <w:t>lé ; la composition et le CV de chaque membre de</w:t>
      </w:r>
      <w:r w:rsidRPr="00B720D0">
        <w:t xml:space="preserve"> l'équipe ; les références de missions similaires ;</w:t>
      </w:r>
    </w:p>
    <w:p w14:paraId="68116EF3" w14:textId="0B5B2D04" w:rsidR="00BE55D3" w:rsidRDefault="00C012B5">
      <w:pPr>
        <w:pStyle w:val="Paragraphedeliste"/>
        <w:numPr>
          <w:ilvl w:val="0"/>
          <w:numId w:val="2"/>
        </w:numPr>
        <w:spacing w:after="70" w:line="270" w:lineRule="auto"/>
        <w:jc w:val="both"/>
      </w:pPr>
      <w:r w:rsidRPr="00B720D0">
        <w:t>Une offre financière détaillée, précisant les honoraires par expert et par jour, le nombre de hommes/jours mobilisés, et, le cas échéant, les frais remboursables (missions, déplacements territoriaux).</w:t>
      </w:r>
    </w:p>
    <w:p w14:paraId="7FDA4ABF" w14:textId="77777777" w:rsidR="00BE55D3" w:rsidRPr="00504B22" w:rsidRDefault="00C012B5" w:rsidP="00504B22">
      <w:pPr>
        <w:pStyle w:val="Titre2"/>
        <w:spacing w:before="220" w:after="100"/>
        <w:rPr>
          <w:b/>
          <w:bCs/>
          <w:color w:val="015B54"/>
          <w:sz w:val="24"/>
          <w:szCs w:val="24"/>
        </w:rPr>
      </w:pPr>
      <w:r w:rsidRPr="00504B22">
        <w:rPr>
          <w:b/>
          <w:bCs/>
          <w:color w:val="015B54"/>
          <w:sz w:val="24"/>
          <w:szCs w:val="24"/>
        </w:rPr>
        <w:t>11.2. Critères d'évaluation et pondération</w:t>
      </w:r>
    </w:p>
    <w:p w14:paraId="747285DB" w14:textId="1AE9C690" w:rsidR="00BE55D3" w:rsidRDefault="00C012B5">
      <w:pPr>
        <w:spacing w:after="120" w:line="276" w:lineRule="auto"/>
        <w:jc w:val="both"/>
      </w:pPr>
      <w:r w:rsidRPr="00504B22">
        <w:t>Les offres sont évaluées selon une p</w:t>
      </w:r>
      <w:r w:rsidR="00504B22">
        <w:t>ondération technique/financière – 80/20</w:t>
      </w:r>
      <w:r w:rsidRPr="00504B22">
        <w:t>. Les critères techniques portent notamment sur :</w:t>
      </w:r>
    </w:p>
    <w:p w14:paraId="68862827" w14:textId="47AE020A" w:rsidR="00BE55D3" w:rsidRDefault="00C012B5">
      <w:pPr>
        <w:pStyle w:val="Paragraphedeliste"/>
        <w:numPr>
          <w:ilvl w:val="0"/>
          <w:numId w:val="2"/>
        </w:numPr>
        <w:spacing w:after="70" w:line="270" w:lineRule="auto"/>
        <w:jc w:val="both"/>
      </w:pPr>
      <w:r w:rsidRPr="00504B22">
        <w:t>La qualité et la pertinence de la méthodologie au regard</w:t>
      </w:r>
      <w:r w:rsidR="00504B22" w:rsidRPr="00504B22">
        <w:t xml:space="preserve"> de l'exigence de consolidation.</w:t>
      </w:r>
    </w:p>
    <w:p w14:paraId="7DBF5B46" w14:textId="0B2D4764" w:rsidR="00BE55D3" w:rsidRDefault="00C012B5">
      <w:pPr>
        <w:pStyle w:val="Paragraphedeliste"/>
        <w:numPr>
          <w:ilvl w:val="0"/>
          <w:numId w:val="2"/>
        </w:numPr>
        <w:spacing w:after="70" w:line="270" w:lineRule="auto"/>
        <w:jc w:val="both"/>
      </w:pPr>
      <w:r w:rsidRPr="00504B22">
        <w:t>L'expérience et la complémentarité de l'équipe proposée, en particulier sur le continuum accompagnement-financement des PME et les dispositifs publics d'appui au secteur privé</w:t>
      </w:r>
      <w:r w:rsidR="00504B22" w:rsidRPr="00504B22">
        <w:t>.</w:t>
      </w:r>
    </w:p>
    <w:p w14:paraId="311D76FB" w14:textId="6A8529DD" w:rsidR="00BE55D3" w:rsidRDefault="00C012B5">
      <w:pPr>
        <w:pStyle w:val="Paragraphedeliste"/>
        <w:numPr>
          <w:ilvl w:val="0"/>
          <w:numId w:val="2"/>
        </w:numPr>
        <w:spacing w:after="70" w:line="270" w:lineRule="auto"/>
        <w:jc w:val="both"/>
      </w:pPr>
      <w:r w:rsidRPr="00504B22">
        <w:t xml:space="preserve">La connaissance du contexte béninois et ouest-africain et des </w:t>
      </w:r>
      <w:r w:rsidR="00504B22" w:rsidRPr="00504B22">
        <w:t>mécanismes</w:t>
      </w:r>
      <w:r w:rsidRPr="00504B22">
        <w:t xml:space="preserve"> des partenaires techniques et financiers</w:t>
      </w:r>
      <w:r w:rsidR="00504B22" w:rsidRPr="00504B22">
        <w:t>.</w:t>
      </w:r>
    </w:p>
    <w:p w14:paraId="526A3A0C" w14:textId="1B13CFC8" w:rsidR="00BE55D3" w:rsidRDefault="00C012B5">
      <w:pPr>
        <w:pStyle w:val="Paragraphedeliste"/>
        <w:numPr>
          <w:ilvl w:val="0"/>
          <w:numId w:val="2"/>
        </w:numPr>
        <w:spacing w:after="70" w:line="270" w:lineRule="auto"/>
        <w:jc w:val="both"/>
      </w:pPr>
      <w:r w:rsidRPr="00504B22">
        <w:t xml:space="preserve">La qualité du plan de travail et </w:t>
      </w:r>
      <w:r w:rsidR="00504B22" w:rsidRPr="00504B22">
        <w:t>du chronogramme d’exécution</w:t>
      </w:r>
      <w:r w:rsidRPr="00504B22">
        <w:t>.</w:t>
      </w:r>
    </w:p>
    <w:p w14:paraId="2BF3CE6D" w14:textId="09D7E157" w:rsidR="00BE55D3" w:rsidRDefault="00BE55D3">
      <w:pPr>
        <w:spacing w:after="120" w:line="276" w:lineRule="auto"/>
        <w:jc w:val="both"/>
      </w:pPr>
    </w:p>
    <w:sectPr w:rsidR="00BE55D3" w:rsidSect="002D7AC8">
      <w:headerReference w:type="default" r:id="rId7"/>
      <w:footerReference w:type="default" r:id="rId8"/>
      <w:pgSz w:w="11906" w:h="16838"/>
      <w:pgMar w:top="1100" w:right="1200" w:bottom="1100" w:left="1200" w:header="567"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85C20" w16cex:dateUtc="2026-08-27T08:56:00Z"/>
  <w16cex:commentExtensible w16cex:durableId="7CEA7E2F" w16cex:dateUtc="2026-08-27T08:58:00Z"/>
  <w16cex:commentExtensible w16cex:durableId="2F9A9C91" w16cex:dateUtc="2026-08-27T08:58:00Z"/>
  <w16cex:commentExtensible w16cex:durableId="6A01E32A" w16cex:dateUtc="2026-08-27T09:06:00Z"/>
  <w16cex:commentExtensible w16cex:durableId="7F96B148" w16cex:dateUtc="2026-08-27T09:09:00Z"/>
  <w16cex:commentExtensible w16cex:durableId="37EB34BF" w16cex:dateUtc="2026-08-27T09:12:00Z"/>
  <w16cex:commentExtensible w16cex:durableId="57FF6030" w16cex:dateUtc="2026-08-27T09:30:00Z"/>
  <w16cex:commentExtensible w16cex:durableId="4773463E" w16cex:dateUtc="2026-08-27T09:53:00Z"/>
  <w16cex:commentExtensible w16cex:durableId="59C377C5" w16cex:dateUtc="2026-08-27T10:12:00Z"/>
  <w16cex:commentExtensible w16cex:durableId="6BF67990" w16cex:dateUtc="2026-08-27T10:13:00Z"/>
  <w16cex:commentExtensible w16cex:durableId="220C84AE" w16cex:dateUtc="2026-08-27T14:22:00Z"/>
  <w16cex:commentExtensible w16cex:durableId="71FDB3ED" w16cex:dateUtc="2026-08-27T14:24:00Z"/>
  <w16cex:commentExtensible w16cex:durableId="3303D9F5" w16cex:dateUtc="2026-08-27T14:25:00Z"/>
  <w16cex:commentExtensible w16cex:durableId="4C2AD2DE" w16cex:dateUtc="2026-08-27T14:32:00Z"/>
  <w16cex:commentExtensible w16cex:durableId="53FDD4B4" w16cex:dateUtc="2026-08-27T14:31:00Z"/>
  <w16cex:commentExtensible w16cex:durableId="115E58B7" w16cex:dateUtc="2026-08-27T09:42:00Z"/>
  <w16cex:commentExtensible w16cex:durableId="5DFA810F" w16cex:dateUtc="2026-08-27T14:03:00Z"/>
  <w16cex:commentExtensible w16cex:durableId="5FE3EA70" w16cex:dateUtc="2026-08-28T1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5C68B9" w16cid:durableId="28585C20"/>
  <w16cid:commentId w16cid:paraId="4082FAEE" w16cid:durableId="7CEA7E2F"/>
  <w16cid:commentId w16cid:paraId="79FB6908" w16cid:durableId="2F9A9C91"/>
  <w16cid:commentId w16cid:paraId="0FC9965E" w16cid:durableId="6A01E32A"/>
  <w16cid:commentId w16cid:paraId="751B99FD" w16cid:durableId="7F96B148"/>
  <w16cid:commentId w16cid:paraId="6778258C" w16cid:durableId="37EB34BF"/>
  <w16cid:commentId w16cid:paraId="561E645B" w16cid:durableId="57FF6030"/>
  <w16cid:commentId w16cid:paraId="0ABA5AFF" w16cid:durableId="4773463E"/>
  <w16cid:commentId w16cid:paraId="523C6887" w16cid:durableId="59C377C5"/>
  <w16cid:commentId w16cid:paraId="1BB6B692" w16cid:durableId="6BF67990"/>
  <w16cid:commentId w16cid:paraId="112DDD2A" w16cid:durableId="220C84AE"/>
  <w16cid:commentId w16cid:paraId="197A4E4D" w16cid:durableId="71FDB3ED"/>
  <w16cid:commentId w16cid:paraId="162F255F" w16cid:durableId="3303D9F5"/>
  <w16cid:commentId w16cid:paraId="3CAA8BE0" w16cid:durableId="4C2AD2DE"/>
  <w16cid:commentId w16cid:paraId="4C8E0F2E" w16cid:durableId="53FDD4B4"/>
  <w16cid:commentId w16cid:paraId="4A5EC993" w16cid:durableId="115E58B7"/>
  <w16cid:commentId w16cid:paraId="065BEA13" w16cid:durableId="5DFA810F"/>
  <w16cid:commentId w16cid:paraId="4354B276" w16cid:durableId="5FE3EA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CAAA2" w14:textId="77777777" w:rsidR="003C307B" w:rsidRDefault="003C307B">
      <w:r>
        <w:separator/>
      </w:r>
    </w:p>
  </w:endnote>
  <w:endnote w:type="continuationSeparator" w:id="0">
    <w:p w14:paraId="31ECBB7D" w14:textId="77777777" w:rsidR="003C307B" w:rsidRDefault="003C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758A" w14:textId="77777777" w:rsidR="002D7AC8" w:rsidRDefault="002D7AC8" w:rsidP="002D7AC8">
    <w:pPr>
      <w:pBdr>
        <w:top w:val="single" w:sz="4" w:space="1" w:color="auto"/>
      </w:pBdr>
      <w:jc w:val="center"/>
      <w:rPr>
        <w:color w:val="auto"/>
        <w:sz w:val="16"/>
        <w:szCs w:val="16"/>
      </w:rPr>
    </w:pPr>
  </w:p>
  <w:p w14:paraId="7BA9EBBF" w14:textId="76217383" w:rsidR="00F819D9" w:rsidRDefault="00DF4FA8" w:rsidP="002D7AC8">
    <w:pPr>
      <w:pBdr>
        <w:top w:val="single" w:sz="4" w:space="1" w:color="auto"/>
      </w:pBdr>
      <w:jc w:val="center"/>
    </w:pPr>
    <w:r w:rsidRPr="002D7AC8">
      <w:rPr>
        <w:color w:val="auto"/>
        <w:sz w:val="16"/>
        <w:szCs w:val="16"/>
      </w:rPr>
      <w:t>TdR audit organisationnel et fonctionnel</w:t>
    </w:r>
    <w:r w:rsidR="002D7AC8">
      <w:rPr>
        <w:color w:val="auto"/>
        <w:sz w:val="16"/>
        <w:szCs w:val="16"/>
      </w:rPr>
      <w:t xml:space="preserve"> ADPME</w:t>
    </w:r>
    <w:r w:rsidR="006F1617" w:rsidRPr="002D7AC8">
      <w:rPr>
        <w:color w:val="auto"/>
        <w:sz w:val="16"/>
        <w:szCs w:val="16"/>
      </w:rPr>
      <w:t xml:space="preserve"> — Août 2026   ·   </w:t>
    </w:r>
    <w:r w:rsidR="006F1617" w:rsidRPr="002D7AC8">
      <w:rPr>
        <w:color w:val="auto"/>
        <w:sz w:val="16"/>
        <w:szCs w:val="16"/>
      </w:rPr>
      <w:fldChar w:fldCharType="begin"/>
    </w:r>
    <w:r w:rsidR="006F1617" w:rsidRPr="002D7AC8">
      <w:rPr>
        <w:color w:val="auto"/>
        <w:sz w:val="16"/>
        <w:szCs w:val="16"/>
      </w:rPr>
      <w:instrText>PAGE</w:instrText>
    </w:r>
    <w:r w:rsidR="006F1617" w:rsidRPr="002D7AC8">
      <w:rPr>
        <w:color w:val="auto"/>
        <w:sz w:val="16"/>
        <w:szCs w:val="16"/>
      </w:rPr>
      <w:fldChar w:fldCharType="separate"/>
    </w:r>
    <w:r w:rsidR="003C307B">
      <w:rPr>
        <w:noProof/>
        <w:color w:val="auto"/>
        <w:sz w:val="16"/>
        <w:szCs w:val="16"/>
      </w:rPr>
      <w:t>1</w:t>
    </w:r>
    <w:r w:rsidR="006F1617" w:rsidRPr="002D7AC8">
      <w:rPr>
        <w:color w:val="auto"/>
        <w:sz w:val="16"/>
        <w:szCs w:val="16"/>
      </w:rPr>
      <w:fldChar w:fldCharType="end"/>
    </w:r>
    <w:r w:rsidR="006F1617" w:rsidRPr="002D7AC8">
      <w:rPr>
        <w:color w:val="auto"/>
        <w:sz w:val="16"/>
        <w:szCs w:val="16"/>
      </w:rPr>
      <w:t xml:space="preserve"> / </w:t>
    </w:r>
    <w:r w:rsidR="006F1617" w:rsidRPr="002D7AC8">
      <w:rPr>
        <w:color w:val="auto"/>
        <w:sz w:val="16"/>
        <w:szCs w:val="16"/>
      </w:rPr>
      <w:fldChar w:fldCharType="begin"/>
    </w:r>
    <w:r w:rsidR="006F1617" w:rsidRPr="002D7AC8">
      <w:rPr>
        <w:color w:val="auto"/>
        <w:sz w:val="16"/>
        <w:szCs w:val="16"/>
      </w:rPr>
      <w:instrText>NUMPAGES</w:instrText>
    </w:r>
    <w:r w:rsidR="006F1617" w:rsidRPr="002D7AC8">
      <w:rPr>
        <w:color w:val="auto"/>
        <w:sz w:val="16"/>
        <w:szCs w:val="16"/>
      </w:rPr>
      <w:fldChar w:fldCharType="separate"/>
    </w:r>
    <w:r w:rsidR="003C307B">
      <w:rPr>
        <w:noProof/>
        <w:color w:val="auto"/>
        <w:sz w:val="16"/>
        <w:szCs w:val="16"/>
      </w:rPr>
      <w:t>1</w:t>
    </w:r>
    <w:r w:rsidR="006F1617" w:rsidRPr="002D7AC8">
      <w:rPr>
        <w:color w:val="auto"/>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C146A" w14:textId="77777777" w:rsidR="003C307B" w:rsidRDefault="003C307B">
      <w:r>
        <w:separator/>
      </w:r>
    </w:p>
  </w:footnote>
  <w:footnote w:type="continuationSeparator" w:id="0">
    <w:p w14:paraId="6F774C28" w14:textId="77777777" w:rsidR="003C307B" w:rsidRDefault="003C30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3165"/>
      <w:gridCol w:w="3166"/>
    </w:tblGrid>
    <w:tr w:rsidR="001E168F" w14:paraId="6D8B328A" w14:textId="77777777" w:rsidTr="001E168F">
      <w:tc>
        <w:tcPr>
          <w:tcW w:w="3165" w:type="dxa"/>
          <w:vAlign w:val="center"/>
        </w:tcPr>
        <w:p w14:paraId="3A44D239" w14:textId="77777777" w:rsidR="001E168F" w:rsidRDefault="001E168F" w:rsidP="001E168F">
          <w:r>
            <w:rPr>
              <w:noProof/>
            </w:rPr>
            <w:drawing>
              <wp:inline distT="0" distB="0" distL="0" distR="0" wp14:anchorId="56D2141D" wp14:editId="545A7B18">
                <wp:extent cx="1026329" cy="398188"/>
                <wp:effectExtent l="0" t="0" r="25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PME_V2_Plan de travail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6266" cy="409803"/>
                        </a:xfrm>
                        <a:prstGeom prst="rect">
                          <a:avLst/>
                        </a:prstGeom>
                      </pic:spPr>
                    </pic:pic>
                  </a:graphicData>
                </a:graphic>
              </wp:inline>
            </w:drawing>
          </w:r>
        </w:p>
      </w:tc>
      <w:tc>
        <w:tcPr>
          <w:tcW w:w="3165" w:type="dxa"/>
          <w:vAlign w:val="center"/>
        </w:tcPr>
        <w:p w14:paraId="7D41AEC4" w14:textId="77777777" w:rsidR="001E168F" w:rsidRDefault="001E168F" w:rsidP="001E168F">
          <w:pPr>
            <w:jc w:val="center"/>
            <w:rPr>
              <w:noProof/>
            </w:rPr>
          </w:pPr>
          <w:r>
            <w:rPr>
              <w:noProof/>
            </w:rPr>
            <w:drawing>
              <wp:inline distT="0" distB="0" distL="0" distR="0" wp14:anchorId="3DF5C54B" wp14:editId="189E90EF">
                <wp:extent cx="897697" cy="381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 2.png"/>
                        <pic:cNvPicPr/>
                      </pic:nvPicPr>
                      <pic:blipFill>
                        <a:blip r:embed="rId2">
                          <a:extLst>
                            <a:ext uri="{28A0092B-C50C-407E-A947-70E740481C1C}">
                              <a14:useLocalDpi xmlns:a14="http://schemas.microsoft.com/office/drawing/2010/main" val="0"/>
                            </a:ext>
                          </a:extLst>
                        </a:blip>
                        <a:stretch>
                          <a:fillRect/>
                        </a:stretch>
                      </pic:blipFill>
                      <pic:spPr>
                        <a:xfrm>
                          <a:off x="0" y="0"/>
                          <a:ext cx="925426" cy="392769"/>
                        </a:xfrm>
                        <a:prstGeom prst="rect">
                          <a:avLst/>
                        </a:prstGeom>
                      </pic:spPr>
                    </pic:pic>
                  </a:graphicData>
                </a:graphic>
              </wp:inline>
            </w:drawing>
          </w:r>
        </w:p>
      </w:tc>
      <w:tc>
        <w:tcPr>
          <w:tcW w:w="3166" w:type="dxa"/>
          <w:vAlign w:val="center"/>
        </w:tcPr>
        <w:p w14:paraId="5BDAA224" w14:textId="77777777" w:rsidR="001E168F" w:rsidRDefault="001E168F" w:rsidP="001E168F">
          <w:pPr>
            <w:jc w:val="right"/>
          </w:pPr>
          <w:r>
            <w:rPr>
              <w:noProof/>
            </w:rPr>
            <w:drawing>
              <wp:inline distT="0" distB="0" distL="0" distR="0" wp14:anchorId="2E3135DD" wp14:editId="30EC3993">
                <wp:extent cx="819150" cy="419377"/>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Expertise France - Fond transpar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47223" cy="433749"/>
                        </a:xfrm>
                        <a:prstGeom prst="rect">
                          <a:avLst/>
                        </a:prstGeom>
                      </pic:spPr>
                    </pic:pic>
                  </a:graphicData>
                </a:graphic>
              </wp:inline>
            </w:drawing>
          </w:r>
        </w:p>
      </w:tc>
    </w:tr>
  </w:tbl>
  <w:p w14:paraId="101ED4D1" w14:textId="77777777" w:rsidR="00F819D9" w:rsidRDefault="00F819D9" w:rsidP="00DF4FA8">
    <w:pPr>
      <w:pBdr>
        <w:bottom w:val="single" w:sz="4" w:space="6" w:color="C9CDDA"/>
      </w:pBdr>
      <w:spacing w:after="24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C6E"/>
    <w:multiLevelType w:val="hybridMultilevel"/>
    <w:tmpl w:val="D4682858"/>
    <w:lvl w:ilvl="0" w:tplc="20B40B3E">
      <w:start w:val="1"/>
      <w:numFmt w:val="decimal"/>
      <w:lvlText w:val="%1."/>
      <w:lvlJc w:val="left"/>
      <w:pPr>
        <w:ind w:left="400" w:hanging="260"/>
      </w:pPr>
      <w:rPr>
        <w:b w:val="0"/>
        <w:bCs w:val="0"/>
      </w:rPr>
    </w:lvl>
    <w:lvl w:ilvl="1" w:tplc="A3881302">
      <w:numFmt w:val="decimal"/>
      <w:lvlText w:val=""/>
      <w:lvlJc w:val="left"/>
    </w:lvl>
    <w:lvl w:ilvl="2" w:tplc="91E6C8B2">
      <w:numFmt w:val="decimal"/>
      <w:lvlText w:val=""/>
      <w:lvlJc w:val="left"/>
    </w:lvl>
    <w:lvl w:ilvl="3" w:tplc="F4D07F1E">
      <w:numFmt w:val="decimal"/>
      <w:lvlText w:val=""/>
      <w:lvlJc w:val="left"/>
    </w:lvl>
    <w:lvl w:ilvl="4" w:tplc="18D87928">
      <w:numFmt w:val="decimal"/>
      <w:lvlText w:val=""/>
      <w:lvlJc w:val="left"/>
    </w:lvl>
    <w:lvl w:ilvl="5" w:tplc="7DEA16A6">
      <w:numFmt w:val="decimal"/>
      <w:lvlText w:val=""/>
      <w:lvlJc w:val="left"/>
    </w:lvl>
    <w:lvl w:ilvl="6" w:tplc="290407D8">
      <w:numFmt w:val="decimal"/>
      <w:lvlText w:val=""/>
      <w:lvlJc w:val="left"/>
    </w:lvl>
    <w:lvl w:ilvl="7" w:tplc="37A05A12">
      <w:numFmt w:val="decimal"/>
      <w:lvlText w:val=""/>
      <w:lvlJc w:val="left"/>
    </w:lvl>
    <w:lvl w:ilvl="8" w:tplc="D1D455B2">
      <w:numFmt w:val="decimal"/>
      <w:lvlText w:val=""/>
      <w:lvlJc w:val="left"/>
    </w:lvl>
  </w:abstractNum>
  <w:abstractNum w:abstractNumId="1" w15:restartNumberingAfterBreak="0">
    <w:nsid w:val="6CB77FCE"/>
    <w:multiLevelType w:val="hybridMultilevel"/>
    <w:tmpl w:val="87C4ED16"/>
    <w:lvl w:ilvl="0" w:tplc="E9B2D572">
      <w:start w:val="1"/>
      <w:numFmt w:val="bullet"/>
      <w:lvlText w:val="●"/>
      <w:lvlJc w:val="left"/>
      <w:pPr>
        <w:ind w:left="720" w:hanging="360"/>
      </w:pPr>
    </w:lvl>
    <w:lvl w:ilvl="1" w:tplc="1FB4950C">
      <w:start w:val="1"/>
      <w:numFmt w:val="bullet"/>
      <w:lvlText w:val="○"/>
      <w:lvlJc w:val="left"/>
      <w:pPr>
        <w:ind w:left="1440" w:hanging="360"/>
      </w:pPr>
    </w:lvl>
    <w:lvl w:ilvl="2" w:tplc="84289A94">
      <w:start w:val="1"/>
      <w:numFmt w:val="bullet"/>
      <w:lvlText w:val="■"/>
      <w:lvlJc w:val="left"/>
      <w:pPr>
        <w:ind w:left="2160" w:hanging="360"/>
      </w:pPr>
    </w:lvl>
    <w:lvl w:ilvl="3" w:tplc="8828D378">
      <w:start w:val="1"/>
      <w:numFmt w:val="bullet"/>
      <w:lvlText w:val="●"/>
      <w:lvlJc w:val="left"/>
      <w:pPr>
        <w:ind w:left="2880" w:hanging="360"/>
      </w:pPr>
    </w:lvl>
    <w:lvl w:ilvl="4" w:tplc="30B85F0A">
      <w:start w:val="1"/>
      <w:numFmt w:val="bullet"/>
      <w:lvlText w:val="○"/>
      <w:lvlJc w:val="left"/>
      <w:pPr>
        <w:ind w:left="3600" w:hanging="360"/>
      </w:pPr>
    </w:lvl>
    <w:lvl w:ilvl="5" w:tplc="6FB60C6E">
      <w:start w:val="1"/>
      <w:numFmt w:val="bullet"/>
      <w:lvlText w:val="■"/>
      <w:lvlJc w:val="left"/>
      <w:pPr>
        <w:ind w:left="4320" w:hanging="360"/>
      </w:pPr>
    </w:lvl>
    <w:lvl w:ilvl="6" w:tplc="53A0A3EA">
      <w:start w:val="1"/>
      <w:numFmt w:val="bullet"/>
      <w:lvlText w:val="●"/>
      <w:lvlJc w:val="left"/>
      <w:pPr>
        <w:ind w:left="5040" w:hanging="360"/>
      </w:pPr>
    </w:lvl>
    <w:lvl w:ilvl="7" w:tplc="C142B260">
      <w:start w:val="1"/>
      <w:numFmt w:val="bullet"/>
      <w:lvlText w:val="●"/>
      <w:lvlJc w:val="left"/>
      <w:pPr>
        <w:ind w:left="5760" w:hanging="360"/>
      </w:pPr>
    </w:lvl>
    <w:lvl w:ilvl="8" w:tplc="88BE64A2">
      <w:start w:val="1"/>
      <w:numFmt w:val="bullet"/>
      <w:lvlText w:val="●"/>
      <w:lvlJc w:val="left"/>
      <w:pPr>
        <w:ind w:left="6480" w:hanging="360"/>
      </w:pPr>
    </w:lvl>
  </w:abstractNum>
  <w:abstractNum w:abstractNumId="2" w15:restartNumberingAfterBreak="0">
    <w:nsid w:val="72CE0FF2"/>
    <w:multiLevelType w:val="hybridMultilevel"/>
    <w:tmpl w:val="DB5AA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ED2CEB"/>
    <w:multiLevelType w:val="hybridMultilevel"/>
    <w:tmpl w:val="C6DECF72"/>
    <w:lvl w:ilvl="0" w:tplc="D8908F6A">
      <w:start w:val="1"/>
      <w:numFmt w:val="bullet"/>
      <w:lvlText w:val="•"/>
      <w:lvlJc w:val="left"/>
      <w:pPr>
        <w:ind w:left="360" w:hanging="220"/>
      </w:pPr>
      <w:rPr>
        <w:color w:val="015B54"/>
      </w:rPr>
    </w:lvl>
    <w:lvl w:ilvl="1" w:tplc="49A4A966">
      <w:numFmt w:val="decimal"/>
      <w:lvlText w:val=""/>
      <w:lvlJc w:val="left"/>
    </w:lvl>
    <w:lvl w:ilvl="2" w:tplc="1780D88C">
      <w:numFmt w:val="decimal"/>
      <w:lvlText w:val=""/>
      <w:lvlJc w:val="left"/>
    </w:lvl>
    <w:lvl w:ilvl="3" w:tplc="FA4E2FB8">
      <w:numFmt w:val="decimal"/>
      <w:lvlText w:val=""/>
      <w:lvlJc w:val="left"/>
    </w:lvl>
    <w:lvl w:ilvl="4" w:tplc="1E6EA158">
      <w:numFmt w:val="decimal"/>
      <w:lvlText w:val=""/>
      <w:lvlJc w:val="left"/>
    </w:lvl>
    <w:lvl w:ilvl="5" w:tplc="3DE4C092">
      <w:numFmt w:val="decimal"/>
      <w:lvlText w:val=""/>
      <w:lvlJc w:val="left"/>
    </w:lvl>
    <w:lvl w:ilvl="6" w:tplc="45763A9E">
      <w:numFmt w:val="decimal"/>
      <w:lvlText w:val=""/>
      <w:lvlJc w:val="left"/>
    </w:lvl>
    <w:lvl w:ilvl="7" w:tplc="3200B11C">
      <w:numFmt w:val="decimal"/>
      <w:lvlText w:val=""/>
      <w:lvlJc w:val="left"/>
    </w:lvl>
    <w:lvl w:ilvl="8" w:tplc="FCD4D656">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0"/>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D9"/>
    <w:rsid w:val="000056E7"/>
    <w:rsid w:val="00024B92"/>
    <w:rsid w:val="00030968"/>
    <w:rsid w:val="00046522"/>
    <w:rsid w:val="000C1097"/>
    <w:rsid w:val="00107FDB"/>
    <w:rsid w:val="00123397"/>
    <w:rsid w:val="001257CD"/>
    <w:rsid w:val="001410C3"/>
    <w:rsid w:val="001441AC"/>
    <w:rsid w:val="00167C8C"/>
    <w:rsid w:val="00177EA4"/>
    <w:rsid w:val="00187FCD"/>
    <w:rsid w:val="00194C2B"/>
    <w:rsid w:val="001A0638"/>
    <w:rsid w:val="001A1250"/>
    <w:rsid w:val="001B09D4"/>
    <w:rsid w:val="001D2AB2"/>
    <w:rsid w:val="001E168F"/>
    <w:rsid w:val="001F228F"/>
    <w:rsid w:val="00241D24"/>
    <w:rsid w:val="002A345A"/>
    <w:rsid w:val="002D18C3"/>
    <w:rsid w:val="002D7AC8"/>
    <w:rsid w:val="003064EC"/>
    <w:rsid w:val="00340077"/>
    <w:rsid w:val="003512D9"/>
    <w:rsid w:val="00371811"/>
    <w:rsid w:val="0039078E"/>
    <w:rsid w:val="003A08EC"/>
    <w:rsid w:val="003A1756"/>
    <w:rsid w:val="003B62A1"/>
    <w:rsid w:val="003C307B"/>
    <w:rsid w:val="003D0377"/>
    <w:rsid w:val="00400DBF"/>
    <w:rsid w:val="00422E6D"/>
    <w:rsid w:val="0043660B"/>
    <w:rsid w:val="004A0277"/>
    <w:rsid w:val="004F6AE7"/>
    <w:rsid w:val="00504B22"/>
    <w:rsid w:val="0053575A"/>
    <w:rsid w:val="00564451"/>
    <w:rsid w:val="006000BB"/>
    <w:rsid w:val="00617013"/>
    <w:rsid w:val="006443B3"/>
    <w:rsid w:val="0066089C"/>
    <w:rsid w:val="006734DC"/>
    <w:rsid w:val="006E7EB2"/>
    <w:rsid w:val="006F1617"/>
    <w:rsid w:val="007549FF"/>
    <w:rsid w:val="00763090"/>
    <w:rsid w:val="00770D79"/>
    <w:rsid w:val="00772348"/>
    <w:rsid w:val="00796A6F"/>
    <w:rsid w:val="007A2E74"/>
    <w:rsid w:val="007A3769"/>
    <w:rsid w:val="007A7B4E"/>
    <w:rsid w:val="007E0B4B"/>
    <w:rsid w:val="007E27AB"/>
    <w:rsid w:val="007E2C8F"/>
    <w:rsid w:val="007E5019"/>
    <w:rsid w:val="0081378A"/>
    <w:rsid w:val="00856854"/>
    <w:rsid w:val="008708BC"/>
    <w:rsid w:val="00894531"/>
    <w:rsid w:val="008B0470"/>
    <w:rsid w:val="009432E4"/>
    <w:rsid w:val="00963E1C"/>
    <w:rsid w:val="009B42A2"/>
    <w:rsid w:val="009D19B4"/>
    <w:rsid w:val="009E5949"/>
    <w:rsid w:val="009F3DFE"/>
    <w:rsid w:val="00A16002"/>
    <w:rsid w:val="00A26C96"/>
    <w:rsid w:val="00A71CDE"/>
    <w:rsid w:val="00A775E8"/>
    <w:rsid w:val="00A967CA"/>
    <w:rsid w:val="00AA60E5"/>
    <w:rsid w:val="00AD37A0"/>
    <w:rsid w:val="00B05C41"/>
    <w:rsid w:val="00B50D3C"/>
    <w:rsid w:val="00B720D0"/>
    <w:rsid w:val="00BA123C"/>
    <w:rsid w:val="00BC1EE2"/>
    <w:rsid w:val="00BE08BD"/>
    <w:rsid w:val="00BE55D3"/>
    <w:rsid w:val="00C011A3"/>
    <w:rsid w:val="00C012B5"/>
    <w:rsid w:val="00C50CFC"/>
    <w:rsid w:val="00C7435B"/>
    <w:rsid w:val="00C76A6B"/>
    <w:rsid w:val="00C90F3D"/>
    <w:rsid w:val="00C95E1D"/>
    <w:rsid w:val="00D0109B"/>
    <w:rsid w:val="00D20404"/>
    <w:rsid w:val="00D336A7"/>
    <w:rsid w:val="00D54F49"/>
    <w:rsid w:val="00D5615B"/>
    <w:rsid w:val="00D563B3"/>
    <w:rsid w:val="00D65269"/>
    <w:rsid w:val="00D712FC"/>
    <w:rsid w:val="00D73662"/>
    <w:rsid w:val="00D855DB"/>
    <w:rsid w:val="00DB28F7"/>
    <w:rsid w:val="00DC1E11"/>
    <w:rsid w:val="00DC54D3"/>
    <w:rsid w:val="00DC62B4"/>
    <w:rsid w:val="00DE2DA0"/>
    <w:rsid w:val="00DF2385"/>
    <w:rsid w:val="00DF4FA8"/>
    <w:rsid w:val="00E128B6"/>
    <w:rsid w:val="00E2458F"/>
    <w:rsid w:val="00E45DEE"/>
    <w:rsid w:val="00E56BD3"/>
    <w:rsid w:val="00E9142F"/>
    <w:rsid w:val="00F05936"/>
    <w:rsid w:val="00F10125"/>
    <w:rsid w:val="00F76B9F"/>
    <w:rsid w:val="00F819D9"/>
    <w:rsid w:val="00F94D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9B713"/>
  <w15:docId w15:val="{2F5C5380-FB65-4FA3-B487-24AD1732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1F2430"/>
        <w:sz w:val="21"/>
        <w:szCs w:val="21"/>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outlineLvl w:val="0"/>
    </w:pPr>
    <w:rPr>
      <w:color w:val="2E74B5"/>
      <w:sz w:val="32"/>
      <w:szCs w:val="32"/>
    </w:rPr>
  </w:style>
  <w:style w:type="paragraph" w:styleId="Titre2">
    <w:name w:val="heading 2"/>
    <w:qFormat/>
    <w:pPr>
      <w:outlineLvl w:val="1"/>
    </w:pPr>
    <w:rPr>
      <w:color w:val="2E74B5"/>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1E168F"/>
    <w:pPr>
      <w:tabs>
        <w:tab w:val="center" w:pos="4536"/>
        <w:tab w:val="right" w:pos="9072"/>
      </w:tabs>
    </w:pPr>
  </w:style>
  <w:style w:type="character" w:customStyle="1" w:styleId="En-tteCar">
    <w:name w:val="En-tête Car"/>
    <w:basedOn w:val="Policepardfaut"/>
    <w:link w:val="En-tte"/>
    <w:uiPriority w:val="99"/>
    <w:rsid w:val="001E168F"/>
  </w:style>
  <w:style w:type="paragraph" w:styleId="Pieddepage">
    <w:name w:val="footer"/>
    <w:basedOn w:val="Normal"/>
    <w:link w:val="PieddepageCar"/>
    <w:uiPriority w:val="99"/>
    <w:unhideWhenUsed/>
    <w:rsid w:val="001E168F"/>
    <w:pPr>
      <w:tabs>
        <w:tab w:val="center" w:pos="4536"/>
        <w:tab w:val="right" w:pos="9072"/>
      </w:tabs>
    </w:pPr>
  </w:style>
  <w:style w:type="character" w:customStyle="1" w:styleId="PieddepageCar">
    <w:name w:val="Pied de page Car"/>
    <w:basedOn w:val="Policepardfaut"/>
    <w:link w:val="Pieddepage"/>
    <w:uiPriority w:val="99"/>
    <w:rsid w:val="001E168F"/>
  </w:style>
  <w:style w:type="table" w:styleId="Grilledutableau">
    <w:name w:val="Table Grid"/>
    <w:basedOn w:val="TableauNormal"/>
    <w:uiPriority w:val="39"/>
    <w:rsid w:val="001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734DC"/>
  </w:style>
  <w:style w:type="paragraph" w:styleId="Textedebulles">
    <w:name w:val="Balloon Text"/>
    <w:basedOn w:val="Normal"/>
    <w:link w:val="TextedebullesCar"/>
    <w:uiPriority w:val="99"/>
    <w:semiHidden/>
    <w:unhideWhenUsed/>
    <w:rsid w:val="004F6AE7"/>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6AE7"/>
    <w:rPr>
      <w:rFonts w:ascii="Segoe UI" w:hAnsi="Segoe UI" w:cs="Segoe UI"/>
      <w:sz w:val="18"/>
      <w:szCs w:val="18"/>
    </w:rPr>
  </w:style>
  <w:style w:type="character" w:styleId="Marquedecommentaire">
    <w:name w:val="annotation reference"/>
    <w:basedOn w:val="Policepardfaut"/>
    <w:uiPriority w:val="99"/>
    <w:semiHidden/>
    <w:unhideWhenUsed/>
    <w:rsid w:val="00F10125"/>
    <w:rPr>
      <w:sz w:val="16"/>
      <w:szCs w:val="16"/>
    </w:rPr>
  </w:style>
  <w:style w:type="paragraph" w:styleId="Commentaire">
    <w:name w:val="annotation text"/>
    <w:basedOn w:val="Normal"/>
    <w:link w:val="CommentaireCar"/>
    <w:uiPriority w:val="99"/>
    <w:semiHidden/>
    <w:unhideWhenUsed/>
    <w:rsid w:val="00F10125"/>
    <w:rPr>
      <w:sz w:val="20"/>
      <w:szCs w:val="20"/>
    </w:rPr>
  </w:style>
  <w:style w:type="character" w:customStyle="1" w:styleId="CommentaireCar">
    <w:name w:val="Commentaire Car"/>
    <w:basedOn w:val="Policepardfaut"/>
    <w:link w:val="Commentaire"/>
    <w:uiPriority w:val="99"/>
    <w:semiHidden/>
    <w:rsid w:val="00F10125"/>
    <w:rPr>
      <w:sz w:val="20"/>
      <w:szCs w:val="20"/>
    </w:rPr>
  </w:style>
  <w:style w:type="paragraph" w:styleId="Objetducommentaire">
    <w:name w:val="annotation subject"/>
    <w:basedOn w:val="Commentaire"/>
    <w:next w:val="Commentaire"/>
    <w:link w:val="ObjetducommentaireCar"/>
    <w:uiPriority w:val="99"/>
    <w:semiHidden/>
    <w:unhideWhenUsed/>
    <w:rsid w:val="00F10125"/>
    <w:rPr>
      <w:b/>
      <w:bCs/>
    </w:rPr>
  </w:style>
  <w:style w:type="character" w:customStyle="1" w:styleId="ObjetducommentaireCar">
    <w:name w:val="Objet du commentaire Car"/>
    <w:basedOn w:val="CommentaireCar"/>
    <w:link w:val="Objetducommentaire"/>
    <w:uiPriority w:val="99"/>
    <w:semiHidden/>
    <w:rsid w:val="00F101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4482</Words>
  <Characters>24651</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TdR — Audit organisationnel et fonctionnel de l'ADPME</vt:lpstr>
    </vt:vector>
  </TitlesOfParts>
  <Company>Expertise France</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 Audit organisationnel et fonctionnel de l'ADPME</dc:title>
  <dc:creator>AT CA2 Bénin</dc:creator>
  <cp:lastModifiedBy>Morgane AWU</cp:lastModifiedBy>
  <cp:revision>2</cp:revision>
  <dcterms:created xsi:type="dcterms:W3CDTF">2026-08-31T15:54:00Z</dcterms:created>
  <dcterms:modified xsi:type="dcterms:W3CDTF">2026-08-31T15:54:00Z</dcterms:modified>
</cp:coreProperties>
</file>