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156FF" w14:textId="77777777" w:rsidR="004D0D54" w:rsidRDefault="004D0D54" w:rsidP="008B4474">
      <w:pPr>
        <w:pStyle w:val="Titre"/>
        <w:pBdr>
          <w:bottom w:val="single" w:sz="8" w:space="4" w:color="833C0B" w:themeColor="accent2" w:themeShade="80"/>
        </w:pBdr>
        <w:spacing w:line="360" w:lineRule="auto"/>
        <w:rPr>
          <w:rFonts w:asciiTheme="minorHAnsi" w:hAnsiTheme="minorHAnsi" w:cstheme="minorHAnsi"/>
          <w:color w:val="008951"/>
          <w:spacing w:val="0"/>
          <w:kern w:val="0"/>
          <w:sz w:val="32"/>
          <w:szCs w:val="32"/>
        </w:rPr>
      </w:pPr>
    </w:p>
    <w:p w14:paraId="2084AAEB" w14:textId="19371036" w:rsidR="00583691" w:rsidRPr="005C242F" w:rsidRDefault="00234DBE" w:rsidP="00583691">
      <w:pPr>
        <w:pStyle w:val="Titre"/>
        <w:pBdr>
          <w:bottom w:val="single" w:sz="8" w:space="4" w:color="833C0B" w:themeColor="accent2" w:themeShade="80"/>
        </w:pBdr>
        <w:spacing w:line="360" w:lineRule="auto"/>
        <w:jc w:val="center"/>
        <w:rPr>
          <w:rFonts w:asciiTheme="minorHAnsi" w:hAnsiTheme="minorHAnsi" w:cstheme="minorHAnsi"/>
          <w:b/>
          <w:color w:val="008951"/>
          <w:spacing w:val="0"/>
          <w:kern w:val="0"/>
          <w:sz w:val="32"/>
          <w:szCs w:val="32"/>
        </w:rPr>
      </w:pPr>
      <w:r>
        <w:rPr>
          <w:rFonts w:asciiTheme="minorHAnsi" w:hAnsiTheme="minorHAnsi" w:cstheme="minorHAnsi"/>
          <w:color w:val="008951"/>
          <w:spacing w:val="0"/>
          <w:kern w:val="0"/>
          <w:sz w:val="32"/>
          <w:szCs w:val="32"/>
        </w:rPr>
        <w:t>APPEL A CANDIDATURE</w:t>
      </w:r>
      <w:r w:rsidR="00094490">
        <w:rPr>
          <w:rFonts w:asciiTheme="minorHAnsi" w:hAnsiTheme="minorHAnsi" w:cstheme="minorHAnsi"/>
          <w:color w:val="008951"/>
          <w:spacing w:val="0"/>
          <w:kern w:val="0"/>
          <w:sz w:val="32"/>
          <w:szCs w:val="32"/>
        </w:rPr>
        <w:t>S</w:t>
      </w:r>
    </w:p>
    <w:p w14:paraId="1C9DC07B" w14:textId="0E6F2AF0" w:rsidR="00583691" w:rsidRPr="00094490" w:rsidRDefault="00234DBE" w:rsidP="00583691">
      <w:pPr>
        <w:pStyle w:val="Titre"/>
        <w:pBdr>
          <w:bottom w:val="single" w:sz="8" w:space="4" w:color="833C0B" w:themeColor="accent2" w:themeShade="80"/>
        </w:pBdr>
        <w:spacing w:line="360" w:lineRule="auto"/>
        <w:jc w:val="center"/>
        <w:rPr>
          <w:rFonts w:asciiTheme="minorHAnsi" w:hAnsiTheme="minorHAnsi" w:cstheme="minorHAnsi"/>
          <w:b/>
          <w:color w:val="833C0B" w:themeColor="accent2" w:themeShade="80"/>
          <w:spacing w:val="0"/>
          <w:kern w:val="0"/>
          <w:sz w:val="28"/>
          <w:szCs w:val="28"/>
        </w:rPr>
      </w:pPr>
      <w:r w:rsidRPr="00094490">
        <w:rPr>
          <w:rFonts w:asciiTheme="minorHAnsi" w:hAnsiTheme="minorHAnsi" w:cstheme="minorHAnsi"/>
          <w:b/>
          <w:color w:val="833C0B" w:themeColor="accent2" w:themeShade="80"/>
          <w:spacing w:val="0"/>
          <w:kern w:val="0"/>
          <w:sz w:val="28"/>
          <w:szCs w:val="28"/>
        </w:rPr>
        <w:t>Groupe</w:t>
      </w:r>
      <w:r w:rsidR="00CB77D5">
        <w:rPr>
          <w:rFonts w:asciiTheme="minorHAnsi" w:hAnsiTheme="minorHAnsi" w:cstheme="minorHAnsi"/>
          <w:b/>
          <w:color w:val="833C0B" w:themeColor="accent2" w:themeShade="80"/>
          <w:spacing w:val="0"/>
          <w:kern w:val="0"/>
          <w:sz w:val="28"/>
          <w:szCs w:val="28"/>
        </w:rPr>
        <w:t xml:space="preserve"> Régional</w:t>
      </w:r>
      <w:r w:rsidRPr="00094490">
        <w:rPr>
          <w:rFonts w:asciiTheme="minorHAnsi" w:hAnsiTheme="minorHAnsi" w:cstheme="minorHAnsi"/>
          <w:b/>
          <w:color w:val="833C0B" w:themeColor="accent2" w:themeShade="80"/>
          <w:spacing w:val="0"/>
          <w:kern w:val="0"/>
          <w:sz w:val="28"/>
          <w:szCs w:val="28"/>
        </w:rPr>
        <w:t xml:space="preserve"> d’</w:t>
      </w:r>
      <w:r w:rsidR="00CB77D5">
        <w:rPr>
          <w:rFonts w:asciiTheme="minorHAnsi" w:hAnsiTheme="minorHAnsi" w:cstheme="minorHAnsi"/>
          <w:b/>
          <w:color w:val="833C0B" w:themeColor="accent2" w:themeShade="80"/>
          <w:spacing w:val="0"/>
          <w:kern w:val="0"/>
          <w:sz w:val="28"/>
          <w:szCs w:val="28"/>
        </w:rPr>
        <w:t>A</w:t>
      </w:r>
      <w:r w:rsidRPr="00094490">
        <w:rPr>
          <w:rFonts w:asciiTheme="minorHAnsi" w:hAnsiTheme="minorHAnsi" w:cstheme="minorHAnsi"/>
          <w:b/>
          <w:color w:val="833C0B" w:themeColor="accent2" w:themeShade="80"/>
          <w:spacing w:val="0"/>
          <w:kern w:val="0"/>
          <w:sz w:val="28"/>
          <w:szCs w:val="28"/>
        </w:rPr>
        <w:t xml:space="preserve">ppui aux </w:t>
      </w:r>
      <w:r w:rsidR="00CB77D5">
        <w:rPr>
          <w:rFonts w:asciiTheme="minorHAnsi" w:hAnsiTheme="minorHAnsi" w:cstheme="minorHAnsi"/>
          <w:b/>
          <w:color w:val="833C0B" w:themeColor="accent2" w:themeShade="80"/>
          <w:spacing w:val="0"/>
          <w:kern w:val="0"/>
          <w:sz w:val="28"/>
          <w:szCs w:val="28"/>
        </w:rPr>
        <w:t>N</w:t>
      </w:r>
      <w:r w:rsidRPr="00094490">
        <w:rPr>
          <w:rFonts w:asciiTheme="minorHAnsi" w:hAnsiTheme="minorHAnsi" w:cstheme="minorHAnsi"/>
          <w:b/>
          <w:color w:val="833C0B" w:themeColor="accent2" w:themeShade="80"/>
          <w:spacing w:val="0"/>
          <w:kern w:val="0"/>
          <w:sz w:val="28"/>
          <w:szCs w:val="28"/>
        </w:rPr>
        <w:t xml:space="preserve">égociations </w:t>
      </w:r>
      <w:r w:rsidR="00CB77D5">
        <w:rPr>
          <w:rFonts w:asciiTheme="minorHAnsi" w:hAnsiTheme="minorHAnsi" w:cstheme="minorHAnsi"/>
          <w:b/>
          <w:color w:val="833C0B" w:themeColor="accent2" w:themeShade="80"/>
          <w:spacing w:val="0"/>
          <w:kern w:val="0"/>
          <w:sz w:val="28"/>
          <w:szCs w:val="28"/>
        </w:rPr>
        <w:t>I</w:t>
      </w:r>
      <w:r w:rsidRPr="00094490">
        <w:rPr>
          <w:rFonts w:asciiTheme="minorHAnsi" w:hAnsiTheme="minorHAnsi" w:cstheme="minorHAnsi"/>
          <w:b/>
          <w:color w:val="833C0B" w:themeColor="accent2" w:themeShade="80"/>
          <w:spacing w:val="0"/>
          <w:kern w:val="0"/>
          <w:sz w:val="28"/>
          <w:szCs w:val="28"/>
        </w:rPr>
        <w:t xml:space="preserve">nternationales </w:t>
      </w:r>
      <w:r w:rsidR="00CB77D5">
        <w:rPr>
          <w:rFonts w:asciiTheme="minorHAnsi" w:hAnsiTheme="minorHAnsi" w:cstheme="minorHAnsi"/>
          <w:b/>
          <w:color w:val="833C0B" w:themeColor="accent2" w:themeShade="80"/>
          <w:spacing w:val="0"/>
          <w:kern w:val="0"/>
          <w:sz w:val="28"/>
          <w:szCs w:val="28"/>
        </w:rPr>
        <w:t>sur le C</w:t>
      </w:r>
      <w:r w:rsidRPr="00094490">
        <w:rPr>
          <w:rFonts w:asciiTheme="minorHAnsi" w:hAnsiTheme="minorHAnsi" w:cstheme="minorHAnsi"/>
          <w:b/>
          <w:color w:val="833C0B" w:themeColor="accent2" w:themeShade="80"/>
          <w:spacing w:val="0"/>
          <w:kern w:val="0"/>
          <w:sz w:val="28"/>
          <w:szCs w:val="28"/>
        </w:rPr>
        <w:t>limat de la CEDEAO</w:t>
      </w:r>
    </w:p>
    <w:p w14:paraId="6AEDF09E" w14:textId="77777777" w:rsidR="0029226F" w:rsidRPr="005D5CD3" w:rsidRDefault="0029226F"/>
    <w:p w14:paraId="3E2BD647" w14:textId="248D6620" w:rsidR="00234DBE" w:rsidRPr="00234DBE" w:rsidRDefault="00234DBE" w:rsidP="00E0536D">
      <w:pPr>
        <w:pStyle w:val="Titre1"/>
      </w:pPr>
      <w:r w:rsidRPr="00234DBE">
        <w:t>Introduction</w:t>
      </w:r>
      <w:r w:rsidR="00E0536D">
        <w:t> </w:t>
      </w:r>
    </w:p>
    <w:p w14:paraId="19BFE288" w14:textId="67015272" w:rsidR="008F397E" w:rsidRDefault="00234DBE" w:rsidP="008F397E">
      <w:pPr>
        <w:spacing w:line="276" w:lineRule="auto"/>
        <w:jc w:val="both"/>
      </w:pPr>
      <w:r w:rsidRPr="00234DBE">
        <w:t>L</w:t>
      </w:r>
      <w:r w:rsidR="00507973">
        <w:t>a CEDEAO souhaite constituer un</w:t>
      </w:r>
      <w:r w:rsidRPr="00234DBE">
        <w:t xml:space="preserve"> Groupe </w:t>
      </w:r>
      <w:r w:rsidR="00CB77D5">
        <w:t xml:space="preserve">Régional </w:t>
      </w:r>
      <w:r w:rsidRPr="00234DBE">
        <w:t xml:space="preserve">d’Appui aux </w:t>
      </w:r>
      <w:r w:rsidR="00CB77D5">
        <w:t>N</w:t>
      </w:r>
      <w:r w:rsidRPr="00234DBE">
        <w:t xml:space="preserve">égociations </w:t>
      </w:r>
      <w:r w:rsidR="00CB77D5">
        <w:t>I</w:t>
      </w:r>
      <w:r w:rsidRPr="00234DBE">
        <w:t xml:space="preserve">nternationales sur le </w:t>
      </w:r>
      <w:r w:rsidR="00CB77D5" w:rsidRPr="00934EAB">
        <w:t>C</w:t>
      </w:r>
      <w:r w:rsidRPr="00934EAB">
        <w:t xml:space="preserve">limat </w:t>
      </w:r>
      <w:r w:rsidR="008F397E" w:rsidRPr="00934EAB">
        <w:t xml:space="preserve">(GRANIC) </w:t>
      </w:r>
      <w:r w:rsidRPr="00934EAB">
        <w:t>pour appuyer</w:t>
      </w:r>
      <w:r w:rsidRPr="00234DBE">
        <w:t xml:space="preserve"> ses États membres et être proactive dans la défense des intérêts communs oue</w:t>
      </w:r>
      <w:r w:rsidR="00507973">
        <w:t>st-africains au sein du groupe a</w:t>
      </w:r>
      <w:r w:rsidRPr="00234DBE">
        <w:t xml:space="preserve">fricain, notamment pour mieux coordonner les positions régionales communes sur des sujets relevant des domaines de compétences de la CEDEAO. </w:t>
      </w:r>
    </w:p>
    <w:p w14:paraId="62AD3816" w14:textId="77777777" w:rsidR="008F397E" w:rsidRDefault="008F397E" w:rsidP="008F397E">
      <w:pPr>
        <w:spacing w:line="276" w:lineRule="auto"/>
        <w:jc w:val="both"/>
      </w:pPr>
      <w:r w:rsidRPr="00234DBE">
        <w:t xml:space="preserve">A cet effet, la CEDEAO entend sélectionner des experts dans le domaine de la lutte contre les changements climatiques ayant une expérience des négociations internationales dans le cadre de la Convention Cadre des Nations Unies sur les Changements Climatiques (CCNUCC) et de l’Accord de Paris sur le climat. </w:t>
      </w:r>
    </w:p>
    <w:p w14:paraId="4E0E9144" w14:textId="48FB4251" w:rsidR="008F397E" w:rsidRDefault="008F397E" w:rsidP="00234DBE">
      <w:pPr>
        <w:spacing w:line="276" w:lineRule="auto"/>
        <w:jc w:val="both"/>
      </w:pPr>
      <w:r w:rsidRPr="00934EAB">
        <w:t>Le GRANIC est établi en la forme d’un organe technique d’appui-conseil auprès de la Commission de la CEDEAO, qui est placé sous la tutelle du Département en charge de l’Agriculture, de l’Environnement et des Ressources Naturelles de la Commission de la CEDEAO.</w:t>
      </w:r>
    </w:p>
    <w:p w14:paraId="66373683" w14:textId="72F1AB82" w:rsidR="007B2397" w:rsidRDefault="00B66D6B" w:rsidP="00934EAB">
      <w:pPr>
        <w:spacing w:line="276" w:lineRule="auto"/>
        <w:jc w:val="both"/>
        <w:rPr>
          <w:lang w:val="fr-BE"/>
        </w:rPr>
      </w:pPr>
      <w:r w:rsidRPr="00934EAB">
        <w:t xml:space="preserve">Ce groupe devrait être constitué début 2021. </w:t>
      </w:r>
      <w:r w:rsidR="00132122" w:rsidRPr="00934EAB">
        <w:rPr>
          <w:lang w:val="fr-BE"/>
        </w:rPr>
        <w:t xml:space="preserve">La CEDEAO a mandaté le projet </w:t>
      </w:r>
      <w:r w:rsidR="000147E8" w:rsidRPr="00934EAB">
        <w:rPr>
          <w:lang w:val="fr-BE"/>
        </w:rPr>
        <w:t xml:space="preserve">GCCA+ Afrique de l’Ouest (GCCA+ AO) </w:t>
      </w:r>
      <w:r w:rsidR="00132122" w:rsidRPr="00934EAB">
        <w:rPr>
          <w:lang w:val="fr-BE"/>
        </w:rPr>
        <w:t xml:space="preserve">pour lui apporter son soutien </w:t>
      </w:r>
      <w:r w:rsidR="007A5725" w:rsidRPr="00934EAB">
        <w:rPr>
          <w:lang w:val="fr-BE"/>
        </w:rPr>
        <w:t xml:space="preserve">dans cette démarche </w:t>
      </w:r>
      <w:r w:rsidR="00132122" w:rsidRPr="00934EAB">
        <w:rPr>
          <w:lang w:val="fr-BE"/>
        </w:rPr>
        <w:t>d’</w:t>
      </w:r>
      <w:r w:rsidR="006C6FDF" w:rsidRPr="00934EAB">
        <w:rPr>
          <w:lang w:val="fr-BE"/>
        </w:rPr>
        <w:t xml:space="preserve">opérationnalisation du GRANIC. </w:t>
      </w:r>
      <w:r w:rsidRPr="00934EAB">
        <w:rPr>
          <w:lang w:val="fr-BE"/>
        </w:rPr>
        <w:t xml:space="preserve"> </w:t>
      </w:r>
      <w:r w:rsidR="009217D4" w:rsidRPr="00934EAB">
        <w:rPr>
          <w:lang w:val="fr-BE"/>
        </w:rPr>
        <w:t>Le règlement d’exécution relatif au GRANIC n’étant pas e</w:t>
      </w:r>
      <w:r w:rsidR="00507973">
        <w:rPr>
          <w:lang w:val="fr-BE"/>
        </w:rPr>
        <w:t>ncore formellement adopté par la</w:t>
      </w:r>
      <w:bookmarkStart w:id="0" w:name="_GoBack"/>
      <w:bookmarkEnd w:id="0"/>
      <w:r w:rsidR="009217D4" w:rsidRPr="00934EAB">
        <w:rPr>
          <w:lang w:val="fr-BE"/>
        </w:rPr>
        <w:t xml:space="preserve"> Commission, </w:t>
      </w:r>
      <w:r w:rsidR="007C062D" w:rsidRPr="00934EAB">
        <w:rPr>
          <w:lang w:val="fr-BE"/>
        </w:rPr>
        <w:t xml:space="preserve">les premiers mois d’opérationnalisation du GRANIC constitueront une phase de démarrage durant laquelle </w:t>
      </w:r>
      <w:r w:rsidRPr="00934EAB">
        <w:rPr>
          <w:lang w:val="fr-BE"/>
        </w:rPr>
        <w:t xml:space="preserve">les mécanismes </w:t>
      </w:r>
      <w:r w:rsidR="009A63B6" w:rsidRPr="00934EAB">
        <w:rPr>
          <w:lang w:val="fr-BE"/>
        </w:rPr>
        <w:t xml:space="preserve">opérationnels </w:t>
      </w:r>
      <w:r w:rsidRPr="00934EAB">
        <w:rPr>
          <w:lang w:val="fr-BE"/>
        </w:rPr>
        <w:t>de coordination e</w:t>
      </w:r>
      <w:r w:rsidR="009A63B6" w:rsidRPr="00934EAB">
        <w:rPr>
          <w:lang w:val="fr-BE"/>
        </w:rPr>
        <w:t>t de fonctionnement s</w:t>
      </w:r>
      <w:r w:rsidR="007C062D" w:rsidRPr="00934EAB">
        <w:rPr>
          <w:lang w:val="fr-BE"/>
        </w:rPr>
        <w:t>eron</w:t>
      </w:r>
      <w:r w:rsidR="009A63B6" w:rsidRPr="00934EAB">
        <w:rPr>
          <w:lang w:val="fr-BE"/>
        </w:rPr>
        <w:t xml:space="preserve">t testés et </w:t>
      </w:r>
      <w:r w:rsidR="007C062D" w:rsidRPr="00934EAB">
        <w:rPr>
          <w:lang w:val="fr-BE"/>
        </w:rPr>
        <w:t>susceptibles</w:t>
      </w:r>
      <w:r w:rsidR="009A63B6" w:rsidRPr="00934EAB">
        <w:rPr>
          <w:lang w:val="fr-BE"/>
        </w:rPr>
        <w:t xml:space="preserve"> </w:t>
      </w:r>
      <w:r w:rsidR="007C062D" w:rsidRPr="00934EAB">
        <w:rPr>
          <w:lang w:val="fr-BE"/>
        </w:rPr>
        <w:t>d’</w:t>
      </w:r>
      <w:r w:rsidR="009A63B6" w:rsidRPr="00934EAB">
        <w:rPr>
          <w:lang w:val="fr-BE"/>
        </w:rPr>
        <w:t>évoluer le cas échéant</w:t>
      </w:r>
      <w:r w:rsidR="007B2397">
        <w:rPr>
          <w:lang w:val="fr-BE"/>
        </w:rPr>
        <w:t>.</w:t>
      </w:r>
    </w:p>
    <w:p w14:paraId="6F333A3F" w14:textId="0437CF20" w:rsidR="007B2397" w:rsidRPr="00934EAB" w:rsidRDefault="007B2397" w:rsidP="00934EAB">
      <w:pPr>
        <w:pBdr>
          <w:top w:val="single" w:sz="4" w:space="1" w:color="auto"/>
          <w:left w:val="single" w:sz="4" w:space="4" w:color="auto"/>
          <w:bottom w:val="single" w:sz="4" w:space="1" w:color="auto"/>
          <w:right w:val="single" w:sz="4" w:space="4" w:color="auto"/>
        </w:pBdr>
        <w:spacing w:line="276" w:lineRule="auto"/>
        <w:jc w:val="both"/>
        <w:rPr>
          <w:b/>
          <w:lang w:val="fr-BE"/>
        </w:rPr>
      </w:pPr>
      <w:r w:rsidRPr="00934EAB">
        <w:rPr>
          <w:b/>
          <w:lang w:val="fr-BE"/>
        </w:rPr>
        <w:t xml:space="preserve">Zoom sur le projet GCCA+ Afrique de l’Ouest </w:t>
      </w:r>
    </w:p>
    <w:p w14:paraId="4C506AA4" w14:textId="76B42509" w:rsidR="00724B01" w:rsidRDefault="00632478" w:rsidP="00934EAB">
      <w:pPr>
        <w:pBdr>
          <w:top w:val="single" w:sz="4" w:space="1" w:color="auto"/>
          <w:left w:val="single" w:sz="4" w:space="4" w:color="auto"/>
          <w:bottom w:val="single" w:sz="4" w:space="1" w:color="auto"/>
          <w:right w:val="single" w:sz="4" w:space="4" w:color="auto"/>
        </w:pBdr>
        <w:spacing w:line="276" w:lineRule="auto"/>
        <w:jc w:val="both"/>
        <w:rPr>
          <w:lang w:val="fr-BE"/>
        </w:rPr>
      </w:pPr>
      <w:r w:rsidRPr="00934EAB">
        <w:rPr>
          <w:lang w:val="fr-BE"/>
        </w:rPr>
        <w:t xml:space="preserve">Le projet </w:t>
      </w:r>
      <w:r w:rsidR="007C062D" w:rsidRPr="00934EAB">
        <w:rPr>
          <w:lang w:val="fr-BE"/>
        </w:rPr>
        <w:t>GCCA</w:t>
      </w:r>
      <w:r w:rsidRPr="00934EAB">
        <w:rPr>
          <w:lang w:val="fr-BE"/>
        </w:rPr>
        <w:t>+</w:t>
      </w:r>
      <w:r w:rsidR="007C062D" w:rsidRPr="00934EAB">
        <w:rPr>
          <w:lang w:val="fr-BE"/>
        </w:rPr>
        <w:t xml:space="preserve"> </w:t>
      </w:r>
      <w:r w:rsidRPr="00934EAB">
        <w:rPr>
          <w:lang w:val="fr-BE"/>
        </w:rPr>
        <w:t xml:space="preserve">AO </w:t>
      </w:r>
      <w:r w:rsidR="000E7F4D" w:rsidRPr="00934EAB">
        <w:t xml:space="preserve">vise à participer à l’effort régional ouest-africain de mise en œuvre de l’Accord de Paris à travers le renforcement des capacités de la CEDEAO, de ses institutions régionales partenaires et de ses Etats-Membres. Financé par l’Union Européenne (UE) à hauteur de 12,1 millions d’euros, il est mis en œuvre par Expertise France sous le leadership politique et institutionnel de la CEDEAO, ainsi qu’en partenariat technique avec le CILSS sur les activités de formation, information et recherche. </w:t>
      </w:r>
    </w:p>
    <w:p w14:paraId="447120DF" w14:textId="5EA391D3" w:rsidR="00234DBE" w:rsidRPr="00234DBE" w:rsidRDefault="00234DBE" w:rsidP="00E0536D">
      <w:pPr>
        <w:pStyle w:val="Titre1"/>
      </w:pPr>
      <w:r w:rsidRPr="00234DBE">
        <w:t xml:space="preserve">Objectifs poursuivis par la mise en place du </w:t>
      </w:r>
      <w:r w:rsidR="009217D4">
        <w:t>GRANIC</w:t>
      </w:r>
    </w:p>
    <w:p w14:paraId="23F54B07" w14:textId="3D2987EF" w:rsidR="008953DE" w:rsidRPr="00934EAB" w:rsidRDefault="008953DE" w:rsidP="008953DE">
      <w:pPr>
        <w:pStyle w:val="Paragraphedeliste"/>
        <w:numPr>
          <w:ilvl w:val="0"/>
          <w:numId w:val="27"/>
        </w:numPr>
        <w:jc w:val="both"/>
      </w:pPr>
      <w:r w:rsidRPr="00934EAB">
        <w:t xml:space="preserve">Analyser les enjeux des Conférences des Parties et autres réunions de négociations internationales sur le climat et proposer des éléments </w:t>
      </w:r>
      <w:r w:rsidR="00934EAB">
        <w:t xml:space="preserve">constitutifs </w:t>
      </w:r>
      <w:r w:rsidRPr="00934EAB">
        <w:t>d’une position commune ;</w:t>
      </w:r>
    </w:p>
    <w:p w14:paraId="144C04DE" w14:textId="4668C21B" w:rsidR="008953DE" w:rsidRPr="00934EAB" w:rsidRDefault="008953DE" w:rsidP="008953DE">
      <w:pPr>
        <w:pStyle w:val="Paragraphedeliste"/>
        <w:numPr>
          <w:ilvl w:val="0"/>
          <w:numId w:val="27"/>
        </w:numPr>
        <w:jc w:val="both"/>
      </w:pPr>
      <w:r w:rsidRPr="00934EAB">
        <w:lastRenderedPageBreak/>
        <w:t>Assister la Commission de la CEDEAO au cours des consultations informelles et des évènements parallèles de la C</w:t>
      </w:r>
      <w:r w:rsidR="00AD0604">
        <w:t>onférence des Parties (C</w:t>
      </w:r>
      <w:r w:rsidRPr="00934EAB">
        <w:t>OP</w:t>
      </w:r>
      <w:r w:rsidR="00AD0604">
        <w:t>)</w:t>
      </w:r>
      <w:r w:rsidRPr="00934EAB">
        <w:t xml:space="preserve"> et des réunions pertinentes des accords associés ;</w:t>
      </w:r>
    </w:p>
    <w:p w14:paraId="43636A67" w14:textId="1A2E02F5" w:rsidR="008953DE" w:rsidRPr="00934EAB" w:rsidRDefault="008953DE" w:rsidP="008953DE">
      <w:pPr>
        <w:pStyle w:val="Paragraphedeliste"/>
        <w:numPr>
          <w:ilvl w:val="0"/>
          <w:numId w:val="27"/>
        </w:numPr>
        <w:jc w:val="both"/>
      </w:pPr>
      <w:r w:rsidRPr="00934EAB">
        <w:t>Renforcer les capacités des institutions nationales et des représentants des États membres de la CEDEAO pour la préparation/revue des projets de décisions et les soutenir au cours des négociations qui ont lieu lors de la COP et des réunions pertinentes ;</w:t>
      </w:r>
    </w:p>
    <w:p w14:paraId="775AEDCE" w14:textId="7142D264" w:rsidR="008953DE" w:rsidRPr="00934EAB" w:rsidRDefault="008953DE" w:rsidP="008953DE">
      <w:pPr>
        <w:pStyle w:val="Paragraphedeliste"/>
        <w:numPr>
          <w:ilvl w:val="0"/>
          <w:numId w:val="27"/>
        </w:numPr>
        <w:jc w:val="both"/>
      </w:pPr>
      <w:r w:rsidRPr="00934EAB">
        <w:t>Stimuler et intensifier un dialogue stratégique au sein de l’Afrique de l’Ouest sur les négociations climat.</w:t>
      </w:r>
    </w:p>
    <w:p w14:paraId="2856E865" w14:textId="4B34B9AE" w:rsidR="00234DBE" w:rsidRPr="00234DBE" w:rsidRDefault="00234DBE" w:rsidP="00E0536D">
      <w:pPr>
        <w:pStyle w:val="Titre1"/>
      </w:pPr>
      <w:r w:rsidRPr="00234DBE">
        <w:t>Termes de référence</w:t>
      </w:r>
      <w:r w:rsidR="00E0536D">
        <w:t> </w:t>
      </w:r>
    </w:p>
    <w:p w14:paraId="291E3CAA" w14:textId="47A62B16" w:rsidR="00234DBE" w:rsidRPr="00234DBE" w:rsidRDefault="006E1624" w:rsidP="00234DBE">
      <w:pPr>
        <w:jc w:val="both"/>
      </w:pPr>
      <w:r>
        <w:t xml:space="preserve">Le </w:t>
      </w:r>
      <w:r w:rsidR="00934EAB">
        <w:t xml:space="preserve">GRANIC </w:t>
      </w:r>
      <w:r>
        <w:t>apporte</w:t>
      </w:r>
      <w:r w:rsidR="00234DBE" w:rsidRPr="00234DBE">
        <w:t xml:space="preserve"> son expertise dans les domaines et sur les sujets suivants : </w:t>
      </w:r>
    </w:p>
    <w:p w14:paraId="080A14A9" w14:textId="77777777" w:rsidR="00234DBE" w:rsidRPr="00234DBE" w:rsidRDefault="00234DBE" w:rsidP="00234DBE">
      <w:pPr>
        <w:numPr>
          <w:ilvl w:val="0"/>
          <w:numId w:val="17"/>
        </w:numPr>
        <w:contextualSpacing/>
        <w:jc w:val="both"/>
      </w:pPr>
      <w:r w:rsidRPr="00234DBE">
        <w:t>Atténuation : actualisation/révision des CDN, questions relatives à l’article 6 de l’Accord de Paris et transparence de l’action (indicateurs pour mesurer les progrès réalisés aux fins de la CDN) ;</w:t>
      </w:r>
    </w:p>
    <w:p w14:paraId="05C75524" w14:textId="77777777" w:rsidR="00234DBE" w:rsidRPr="00234DBE" w:rsidRDefault="00234DBE" w:rsidP="00234DBE">
      <w:pPr>
        <w:numPr>
          <w:ilvl w:val="0"/>
          <w:numId w:val="17"/>
        </w:numPr>
        <w:contextualSpacing/>
        <w:jc w:val="both"/>
      </w:pPr>
      <w:r w:rsidRPr="00234DBE">
        <w:t>Adaptation : méthodologies et information pour élaborer les communications adaptation ;</w:t>
      </w:r>
    </w:p>
    <w:p w14:paraId="4B19ECF7" w14:textId="77777777" w:rsidR="00234DBE" w:rsidRPr="00234DBE" w:rsidRDefault="00234DBE" w:rsidP="00234DBE">
      <w:pPr>
        <w:numPr>
          <w:ilvl w:val="0"/>
          <w:numId w:val="17"/>
        </w:numPr>
        <w:contextualSpacing/>
        <w:jc w:val="both"/>
      </w:pPr>
      <w:r w:rsidRPr="00234DBE">
        <w:t xml:space="preserve">Approches sectorielles : agriculture et la suite du Programme de </w:t>
      </w:r>
      <w:proofErr w:type="spellStart"/>
      <w:r w:rsidRPr="00234DBE">
        <w:t>Koronivia</w:t>
      </w:r>
      <w:proofErr w:type="spellEnd"/>
      <w:r w:rsidRPr="00234DBE">
        <w:t> ;</w:t>
      </w:r>
    </w:p>
    <w:p w14:paraId="3CA4A3FC" w14:textId="0D49A2A7" w:rsidR="00234DBE" w:rsidRDefault="00234DBE" w:rsidP="00234DBE">
      <w:pPr>
        <w:numPr>
          <w:ilvl w:val="0"/>
          <w:numId w:val="17"/>
        </w:numPr>
        <w:contextualSpacing/>
        <w:jc w:val="both"/>
      </w:pPr>
      <w:r w:rsidRPr="00234DBE">
        <w:t xml:space="preserve">Financement : initiatives régionales et </w:t>
      </w:r>
      <w:r w:rsidR="00AD0604">
        <w:t>internationales</w:t>
      </w:r>
      <w:r w:rsidRPr="00234DBE">
        <w:t>, transparence du soutien financier</w:t>
      </w:r>
      <w:r w:rsidR="00AD0604">
        <w:t xml:space="preserve"> et autres questions afférentes au financement dans les négociations climat</w:t>
      </w:r>
      <w:r w:rsidRPr="00234DBE">
        <w:t>.</w:t>
      </w:r>
    </w:p>
    <w:p w14:paraId="685CB8B9" w14:textId="77777777" w:rsidR="00517965" w:rsidRPr="00234DBE" w:rsidRDefault="00517965" w:rsidP="00517965">
      <w:pPr>
        <w:ind w:left="720"/>
        <w:contextualSpacing/>
        <w:jc w:val="both"/>
      </w:pPr>
    </w:p>
    <w:p w14:paraId="1333D5BD" w14:textId="178455DB" w:rsidR="00234DBE" w:rsidRPr="00234DBE" w:rsidRDefault="00234DBE" w:rsidP="00234DBE">
      <w:pPr>
        <w:jc w:val="both"/>
      </w:pPr>
      <w:r w:rsidRPr="00234DBE">
        <w:t xml:space="preserve">Le </w:t>
      </w:r>
      <w:r w:rsidR="006C62A1">
        <w:t xml:space="preserve">GRANIC </w:t>
      </w:r>
      <w:r w:rsidRPr="00234DBE">
        <w:t>est un organe technique de conseil qui assiste la CEDEAO en effectuant les tâches suivantes:</w:t>
      </w:r>
    </w:p>
    <w:p w14:paraId="469B694F" w14:textId="5CF1A287" w:rsidR="00234DBE" w:rsidRPr="00234DBE" w:rsidRDefault="00234DBE" w:rsidP="003F1878">
      <w:pPr>
        <w:numPr>
          <w:ilvl w:val="0"/>
          <w:numId w:val="17"/>
        </w:numPr>
        <w:contextualSpacing/>
        <w:jc w:val="both"/>
      </w:pPr>
      <w:r w:rsidRPr="00234DBE">
        <w:t>Décrypter en début d’année civile les résultats issus des négociations, et la manière dont les attentes de la région ont é</w:t>
      </w:r>
      <w:r w:rsidR="006C62A1">
        <w:t>té portées par le Groupe Africain</w:t>
      </w:r>
      <w:r w:rsidRPr="00234DBE">
        <w:t xml:space="preserve"> et reflété</w:t>
      </w:r>
      <w:r w:rsidR="006C62A1">
        <w:t>es dans les décisions de la COP ;</w:t>
      </w:r>
    </w:p>
    <w:p w14:paraId="5323D7A3" w14:textId="3CF50848" w:rsidR="00234DBE" w:rsidRPr="00234DBE" w:rsidRDefault="00234DBE" w:rsidP="003F1878">
      <w:pPr>
        <w:numPr>
          <w:ilvl w:val="0"/>
          <w:numId w:val="17"/>
        </w:numPr>
        <w:contextualSpacing/>
        <w:jc w:val="both"/>
      </w:pPr>
      <w:r w:rsidRPr="00234DBE">
        <w:t>Identifier les sujets prioritaires en cours ou à venir dans les négociations internationales qui présentent des enjeux de mis</w:t>
      </w:r>
      <w:r w:rsidR="006C62A1">
        <w:t>e en œuvre pour la région ;</w:t>
      </w:r>
    </w:p>
    <w:p w14:paraId="21145D30" w14:textId="46F40B5F" w:rsidR="00234DBE" w:rsidRPr="00234DBE" w:rsidRDefault="004D7D86" w:rsidP="003F1878">
      <w:pPr>
        <w:numPr>
          <w:ilvl w:val="0"/>
          <w:numId w:val="17"/>
        </w:numPr>
        <w:contextualSpacing/>
        <w:jc w:val="both"/>
      </w:pPr>
      <w:r>
        <w:t xml:space="preserve">Proposer un </w:t>
      </w:r>
      <w:r w:rsidR="00234DBE" w:rsidRPr="00234DBE">
        <w:t>programme annuel de travail vis-à-vis (i) des positions régionales à consolider en lien avec les priorités de la CEDEAO, (ii) des sujets de négociations à documenter pour le renforcement</w:t>
      </w:r>
      <w:r w:rsidR="006C62A1">
        <w:t xml:space="preserve"> des capacités des négociateurs ;</w:t>
      </w:r>
    </w:p>
    <w:p w14:paraId="2547AD2A" w14:textId="7E13AAC5" w:rsidR="00234DBE" w:rsidRPr="00234DBE" w:rsidRDefault="00234DBE" w:rsidP="003F1878">
      <w:pPr>
        <w:numPr>
          <w:ilvl w:val="0"/>
          <w:numId w:val="17"/>
        </w:numPr>
        <w:contextualSpacing/>
        <w:jc w:val="both"/>
      </w:pPr>
      <w:r w:rsidRPr="00234DBE">
        <w:t xml:space="preserve">Documenter, clarifier et approfondir les sujets de négociations identifiés à travers des notes de synthèse </w:t>
      </w:r>
      <w:r w:rsidR="006C62A1">
        <w:t>pour diffusion aux négociateurs ;</w:t>
      </w:r>
    </w:p>
    <w:p w14:paraId="49CAFCF9" w14:textId="1BC0DF0A" w:rsidR="00234DBE" w:rsidRPr="00234DBE" w:rsidRDefault="00234DBE" w:rsidP="003F1878">
      <w:pPr>
        <w:numPr>
          <w:ilvl w:val="0"/>
          <w:numId w:val="17"/>
        </w:numPr>
        <w:contextualSpacing/>
        <w:jc w:val="both"/>
      </w:pPr>
      <w:r w:rsidRPr="00234DBE">
        <w:t>Consolider les positions de la CEDEAO sur les sujets identifiés par le program</w:t>
      </w:r>
      <w:r w:rsidR="006C62A1">
        <w:t>me de travail en début d’année ;</w:t>
      </w:r>
    </w:p>
    <w:p w14:paraId="0B57B8B3" w14:textId="34E2723E" w:rsidR="00234DBE" w:rsidRPr="00234DBE" w:rsidRDefault="00234DBE" w:rsidP="003F1878">
      <w:pPr>
        <w:numPr>
          <w:ilvl w:val="0"/>
          <w:numId w:val="17"/>
        </w:numPr>
        <w:contextualSpacing/>
        <w:jc w:val="both"/>
      </w:pPr>
      <w:r w:rsidRPr="00234DBE">
        <w:t>Préparer des notes de positionnement à partir de revue de littérature et de consultations d’autres pays, d’expe</w:t>
      </w:r>
      <w:r w:rsidR="004D7D86">
        <w:t>rts, et/ou du monde académique ;</w:t>
      </w:r>
    </w:p>
    <w:p w14:paraId="3F554F25" w14:textId="2D25A4A5" w:rsidR="00234DBE" w:rsidRPr="00234DBE" w:rsidRDefault="00234DBE" w:rsidP="003F1878">
      <w:pPr>
        <w:numPr>
          <w:ilvl w:val="0"/>
          <w:numId w:val="17"/>
        </w:numPr>
        <w:contextualSpacing/>
        <w:jc w:val="both"/>
      </w:pPr>
      <w:r w:rsidRPr="00234DBE">
        <w:t>Partager les connaissances et les résultats de ces travaux, animer le proce</w:t>
      </w:r>
      <w:r w:rsidR="00B71A78">
        <w:t>ssus de consultation des États m</w:t>
      </w:r>
      <w:r w:rsidRPr="00234DBE">
        <w:t>embres et</w:t>
      </w:r>
      <w:r w:rsidR="004D7D86">
        <w:t xml:space="preserve"> consolider leurs commentaires ;</w:t>
      </w:r>
    </w:p>
    <w:p w14:paraId="46CA070C" w14:textId="4DA49F40" w:rsidR="00234DBE" w:rsidRPr="00234DBE" w:rsidRDefault="00234DBE" w:rsidP="003F1878">
      <w:pPr>
        <w:numPr>
          <w:ilvl w:val="0"/>
          <w:numId w:val="17"/>
        </w:numPr>
        <w:contextualSpacing/>
        <w:jc w:val="both"/>
      </w:pPr>
      <w:r w:rsidRPr="00234DBE">
        <w:t>Accompagner la diffusion et l’argumentation des positions et enjeux de la C</w:t>
      </w:r>
      <w:r w:rsidR="004D7D86">
        <w:t xml:space="preserve">EDEAO au sein du Groupe Afrique ; </w:t>
      </w:r>
    </w:p>
    <w:p w14:paraId="4F7D3193" w14:textId="77777777" w:rsidR="00234DBE" w:rsidRPr="00234DBE" w:rsidRDefault="00234DBE" w:rsidP="003F1878">
      <w:pPr>
        <w:numPr>
          <w:ilvl w:val="0"/>
          <w:numId w:val="17"/>
        </w:numPr>
        <w:contextualSpacing/>
        <w:jc w:val="both"/>
      </w:pPr>
      <w:r w:rsidRPr="00234DBE">
        <w:t xml:space="preserve">Fournir un appui sous forme de conseils aux négociateurs nationaux pendant les COP et les autres réunions de négociations climat officielles pertinentes, </w:t>
      </w:r>
    </w:p>
    <w:p w14:paraId="3BD7D0D1" w14:textId="1F4B99EF" w:rsidR="00F6736F" w:rsidRPr="00234DBE" w:rsidRDefault="00234DBE" w:rsidP="00F6736F">
      <w:pPr>
        <w:numPr>
          <w:ilvl w:val="0"/>
          <w:numId w:val="17"/>
        </w:numPr>
        <w:contextualSpacing/>
        <w:jc w:val="both"/>
      </w:pPr>
      <w:r w:rsidRPr="00234DBE">
        <w:t xml:space="preserve">Faire un suivi évaluation de l’influence de la région au sein du groupe Afrique et lors de la COP. </w:t>
      </w:r>
    </w:p>
    <w:p w14:paraId="07DFE660" w14:textId="1E61A7C6" w:rsidR="00234DBE" w:rsidRPr="00234DBE" w:rsidRDefault="00234DBE" w:rsidP="00E0536D">
      <w:pPr>
        <w:pStyle w:val="Titre1"/>
      </w:pPr>
      <w:r w:rsidRPr="00234DBE">
        <w:lastRenderedPageBreak/>
        <w:t>Cri</w:t>
      </w:r>
      <w:r w:rsidR="00E0536D">
        <w:t>tères de sélection des experts </w:t>
      </w:r>
    </w:p>
    <w:p w14:paraId="33959A9C" w14:textId="22B5674E" w:rsidR="00234DBE" w:rsidRPr="00234DBE" w:rsidRDefault="00234DBE" w:rsidP="00234DBE">
      <w:pPr>
        <w:jc w:val="both"/>
      </w:pPr>
      <w:r w:rsidRPr="00234DBE">
        <w:t xml:space="preserve">Les experts candidats au </w:t>
      </w:r>
      <w:r w:rsidR="00B71A78">
        <w:t xml:space="preserve">GRANIC </w:t>
      </w:r>
      <w:r w:rsidRPr="00234DBE">
        <w:t>doivent démontrer qu’ils disposent des qualifications suivantes :</w:t>
      </w:r>
    </w:p>
    <w:p w14:paraId="0D59332F" w14:textId="325D2F41" w:rsidR="00234DBE" w:rsidRPr="00234DBE" w:rsidRDefault="00234DBE" w:rsidP="00B71A7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theme="minorHAnsi"/>
          <w:color w:val="222222"/>
          <w:lang w:val="fr-BE" w:eastAsia="fr-FR"/>
        </w:rPr>
      </w:pPr>
      <w:r w:rsidRPr="00234DBE">
        <w:rPr>
          <w:rFonts w:eastAsia="Times New Roman" w:cstheme="minorHAnsi"/>
          <w:color w:val="222222"/>
          <w:lang w:eastAsia="fr-FR"/>
        </w:rPr>
        <w:t>Un diplôme universitaire supérieur en droit, économie, énergie, sciences sociales, études environnementales, sciences naturelles, ingénierie, études du développement ou toute autre discipline connexe</w:t>
      </w:r>
      <w:r w:rsidR="006B3D46">
        <w:rPr>
          <w:rFonts w:eastAsia="Times New Roman" w:cstheme="minorHAnsi"/>
          <w:color w:val="222222"/>
          <w:lang w:eastAsia="fr-FR"/>
        </w:rPr>
        <w:t> ;</w:t>
      </w:r>
    </w:p>
    <w:p w14:paraId="320D43C1" w14:textId="3BEAAAC1" w:rsidR="00234DBE" w:rsidRPr="00234DBE" w:rsidRDefault="00234DBE" w:rsidP="00B71A78">
      <w:pPr>
        <w:numPr>
          <w:ilvl w:val="0"/>
          <w:numId w:val="19"/>
        </w:numPr>
        <w:contextualSpacing/>
        <w:jc w:val="both"/>
      </w:pPr>
      <w:r w:rsidRPr="00234DBE">
        <w:t>Une expertise technique ou scientifique spécialisée dans au moins l’un des quatre domaines visés au point 3 ci-dessus, y compris au moyen de publications</w:t>
      </w:r>
      <w:r w:rsidR="006B3D46">
        <w:t> ;</w:t>
      </w:r>
    </w:p>
    <w:p w14:paraId="41ED0700" w14:textId="77777777" w:rsidR="00234DBE" w:rsidRPr="00234DBE" w:rsidRDefault="00234DBE" w:rsidP="00B71A78">
      <w:pPr>
        <w:numPr>
          <w:ilvl w:val="0"/>
          <w:numId w:val="19"/>
        </w:numPr>
        <w:contextualSpacing/>
        <w:jc w:val="both"/>
      </w:pPr>
      <w:r w:rsidRPr="00234DBE">
        <w:t>Une expérience d’au moins 5 années dans les négociations internationales sur le climat.</w:t>
      </w:r>
    </w:p>
    <w:p w14:paraId="3D325435" w14:textId="3B7E06F7" w:rsidR="00234DBE" w:rsidRPr="00234DBE" w:rsidRDefault="00234DBE" w:rsidP="00B71A78">
      <w:pPr>
        <w:numPr>
          <w:ilvl w:val="0"/>
          <w:numId w:val="19"/>
        </w:numPr>
        <w:contextualSpacing/>
        <w:jc w:val="both"/>
      </w:pPr>
      <w:r w:rsidRPr="00234DBE">
        <w:t>Une très bonne maîtrise de l’anglais</w:t>
      </w:r>
      <w:r w:rsidR="006B3D46">
        <w:t> </w:t>
      </w:r>
      <w:r w:rsidR="00132152">
        <w:t xml:space="preserve">et la connaissance d’une autre langue officielle de la CEDEAO (français, portugais) constituerait un atout </w:t>
      </w:r>
      <w:r w:rsidR="006B3D46">
        <w:t>;</w:t>
      </w:r>
    </w:p>
    <w:p w14:paraId="4ED53A7D" w14:textId="4A91AD84" w:rsidR="00234DBE" w:rsidRPr="00234DBE" w:rsidRDefault="00234DBE" w:rsidP="00B71A7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theme="minorHAnsi"/>
          <w:color w:val="222222"/>
          <w:lang w:eastAsia="fr-FR"/>
        </w:rPr>
      </w:pPr>
      <w:r w:rsidRPr="00234DBE">
        <w:rPr>
          <w:rFonts w:eastAsia="Times New Roman" w:cstheme="minorHAnsi"/>
          <w:color w:val="222222"/>
          <w:lang w:eastAsia="fr-FR"/>
        </w:rPr>
        <w:t>De solides compétences opérationnelles et analytiques ainsi que de rédaction, y compris en langue anglaise</w:t>
      </w:r>
      <w:r w:rsidR="006B3D46">
        <w:rPr>
          <w:rFonts w:eastAsia="Times New Roman" w:cstheme="minorHAnsi"/>
          <w:color w:val="222222"/>
          <w:lang w:eastAsia="fr-FR"/>
        </w:rPr>
        <w:t> ;</w:t>
      </w:r>
    </w:p>
    <w:p w14:paraId="6531A0F4" w14:textId="77777777" w:rsidR="00234DBE" w:rsidRPr="00234DBE" w:rsidRDefault="00234DBE" w:rsidP="00B71A7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theme="minorHAnsi"/>
          <w:color w:val="222222"/>
          <w:lang w:eastAsia="fr-FR"/>
        </w:rPr>
      </w:pPr>
      <w:r w:rsidRPr="00234DBE">
        <w:rPr>
          <w:rFonts w:eastAsia="Times New Roman" w:cstheme="minorHAnsi"/>
          <w:color w:val="222222"/>
          <w:lang w:eastAsia="fr-FR"/>
        </w:rPr>
        <w:t>Une capacité à travailler en tant que membre d’une équipe.</w:t>
      </w:r>
    </w:p>
    <w:p w14:paraId="3BF89EC9" w14:textId="546B50B0" w:rsidR="00234DBE" w:rsidRPr="00234DBE" w:rsidRDefault="00234DBE" w:rsidP="00E0536D">
      <w:pPr>
        <w:pStyle w:val="Titre1"/>
      </w:pPr>
      <w:r w:rsidRPr="00234DBE">
        <w:t>Conditions de</w:t>
      </w:r>
      <w:r w:rsidR="00B71A78">
        <w:t xml:space="preserve"> participation au GRANIC</w:t>
      </w:r>
    </w:p>
    <w:p w14:paraId="4BF05F4F" w14:textId="77777777" w:rsidR="00234DBE" w:rsidRPr="00234DBE" w:rsidRDefault="00234DBE" w:rsidP="00234DBE">
      <w:pPr>
        <w:jc w:val="both"/>
      </w:pPr>
      <w:r w:rsidRPr="00234DBE">
        <w:t xml:space="preserve">En présentant leur candidature, les experts acceptent les conditions suivantes : </w:t>
      </w:r>
    </w:p>
    <w:p w14:paraId="7C2B844F" w14:textId="77777777" w:rsidR="008953DE" w:rsidRPr="00B71A78" w:rsidRDefault="008953DE" w:rsidP="008953DE">
      <w:pPr>
        <w:numPr>
          <w:ilvl w:val="0"/>
          <w:numId w:val="20"/>
        </w:numPr>
        <w:contextualSpacing/>
        <w:jc w:val="both"/>
      </w:pPr>
      <w:r w:rsidRPr="00B71A78">
        <w:t xml:space="preserve">Les experts du GRANIC agissent en leur qualité personnelle et leur capacité professionnelle ; ils s’engagent à ne pas défendre les positions ou intérêts de leur pays lorsqu’ils remplissent les tâches énumérées au point 3 ci-dessus. </w:t>
      </w:r>
    </w:p>
    <w:p w14:paraId="39A1BCE4" w14:textId="77777777" w:rsidR="008953DE" w:rsidRPr="00B71A78" w:rsidRDefault="008953DE" w:rsidP="008953DE">
      <w:pPr>
        <w:numPr>
          <w:ilvl w:val="0"/>
          <w:numId w:val="20"/>
        </w:numPr>
        <w:contextualSpacing/>
        <w:jc w:val="both"/>
      </w:pPr>
      <w:r w:rsidRPr="00B71A78">
        <w:t>Le GRANIC se réunit en présentiel et en virtuel autant de fois que de besoin. Les experts s’engagent à se rendre disponibles aux dates de réunion du Groupe d’Appui, qu’elles soient en présentiel comme à distance.</w:t>
      </w:r>
    </w:p>
    <w:p w14:paraId="5F852ED1" w14:textId="79EF38E6" w:rsidR="00234DBE" w:rsidRPr="00B20590" w:rsidRDefault="00234DBE" w:rsidP="003F1878">
      <w:pPr>
        <w:numPr>
          <w:ilvl w:val="0"/>
          <w:numId w:val="20"/>
        </w:numPr>
        <w:contextualSpacing/>
        <w:jc w:val="both"/>
      </w:pPr>
      <w:r w:rsidRPr="00B20590">
        <w:t xml:space="preserve">Les experts travaillent au sein du </w:t>
      </w:r>
      <w:r w:rsidR="008953DE" w:rsidRPr="00B20590">
        <w:t xml:space="preserve">GRANIC </w:t>
      </w:r>
      <w:r w:rsidRPr="00B20590">
        <w:t>sous la coordination d</w:t>
      </w:r>
      <w:r w:rsidR="008953DE" w:rsidRPr="00B20590">
        <w:t>’un expert</w:t>
      </w:r>
      <w:r w:rsidR="00B20590">
        <w:t xml:space="preserve"> « chef d’équipe »</w:t>
      </w:r>
      <w:r w:rsidR="008953DE" w:rsidRPr="00B20590">
        <w:t xml:space="preserve"> désigné par le Commissaire en charge de l’Agriculture, de l’Environnement et des </w:t>
      </w:r>
      <w:r w:rsidR="00B20590" w:rsidRPr="00B20590">
        <w:t xml:space="preserve">Ressources Naturelles </w:t>
      </w:r>
      <w:r w:rsidR="008953DE" w:rsidRPr="00B20590">
        <w:t>(</w:t>
      </w:r>
      <w:r w:rsidR="00B71A78" w:rsidRPr="00B20590">
        <w:t>C</w:t>
      </w:r>
      <w:r w:rsidR="00B20590" w:rsidRPr="00B20590">
        <w:t>AERN</w:t>
      </w:r>
      <w:r w:rsidR="008953DE" w:rsidRPr="00B20590">
        <w:t xml:space="preserve">), qui a pour mission d’animer le travail et de rendre compte à la CEDEAO en suivant </w:t>
      </w:r>
      <w:r w:rsidR="00B20590" w:rsidRPr="00B20590">
        <w:t xml:space="preserve">un programme de travail </w:t>
      </w:r>
      <w:r w:rsidR="008953DE" w:rsidRPr="00B20590">
        <w:t xml:space="preserve">sur la base de la gestion axée sur les résultats. </w:t>
      </w:r>
    </w:p>
    <w:p w14:paraId="03CDA380" w14:textId="77777777" w:rsidR="008953DE" w:rsidRDefault="00D95922" w:rsidP="00F15C6C">
      <w:pPr>
        <w:numPr>
          <w:ilvl w:val="0"/>
          <w:numId w:val="20"/>
        </w:numPr>
        <w:contextualSpacing/>
        <w:jc w:val="both"/>
      </w:pPr>
      <w:r>
        <w:t>Le G</w:t>
      </w:r>
      <w:r w:rsidR="008953DE">
        <w:t xml:space="preserve">RANIC </w:t>
      </w:r>
      <w:r>
        <w:t xml:space="preserve">travaille en étroite collaboration avec toutes les institutions régionales et nationales pertinentes en fonction de ses besoins à l’accès et l’analyse des données scientifiques et études existantes pour la région. </w:t>
      </w:r>
    </w:p>
    <w:p w14:paraId="67015085" w14:textId="34289790" w:rsidR="00234DBE" w:rsidRPr="00234DBE" w:rsidRDefault="00234DBE" w:rsidP="00E0536D">
      <w:pPr>
        <w:pStyle w:val="Titre1"/>
      </w:pPr>
      <w:r w:rsidRPr="00234DBE">
        <w:t>Durée</w:t>
      </w:r>
      <w:r w:rsidR="00A578DF">
        <w:t> </w:t>
      </w:r>
    </w:p>
    <w:p w14:paraId="387AE81E" w14:textId="32CD9D68" w:rsidR="00234DBE" w:rsidRPr="00234DBE" w:rsidRDefault="00D95922" w:rsidP="00234DBE">
      <w:pPr>
        <w:jc w:val="both"/>
      </w:pPr>
      <w:r w:rsidRPr="00B20590">
        <w:t xml:space="preserve">Les experts du groupe sont sélectionnés pour un mandat d’un an renouvelable une fois sur décision de la CEDEAO, et donc d’une durée maximale de (2) deux ans, </w:t>
      </w:r>
      <w:r w:rsidR="00234DBE" w:rsidRPr="00B20590">
        <w:t xml:space="preserve">en tenant compte des domaines et sujets prioritaires de la négociation </w:t>
      </w:r>
      <w:r w:rsidRPr="00B20590">
        <w:t xml:space="preserve">internationale </w:t>
      </w:r>
      <w:r w:rsidR="00234DBE" w:rsidRPr="00B20590">
        <w:t>ainsi que du financement disponible</w:t>
      </w:r>
      <w:r w:rsidRPr="00B20590">
        <w:t xml:space="preserve"> pour leur rémunération</w:t>
      </w:r>
      <w:r w:rsidR="00234DBE" w:rsidRPr="00B20590">
        <w:t>.</w:t>
      </w:r>
    </w:p>
    <w:p w14:paraId="5E278CA8" w14:textId="06DFB4A9" w:rsidR="00234DBE" w:rsidRPr="00234DBE" w:rsidRDefault="00234DBE" w:rsidP="00E0536D">
      <w:pPr>
        <w:pStyle w:val="Titre1"/>
      </w:pPr>
      <w:r w:rsidRPr="00234DBE">
        <w:t xml:space="preserve">Rémunération </w:t>
      </w:r>
      <w:r w:rsidR="00DF5699">
        <w:t>et prise en charge</w:t>
      </w:r>
    </w:p>
    <w:p w14:paraId="2E4BE6FE" w14:textId="628EE08E" w:rsidR="00234DBE" w:rsidRPr="00234DBE" w:rsidRDefault="00234DBE" w:rsidP="00234DBE">
      <w:pPr>
        <w:jc w:val="both"/>
      </w:pPr>
      <w:r w:rsidRPr="00234DBE">
        <w:t xml:space="preserve">Les membres du </w:t>
      </w:r>
      <w:r w:rsidR="00F47727">
        <w:t xml:space="preserve">GRANIC </w:t>
      </w:r>
      <w:r w:rsidRPr="00234DBE">
        <w:t>perçoivent une rémunération forfaitaire pour l</w:t>
      </w:r>
      <w:r w:rsidR="005A55D2">
        <w:t xml:space="preserve">eurs </w:t>
      </w:r>
      <w:r w:rsidRPr="00234DBE">
        <w:t xml:space="preserve">services rendus ainsi qu’une prise en charge (billet d’avion et per diem) pour les principales réunions </w:t>
      </w:r>
      <w:r w:rsidR="005A55D2">
        <w:t xml:space="preserve">de travail auxquelles </w:t>
      </w:r>
      <w:r w:rsidR="005A55D2">
        <w:lastRenderedPageBreak/>
        <w:t xml:space="preserve">ils seront amenés à participer. Les conditions de cette rémunération et prise en charge sont détaillées ci-dessous. </w:t>
      </w:r>
    </w:p>
    <w:p w14:paraId="30E96F92" w14:textId="25380903" w:rsidR="00234DBE" w:rsidRPr="00234DBE" w:rsidRDefault="00567CA1" w:rsidP="00E0536D">
      <w:pPr>
        <w:pStyle w:val="Titre2"/>
      </w:pPr>
      <w:r>
        <w:t xml:space="preserve">Honoraires </w:t>
      </w:r>
    </w:p>
    <w:p w14:paraId="066A10F4" w14:textId="3CCE1FA5" w:rsidR="00234DBE" w:rsidRPr="00234DBE" w:rsidRDefault="00234DBE" w:rsidP="00234DBE">
      <w:pPr>
        <w:jc w:val="both"/>
      </w:pPr>
      <w:r w:rsidRPr="00234DBE">
        <w:t xml:space="preserve">Chaque membre du </w:t>
      </w:r>
      <w:r w:rsidR="00AA3D5F">
        <w:t xml:space="preserve">GRANIC </w:t>
      </w:r>
      <w:r w:rsidR="00C95D6D">
        <w:t>recevra une rémunération forfaitaire de 3 600 euros</w:t>
      </w:r>
      <w:r w:rsidR="001D733D">
        <w:t xml:space="preserve"> pour couvrir l’ensemble des tâches contractuelles décrites plus haut</w:t>
      </w:r>
      <w:r w:rsidR="0050634B">
        <w:t>, en plus des per diem reçus pour couvrir les journées de réunions</w:t>
      </w:r>
      <w:r w:rsidR="001D733D">
        <w:t>.</w:t>
      </w:r>
      <w:r w:rsidR="0094678D" w:rsidRPr="0094678D">
        <w:t xml:space="preserve"> </w:t>
      </w:r>
      <w:r w:rsidR="0094678D">
        <w:t xml:space="preserve">Les tâches spécifiques détaillées de chaque membre seront fournies </w:t>
      </w:r>
      <w:r w:rsidR="007D4D1C">
        <w:t>lors</w:t>
      </w:r>
      <w:r w:rsidR="0094678D">
        <w:t xml:space="preserve"> la contractualisation.</w:t>
      </w:r>
      <w:r w:rsidR="001D733D">
        <w:t xml:space="preserve"> Le paiement se fera en deux </w:t>
      </w:r>
      <w:r w:rsidR="002369E1">
        <w:t xml:space="preserve">ou trois </w:t>
      </w:r>
      <w:r w:rsidR="001D733D">
        <w:t xml:space="preserve">fois, sur la base du travail abattu et des documents produits : </w:t>
      </w:r>
      <w:r w:rsidR="002369E1">
        <w:t xml:space="preserve">un premier paiement de </w:t>
      </w:r>
      <w:r w:rsidR="001D733D">
        <w:t xml:space="preserve">40% en juin après l’intersession de Bonn et </w:t>
      </w:r>
      <w:r w:rsidR="002369E1">
        <w:t xml:space="preserve">un paiement de 30% après la réunion régionale de préparation et un paiement de 30% en décembre après la COP. </w:t>
      </w:r>
    </w:p>
    <w:p w14:paraId="5CE1A884" w14:textId="1848578A" w:rsidR="00234DBE" w:rsidRDefault="000624CA" w:rsidP="00E0536D">
      <w:pPr>
        <w:pStyle w:val="Titre2"/>
      </w:pPr>
      <w:r>
        <w:t xml:space="preserve">Frais </w:t>
      </w:r>
      <w:r w:rsidR="00234DBE" w:rsidRPr="00234DBE">
        <w:t xml:space="preserve">de missions  </w:t>
      </w:r>
    </w:p>
    <w:p w14:paraId="707E0048" w14:textId="5CD8F0E7" w:rsidR="00A5178F" w:rsidRPr="00A5178F" w:rsidRDefault="00A5178F" w:rsidP="00A5178F">
      <w:r>
        <w:t xml:space="preserve">En plus de la rémunération forfaitaire d’honoraires, chaque membre bénéficiera de la prise en charge suivante </w:t>
      </w:r>
      <w:r w:rsidR="00034072">
        <w:t>pour les déplacements inhérents à la réalisation de leurs</w:t>
      </w:r>
      <w:r w:rsidR="00AA3D5F">
        <w:t xml:space="preserve"> m</w:t>
      </w:r>
      <w:r w:rsidR="002369E1">
        <w:t>issions dans le cadre du GRANIC (billets d’avions + per diem).</w:t>
      </w:r>
    </w:p>
    <w:tbl>
      <w:tblPr>
        <w:tblStyle w:val="Grilledutableau"/>
        <w:tblW w:w="0" w:type="auto"/>
        <w:tblLook w:val="04A0" w:firstRow="1" w:lastRow="0" w:firstColumn="1" w:lastColumn="0" w:noHBand="0" w:noVBand="1"/>
      </w:tblPr>
      <w:tblGrid>
        <w:gridCol w:w="3397"/>
        <w:gridCol w:w="1985"/>
        <w:gridCol w:w="1701"/>
        <w:gridCol w:w="1977"/>
      </w:tblGrid>
      <w:tr w:rsidR="00234DBE" w:rsidRPr="00234DBE" w14:paraId="20C37308" w14:textId="77777777" w:rsidTr="006E235F">
        <w:tc>
          <w:tcPr>
            <w:tcW w:w="3397" w:type="dxa"/>
          </w:tcPr>
          <w:p w14:paraId="580AC178" w14:textId="77777777" w:rsidR="00234DBE" w:rsidRPr="00234DBE" w:rsidRDefault="00234DBE" w:rsidP="00234DBE">
            <w:pPr>
              <w:jc w:val="both"/>
              <w:rPr>
                <w:b/>
                <w:u w:val="single"/>
              </w:rPr>
            </w:pPr>
            <w:r w:rsidRPr="00234DBE">
              <w:rPr>
                <w:b/>
                <w:u w:val="single"/>
              </w:rPr>
              <w:t>Missions</w:t>
            </w:r>
          </w:p>
        </w:tc>
        <w:tc>
          <w:tcPr>
            <w:tcW w:w="1985" w:type="dxa"/>
          </w:tcPr>
          <w:p w14:paraId="2FACF98D" w14:textId="77777777" w:rsidR="00234DBE" w:rsidRPr="00234DBE" w:rsidRDefault="00234DBE" w:rsidP="00234DBE">
            <w:pPr>
              <w:jc w:val="both"/>
              <w:rPr>
                <w:b/>
                <w:u w:val="single"/>
              </w:rPr>
            </w:pPr>
            <w:r w:rsidRPr="00234DBE">
              <w:rPr>
                <w:b/>
                <w:u w:val="single"/>
              </w:rPr>
              <w:t>Unité</w:t>
            </w:r>
          </w:p>
        </w:tc>
        <w:tc>
          <w:tcPr>
            <w:tcW w:w="1701" w:type="dxa"/>
          </w:tcPr>
          <w:p w14:paraId="19EE71B6" w14:textId="77777777" w:rsidR="00234DBE" w:rsidRPr="00234DBE" w:rsidRDefault="00234DBE" w:rsidP="00234DBE">
            <w:pPr>
              <w:jc w:val="both"/>
              <w:rPr>
                <w:b/>
                <w:u w:val="single"/>
              </w:rPr>
            </w:pPr>
            <w:r w:rsidRPr="00234DBE">
              <w:rPr>
                <w:b/>
                <w:u w:val="single"/>
              </w:rPr>
              <w:t xml:space="preserve">Nombre d’unité </w:t>
            </w:r>
          </w:p>
        </w:tc>
        <w:tc>
          <w:tcPr>
            <w:tcW w:w="1977" w:type="dxa"/>
          </w:tcPr>
          <w:p w14:paraId="6B8D24A3" w14:textId="77777777" w:rsidR="00234DBE" w:rsidRPr="00234DBE" w:rsidRDefault="00234DBE" w:rsidP="00234DBE">
            <w:pPr>
              <w:jc w:val="center"/>
              <w:rPr>
                <w:b/>
                <w:u w:val="single"/>
              </w:rPr>
            </w:pPr>
            <w:r w:rsidRPr="00234DBE">
              <w:rPr>
                <w:b/>
                <w:u w:val="single"/>
              </w:rPr>
              <w:t>Prix Unitaire</w:t>
            </w:r>
          </w:p>
        </w:tc>
      </w:tr>
      <w:tr w:rsidR="00234DBE" w:rsidRPr="00234DBE" w14:paraId="210E0266" w14:textId="77777777" w:rsidTr="006E235F">
        <w:trPr>
          <w:trHeight w:val="261"/>
        </w:trPr>
        <w:tc>
          <w:tcPr>
            <w:tcW w:w="3397" w:type="dxa"/>
            <w:vMerge w:val="restart"/>
          </w:tcPr>
          <w:p w14:paraId="0520D074" w14:textId="77777777" w:rsidR="00234DBE" w:rsidRPr="00234DBE" w:rsidRDefault="00234DBE" w:rsidP="00234DBE">
            <w:pPr>
              <w:jc w:val="both"/>
            </w:pPr>
            <w:r w:rsidRPr="00234DBE">
              <w:t xml:space="preserve">Réunion de démarrage </w:t>
            </w:r>
          </w:p>
        </w:tc>
        <w:tc>
          <w:tcPr>
            <w:tcW w:w="1985" w:type="dxa"/>
          </w:tcPr>
          <w:p w14:paraId="56E99DBF" w14:textId="77777777" w:rsidR="00234DBE" w:rsidRPr="00234DBE" w:rsidRDefault="00234DBE" w:rsidP="00234DBE">
            <w:pPr>
              <w:jc w:val="both"/>
            </w:pPr>
            <w:r w:rsidRPr="00234DBE">
              <w:t>Billets d’avion (A/R)</w:t>
            </w:r>
          </w:p>
        </w:tc>
        <w:tc>
          <w:tcPr>
            <w:tcW w:w="1701" w:type="dxa"/>
          </w:tcPr>
          <w:p w14:paraId="5B559DA6" w14:textId="77777777" w:rsidR="00234DBE" w:rsidRPr="00234DBE" w:rsidRDefault="00234DBE" w:rsidP="00234DBE">
            <w:pPr>
              <w:jc w:val="center"/>
            </w:pPr>
            <w:r w:rsidRPr="00234DBE">
              <w:t>1</w:t>
            </w:r>
          </w:p>
        </w:tc>
        <w:tc>
          <w:tcPr>
            <w:tcW w:w="1977" w:type="dxa"/>
            <w:vMerge w:val="restart"/>
            <w:vAlign w:val="center"/>
          </w:tcPr>
          <w:p w14:paraId="7E8DCD68" w14:textId="77777777" w:rsidR="00234DBE" w:rsidRPr="00234DBE" w:rsidRDefault="00234DBE" w:rsidP="00234DBE">
            <w:pPr>
              <w:jc w:val="center"/>
            </w:pPr>
            <w:r w:rsidRPr="00234DBE">
              <w:t>Prix au réel</w:t>
            </w:r>
          </w:p>
        </w:tc>
      </w:tr>
      <w:tr w:rsidR="00234DBE" w:rsidRPr="00234DBE" w14:paraId="792DD363" w14:textId="77777777" w:rsidTr="006E235F">
        <w:tc>
          <w:tcPr>
            <w:tcW w:w="3397" w:type="dxa"/>
            <w:vMerge/>
          </w:tcPr>
          <w:p w14:paraId="317EC106" w14:textId="77777777" w:rsidR="00234DBE" w:rsidRPr="00234DBE" w:rsidRDefault="00234DBE" w:rsidP="00234DBE">
            <w:pPr>
              <w:jc w:val="both"/>
            </w:pPr>
          </w:p>
        </w:tc>
        <w:tc>
          <w:tcPr>
            <w:tcW w:w="1985" w:type="dxa"/>
          </w:tcPr>
          <w:p w14:paraId="66BFBEF8" w14:textId="77777777" w:rsidR="00234DBE" w:rsidRPr="00234DBE" w:rsidRDefault="00234DBE" w:rsidP="00234DBE">
            <w:pPr>
              <w:jc w:val="both"/>
            </w:pPr>
            <w:r w:rsidRPr="00234DBE">
              <w:t>Per diem (taux UE)</w:t>
            </w:r>
          </w:p>
        </w:tc>
        <w:tc>
          <w:tcPr>
            <w:tcW w:w="1701" w:type="dxa"/>
          </w:tcPr>
          <w:p w14:paraId="650E2E59" w14:textId="77777777" w:rsidR="00234DBE" w:rsidRPr="00234DBE" w:rsidRDefault="00234DBE" w:rsidP="00234DBE">
            <w:pPr>
              <w:jc w:val="center"/>
            </w:pPr>
            <w:r w:rsidRPr="00234DBE">
              <w:t>2</w:t>
            </w:r>
          </w:p>
        </w:tc>
        <w:tc>
          <w:tcPr>
            <w:tcW w:w="1977" w:type="dxa"/>
            <w:vMerge/>
          </w:tcPr>
          <w:p w14:paraId="6C14E8A4" w14:textId="77777777" w:rsidR="00234DBE" w:rsidRPr="00234DBE" w:rsidRDefault="00234DBE" w:rsidP="00234DBE">
            <w:pPr>
              <w:jc w:val="both"/>
            </w:pPr>
          </w:p>
        </w:tc>
      </w:tr>
      <w:tr w:rsidR="00234DBE" w:rsidRPr="00234DBE" w14:paraId="2FA078F9" w14:textId="77777777" w:rsidTr="006E235F">
        <w:tc>
          <w:tcPr>
            <w:tcW w:w="3397" w:type="dxa"/>
            <w:vMerge w:val="restart"/>
          </w:tcPr>
          <w:p w14:paraId="6E1367E3" w14:textId="77777777" w:rsidR="00234DBE" w:rsidRPr="00234DBE" w:rsidRDefault="00234DBE" w:rsidP="00234DBE">
            <w:pPr>
              <w:jc w:val="both"/>
            </w:pPr>
            <w:r w:rsidRPr="00234DBE">
              <w:t xml:space="preserve">Réunions de coordination CEDEAO pendant l’intersession Bonn </w:t>
            </w:r>
          </w:p>
        </w:tc>
        <w:tc>
          <w:tcPr>
            <w:tcW w:w="1985" w:type="dxa"/>
          </w:tcPr>
          <w:p w14:paraId="79855118" w14:textId="77777777" w:rsidR="00234DBE" w:rsidRPr="00234DBE" w:rsidRDefault="00234DBE" w:rsidP="00234DBE">
            <w:pPr>
              <w:jc w:val="both"/>
            </w:pPr>
            <w:r w:rsidRPr="00234DBE">
              <w:t xml:space="preserve">Billets d’avion (A/R) </w:t>
            </w:r>
          </w:p>
        </w:tc>
        <w:tc>
          <w:tcPr>
            <w:tcW w:w="1701" w:type="dxa"/>
          </w:tcPr>
          <w:p w14:paraId="0A84F9A3" w14:textId="77777777" w:rsidR="00234DBE" w:rsidRPr="00234DBE" w:rsidRDefault="00234DBE" w:rsidP="00234DBE">
            <w:pPr>
              <w:jc w:val="center"/>
            </w:pPr>
            <w:r w:rsidRPr="00234DBE">
              <w:t>1</w:t>
            </w:r>
          </w:p>
        </w:tc>
        <w:tc>
          <w:tcPr>
            <w:tcW w:w="1977" w:type="dxa"/>
            <w:vMerge/>
          </w:tcPr>
          <w:p w14:paraId="2A6995B1" w14:textId="77777777" w:rsidR="00234DBE" w:rsidRPr="00234DBE" w:rsidRDefault="00234DBE" w:rsidP="00234DBE">
            <w:pPr>
              <w:jc w:val="both"/>
            </w:pPr>
          </w:p>
        </w:tc>
      </w:tr>
      <w:tr w:rsidR="00234DBE" w:rsidRPr="00234DBE" w14:paraId="6AB77687" w14:textId="77777777" w:rsidTr="006E235F">
        <w:tc>
          <w:tcPr>
            <w:tcW w:w="3397" w:type="dxa"/>
            <w:vMerge/>
          </w:tcPr>
          <w:p w14:paraId="3A4DC1D9" w14:textId="77777777" w:rsidR="00234DBE" w:rsidRPr="00234DBE" w:rsidRDefault="00234DBE" w:rsidP="00234DBE">
            <w:pPr>
              <w:jc w:val="both"/>
            </w:pPr>
          </w:p>
        </w:tc>
        <w:tc>
          <w:tcPr>
            <w:tcW w:w="1985" w:type="dxa"/>
          </w:tcPr>
          <w:p w14:paraId="5412700E" w14:textId="77777777" w:rsidR="00234DBE" w:rsidRPr="00234DBE" w:rsidRDefault="00234DBE" w:rsidP="00234DBE">
            <w:pPr>
              <w:jc w:val="both"/>
            </w:pPr>
            <w:r w:rsidRPr="00234DBE">
              <w:t xml:space="preserve">Per diem (taux UE) </w:t>
            </w:r>
          </w:p>
        </w:tc>
        <w:tc>
          <w:tcPr>
            <w:tcW w:w="1701" w:type="dxa"/>
          </w:tcPr>
          <w:p w14:paraId="6261BB33" w14:textId="6FD2FF11" w:rsidR="00234DBE" w:rsidRPr="00234DBE" w:rsidRDefault="005268F4" w:rsidP="00234DBE">
            <w:pPr>
              <w:jc w:val="center"/>
            </w:pPr>
            <w:r>
              <w:t>3</w:t>
            </w:r>
          </w:p>
        </w:tc>
        <w:tc>
          <w:tcPr>
            <w:tcW w:w="1977" w:type="dxa"/>
            <w:vMerge/>
          </w:tcPr>
          <w:p w14:paraId="5A5785DE" w14:textId="77777777" w:rsidR="00234DBE" w:rsidRPr="00234DBE" w:rsidRDefault="00234DBE" w:rsidP="00234DBE">
            <w:pPr>
              <w:jc w:val="both"/>
            </w:pPr>
          </w:p>
        </w:tc>
      </w:tr>
      <w:tr w:rsidR="00234DBE" w:rsidRPr="00234DBE" w14:paraId="789088EE" w14:textId="77777777" w:rsidTr="006E235F">
        <w:tc>
          <w:tcPr>
            <w:tcW w:w="3397" w:type="dxa"/>
            <w:vMerge w:val="restart"/>
          </w:tcPr>
          <w:p w14:paraId="1B4B13EE" w14:textId="77777777" w:rsidR="00234DBE" w:rsidRPr="00234DBE" w:rsidRDefault="00234DBE" w:rsidP="00234DBE">
            <w:pPr>
              <w:jc w:val="both"/>
            </w:pPr>
            <w:r w:rsidRPr="00234DBE">
              <w:t xml:space="preserve">Atelier régional de préparation à la COP </w:t>
            </w:r>
          </w:p>
        </w:tc>
        <w:tc>
          <w:tcPr>
            <w:tcW w:w="1985" w:type="dxa"/>
          </w:tcPr>
          <w:p w14:paraId="2A4840BE" w14:textId="77777777" w:rsidR="00234DBE" w:rsidRPr="00234DBE" w:rsidRDefault="00234DBE" w:rsidP="00234DBE">
            <w:pPr>
              <w:jc w:val="both"/>
            </w:pPr>
            <w:r w:rsidRPr="00234DBE">
              <w:t xml:space="preserve">Billets d’avion (A/R) </w:t>
            </w:r>
          </w:p>
        </w:tc>
        <w:tc>
          <w:tcPr>
            <w:tcW w:w="1701" w:type="dxa"/>
          </w:tcPr>
          <w:p w14:paraId="30E8841A" w14:textId="77777777" w:rsidR="00234DBE" w:rsidRPr="00234DBE" w:rsidRDefault="00234DBE" w:rsidP="00234DBE">
            <w:pPr>
              <w:jc w:val="center"/>
            </w:pPr>
            <w:r w:rsidRPr="00234DBE">
              <w:t>1</w:t>
            </w:r>
          </w:p>
        </w:tc>
        <w:tc>
          <w:tcPr>
            <w:tcW w:w="1977" w:type="dxa"/>
            <w:vMerge/>
          </w:tcPr>
          <w:p w14:paraId="6320B36F" w14:textId="77777777" w:rsidR="00234DBE" w:rsidRPr="00234DBE" w:rsidRDefault="00234DBE" w:rsidP="00234DBE">
            <w:pPr>
              <w:jc w:val="both"/>
            </w:pPr>
          </w:p>
        </w:tc>
      </w:tr>
      <w:tr w:rsidR="00234DBE" w:rsidRPr="00234DBE" w14:paraId="3612AAE3" w14:textId="77777777" w:rsidTr="006E235F">
        <w:tc>
          <w:tcPr>
            <w:tcW w:w="3397" w:type="dxa"/>
            <w:vMerge/>
          </w:tcPr>
          <w:p w14:paraId="5BE209F8" w14:textId="77777777" w:rsidR="00234DBE" w:rsidRPr="00234DBE" w:rsidRDefault="00234DBE" w:rsidP="00234DBE">
            <w:pPr>
              <w:jc w:val="both"/>
            </w:pPr>
          </w:p>
        </w:tc>
        <w:tc>
          <w:tcPr>
            <w:tcW w:w="1985" w:type="dxa"/>
          </w:tcPr>
          <w:p w14:paraId="09A56483" w14:textId="77777777" w:rsidR="00234DBE" w:rsidRPr="00234DBE" w:rsidRDefault="00234DBE" w:rsidP="00234DBE">
            <w:pPr>
              <w:jc w:val="both"/>
            </w:pPr>
            <w:r w:rsidRPr="00234DBE">
              <w:t xml:space="preserve">Per diem (taux UE) </w:t>
            </w:r>
          </w:p>
        </w:tc>
        <w:tc>
          <w:tcPr>
            <w:tcW w:w="1701" w:type="dxa"/>
          </w:tcPr>
          <w:p w14:paraId="290D9AE8" w14:textId="77777777" w:rsidR="00234DBE" w:rsidRPr="00234DBE" w:rsidRDefault="00234DBE" w:rsidP="00234DBE">
            <w:pPr>
              <w:jc w:val="center"/>
            </w:pPr>
            <w:r w:rsidRPr="00234DBE">
              <w:t>5</w:t>
            </w:r>
          </w:p>
        </w:tc>
        <w:tc>
          <w:tcPr>
            <w:tcW w:w="1977" w:type="dxa"/>
            <w:vMerge/>
          </w:tcPr>
          <w:p w14:paraId="09FC7B4B" w14:textId="77777777" w:rsidR="00234DBE" w:rsidRPr="00234DBE" w:rsidRDefault="00234DBE" w:rsidP="00234DBE">
            <w:pPr>
              <w:jc w:val="both"/>
            </w:pPr>
          </w:p>
        </w:tc>
      </w:tr>
      <w:tr w:rsidR="00234DBE" w:rsidRPr="00234DBE" w14:paraId="4628ABD6" w14:textId="77777777" w:rsidTr="006E235F">
        <w:tc>
          <w:tcPr>
            <w:tcW w:w="3397" w:type="dxa"/>
            <w:vMerge w:val="restart"/>
          </w:tcPr>
          <w:p w14:paraId="05329A9D" w14:textId="51BA70AD" w:rsidR="00234DBE" w:rsidRPr="00234DBE" w:rsidRDefault="00234DBE" w:rsidP="00234DBE">
            <w:pPr>
              <w:jc w:val="both"/>
            </w:pPr>
            <w:r w:rsidRPr="00234DBE">
              <w:t>Réunions de coordination CEDEAO pendant la COP</w:t>
            </w:r>
          </w:p>
        </w:tc>
        <w:tc>
          <w:tcPr>
            <w:tcW w:w="1985" w:type="dxa"/>
          </w:tcPr>
          <w:p w14:paraId="01622BD7" w14:textId="77777777" w:rsidR="00234DBE" w:rsidRPr="00234DBE" w:rsidRDefault="00234DBE" w:rsidP="00234DBE">
            <w:pPr>
              <w:jc w:val="both"/>
            </w:pPr>
            <w:r w:rsidRPr="00234DBE">
              <w:t>Billets d’avion (A/R)</w:t>
            </w:r>
          </w:p>
        </w:tc>
        <w:tc>
          <w:tcPr>
            <w:tcW w:w="1701" w:type="dxa"/>
          </w:tcPr>
          <w:p w14:paraId="2E38906D" w14:textId="77777777" w:rsidR="00234DBE" w:rsidRPr="00234DBE" w:rsidRDefault="00234DBE" w:rsidP="00234DBE">
            <w:pPr>
              <w:jc w:val="center"/>
            </w:pPr>
            <w:r w:rsidRPr="00234DBE">
              <w:t>1</w:t>
            </w:r>
          </w:p>
        </w:tc>
        <w:tc>
          <w:tcPr>
            <w:tcW w:w="1977" w:type="dxa"/>
            <w:vMerge/>
          </w:tcPr>
          <w:p w14:paraId="4B097DB7" w14:textId="77777777" w:rsidR="00234DBE" w:rsidRPr="00234DBE" w:rsidRDefault="00234DBE" w:rsidP="00234DBE">
            <w:pPr>
              <w:jc w:val="both"/>
            </w:pPr>
          </w:p>
        </w:tc>
      </w:tr>
      <w:tr w:rsidR="00234DBE" w:rsidRPr="00234DBE" w14:paraId="0A3FC075" w14:textId="77777777" w:rsidTr="006E235F">
        <w:tc>
          <w:tcPr>
            <w:tcW w:w="3397" w:type="dxa"/>
            <w:vMerge/>
          </w:tcPr>
          <w:p w14:paraId="21550484" w14:textId="77777777" w:rsidR="00234DBE" w:rsidRPr="00234DBE" w:rsidRDefault="00234DBE" w:rsidP="00234DBE">
            <w:pPr>
              <w:jc w:val="both"/>
            </w:pPr>
          </w:p>
        </w:tc>
        <w:tc>
          <w:tcPr>
            <w:tcW w:w="1985" w:type="dxa"/>
          </w:tcPr>
          <w:p w14:paraId="559AF246" w14:textId="77777777" w:rsidR="00234DBE" w:rsidRPr="00234DBE" w:rsidRDefault="00234DBE" w:rsidP="00234DBE">
            <w:pPr>
              <w:jc w:val="both"/>
            </w:pPr>
            <w:r w:rsidRPr="00234DBE">
              <w:t>Per diem (taux UE)</w:t>
            </w:r>
          </w:p>
        </w:tc>
        <w:tc>
          <w:tcPr>
            <w:tcW w:w="1701" w:type="dxa"/>
          </w:tcPr>
          <w:p w14:paraId="344D5BB8" w14:textId="0ED03818" w:rsidR="00234DBE" w:rsidRPr="00234DBE" w:rsidRDefault="005268F4" w:rsidP="00234DBE">
            <w:pPr>
              <w:jc w:val="center"/>
            </w:pPr>
            <w:r>
              <w:t>4</w:t>
            </w:r>
          </w:p>
        </w:tc>
        <w:tc>
          <w:tcPr>
            <w:tcW w:w="1977" w:type="dxa"/>
            <w:vMerge/>
          </w:tcPr>
          <w:p w14:paraId="16C47817" w14:textId="77777777" w:rsidR="00234DBE" w:rsidRPr="00234DBE" w:rsidRDefault="00234DBE" w:rsidP="00234DBE">
            <w:pPr>
              <w:jc w:val="both"/>
            </w:pPr>
          </w:p>
        </w:tc>
      </w:tr>
    </w:tbl>
    <w:p w14:paraId="4AC70186" w14:textId="77777777" w:rsidR="00234DBE" w:rsidRPr="00234DBE" w:rsidRDefault="00234DBE" w:rsidP="00234DBE"/>
    <w:p w14:paraId="648C32C0" w14:textId="2EC27D8F" w:rsidR="002F71CC" w:rsidRDefault="002F71CC" w:rsidP="00E0536D">
      <w:pPr>
        <w:pStyle w:val="Titre1"/>
      </w:pPr>
      <w:r>
        <w:lastRenderedPageBreak/>
        <w:t xml:space="preserve">Calendrier estimatif de la première année </w:t>
      </w:r>
    </w:p>
    <w:p w14:paraId="2F92D357" w14:textId="4BB75F5A" w:rsidR="002F71CC" w:rsidRPr="002F71CC" w:rsidRDefault="002F71CC" w:rsidP="002F71CC">
      <w:r w:rsidRPr="002F71CC">
        <w:rPr>
          <w:noProof/>
          <w:lang w:eastAsia="fr-FR"/>
        </w:rPr>
        <w:drawing>
          <wp:inline distT="0" distB="0" distL="0" distR="0" wp14:anchorId="54D1E3CC" wp14:editId="6DDA8DB8">
            <wp:extent cx="6213393" cy="32397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7151" cy="3241730"/>
                    </a:xfrm>
                    <a:prstGeom prst="rect">
                      <a:avLst/>
                    </a:prstGeom>
                  </pic:spPr>
                </pic:pic>
              </a:graphicData>
            </a:graphic>
          </wp:inline>
        </w:drawing>
      </w:r>
    </w:p>
    <w:p w14:paraId="4F925449" w14:textId="77777777" w:rsidR="00234DBE" w:rsidRDefault="00234DBE" w:rsidP="00E0536D">
      <w:pPr>
        <w:pStyle w:val="Titre1"/>
      </w:pPr>
      <w:r w:rsidRPr="00234DBE">
        <w:t>Procédure de sélection</w:t>
      </w:r>
    </w:p>
    <w:p w14:paraId="76B393E2" w14:textId="77777777" w:rsidR="00501C2D" w:rsidRDefault="00FB5C69" w:rsidP="005646EB">
      <w:pPr>
        <w:jc w:val="both"/>
      </w:pPr>
      <w:r>
        <w:t>Les 4 experts seront sélectionnés de manière à ce que les 4 t</w:t>
      </w:r>
      <w:r w:rsidR="00162E6C">
        <w:t xml:space="preserve">hématiques soient représentées, la répartition effective des sujets sera décidée par la CEDEAO une fois la sélection effectuée. </w:t>
      </w:r>
    </w:p>
    <w:p w14:paraId="501330C0" w14:textId="4773CB7C" w:rsidR="00501C2D" w:rsidRDefault="00501C2D" w:rsidP="005646EB">
      <w:pPr>
        <w:jc w:val="both"/>
      </w:pPr>
      <w:r>
        <w:t>Les experts seront sélectionnés par un c</w:t>
      </w:r>
      <w:r w:rsidR="00194319">
        <w:t>omité pluridisciplinaire validé</w:t>
      </w:r>
      <w:r>
        <w:t xml:space="preserve"> par la Direction de l’Environnement de la Commission de la CEDEAO.</w:t>
      </w:r>
    </w:p>
    <w:p w14:paraId="0DC8FDAB" w14:textId="097E5F1A" w:rsidR="00162E6C" w:rsidRPr="00FB5C69" w:rsidRDefault="00501C2D" w:rsidP="005646EB">
      <w:pPr>
        <w:jc w:val="both"/>
      </w:pPr>
      <w:r>
        <w:t xml:space="preserve">Les experts seront contractualisés par Expertise France pour la première année de leur mandat, et éventuellement jusqu’à décembre 2022. </w:t>
      </w:r>
    </w:p>
    <w:p w14:paraId="3BB84FDC" w14:textId="7E00E533" w:rsidR="00234DBE" w:rsidRPr="00234DBE" w:rsidRDefault="00162E6C" w:rsidP="006A32F6">
      <w:pPr>
        <w:pStyle w:val="Paragraphedeliste"/>
        <w:numPr>
          <w:ilvl w:val="0"/>
          <w:numId w:val="21"/>
        </w:numPr>
      </w:pPr>
      <w:r>
        <w:t xml:space="preserve">Date limite de candidature : </w:t>
      </w:r>
      <w:r w:rsidR="00A074D8">
        <w:rPr>
          <w:b/>
          <w:u w:val="single"/>
        </w:rPr>
        <w:t>17</w:t>
      </w:r>
      <w:r w:rsidR="00E201E9">
        <w:rPr>
          <w:b/>
          <w:u w:val="single"/>
        </w:rPr>
        <w:t xml:space="preserve"> janvier 2021 </w:t>
      </w:r>
      <w:r w:rsidR="00E201E9">
        <w:t xml:space="preserve"> à 00</w:t>
      </w:r>
      <w:r>
        <w:t xml:space="preserve">h UTC. </w:t>
      </w:r>
    </w:p>
    <w:p w14:paraId="28DC6E82" w14:textId="3B3E72F5" w:rsidR="00234DBE" w:rsidRDefault="00234DBE" w:rsidP="006A32F6">
      <w:pPr>
        <w:pStyle w:val="Paragraphedeliste"/>
        <w:numPr>
          <w:ilvl w:val="0"/>
          <w:numId w:val="21"/>
        </w:numPr>
      </w:pPr>
      <w:r w:rsidRPr="00234DBE">
        <w:t>Pièces à fournir</w:t>
      </w:r>
      <w:r w:rsidR="006A32F6">
        <w:t xml:space="preserve"> : </w:t>
      </w:r>
      <w:r w:rsidR="000D63E5">
        <w:t xml:space="preserve">CV </w:t>
      </w:r>
      <w:r w:rsidR="00C03694">
        <w:t xml:space="preserve">et lettre de motivation en anglais. </w:t>
      </w:r>
    </w:p>
    <w:p w14:paraId="0B16E530" w14:textId="12FC35DE" w:rsidR="00B1043F" w:rsidRDefault="00C03694" w:rsidP="006C7445">
      <w:pPr>
        <w:pStyle w:val="Paragraphedeliste"/>
        <w:numPr>
          <w:ilvl w:val="0"/>
          <w:numId w:val="21"/>
        </w:numPr>
      </w:pPr>
      <w:r>
        <w:t>Adresse de soum</w:t>
      </w:r>
      <w:r w:rsidR="00EC2D7A">
        <w:t>ission :</w:t>
      </w:r>
      <w:r>
        <w:t xml:space="preserve"> </w:t>
      </w:r>
      <w:hyperlink r:id="rId9" w:history="1">
        <w:r w:rsidRPr="00B14261">
          <w:rPr>
            <w:rStyle w:val="Lienhypertexte"/>
          </w:rPr>
          <w:t>cecile.vivien@expertisefrance.fr</w:t>
        </w:r>
      </w:hyperlink>
      <w:r>
        <w:t xml:space="preserve"> </w:t>
      </w:r>
      <w:r w:rsidR="008252E5">
        <w:t>/ les candidats peuvent demander des clarifications</w:t>
      </w:r>
      <w:r w:rsidR="00E1378A">
        <w:t>/informations complémentaires</w:t>
      </w:r>
      <w:r w:rsidR="008252E5">
        <w:t xml:space="preserve"> j</w:t>
      </w:r>
      <w:r w:rsidR="00A074D8">
        <w:t>usqu’au 13</w:t>
      </w:r>
      <w:r w:rsidR="00E201E9">
        <w:t xml:space="preserve"> </w:t>
      </w:r>
      <w:r w:rsidR="006C7445">
        <w:t xml:space="preserve">janvier </w:t>
      </w:r>
      <w:r w:rsidR="00E201E9">
        <w:t>2021</w:t>
      </w:r>
      <w:r w:rsidR="006C7445">
        <w:t>.</w:t>
      </w:r>
      <w:r w:rsidR="008252E5">
        <w:t xml:space="preserve"> </w:t>
      </w:r>
    </w:p>
    <w:p w14:paraId="138DC250" w14:textId="0D02DD7C" w:rsidR="007E1372" w:rsidRDefault="007E1372" w:rsidP="00BE0EE5">
      <w:r>
        <w:t xml:space="preserve"> </w:t>
      </w:r>
    </w:p>
    <w:sectPr w:rsidR="007E1372" w:rsidSect="00371692">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9A7C" w16cex:dateUtc="2020-12-04T10:22:00Z"/>
  <w16cex:commentExtensible w16cex:durableId="2374A113" w16cex:dateUtc="2020-12-04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ABB041" w16cid:durableId="23749A7C"/>
  <w16cid:commentId w16cid:paraId="11C6009F" w16cid:durableId="2374A1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E1B62" w14:textId="77777777" w:rsidR="00295DB2" w:rsidRDefault="00295DB2" w:rsidP="00674DD4">
      <w:pPr>
        <w:spacing w:after="0" w:line="240" w:lineRule="auto"/>
      </w:pPr>
      <w:r>
        <w:separator/>
      </w:r>
    </w:p>
  </w:endnote>
  <w:endnote w:type="continuationSeparator" w:id="0">
    <w:p w14:paraId="08D812E8" w14:textId="77777777" w:rsidR="00295DB2" w:rsidRDefault="00295DB2" w:rsidP="0067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197890"/>
      <w:docPartObj>
        <w:docPartGallery w:val="Page Numbers (Bottom of Page)"/>
        <w:docPartUnique/>
      </w:docPartObj>
    </w:sdtPr>
    <w:sdtEndPr/>
    <w:sdtContent>
      <w:p w14:paraId="5537AC0A" w14:textId="416C3DBC" w:rsidR="00D940AC" w:rsidRDefault="00371692" w:rsidP="00371692">
        <w:pPr>
          <w:pStyle w:val="Pieddepage"/>
          <w:jc w:val="right"/>
        </w:pPr>
        <w:r>
          <w:tab/>
        </w:r>
        <w:r>
          <w:tab/>
        </w:r>
        <w:r w:rsidR="00D940AC">
          <w:fldChar w:fldCharType="begin"/>
        </w:r>
        <w:r w:rsidR="00D940AC">
          <w:instrText>PAGE   \* MERGEFORMAT</w:instrText>
        </w:r>
        <w:r w:rsidR="00D940AC">
          <w:fldChar w:fldCharType="separate"/>
        </w:r>
        <w:r w:rsidR="00F56833">
          <w:rPr>
            <w:noProof/>
          </w:rPr>
          <w:t>2</w:t>
        </w:r>
        <w:r w:rsidR="00D940AC">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6E916" w14:textId="77777777" w:rsidR="00295DB2" w:rsidRDefault="00295DB2" w:rsidP="00674DD4">
      <w:pPr>
        <w:spacing w:after="0" w:line="240" w:lineRule="auto"/>
      </w:pPr>
      <w:r>
        <w:separator/>
      </w:r>
    </w:p>
  </w:footnote>
  <w:footnote w:type="continuationSeparator" w:id="0">
    <w:p w14:paraId="7444C6E1" w14:textId="77777777" w:rsidR="00295DB2" w:rsidRDefault="00295DB2" w:rsidP="00674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12AA7" w14:textId="1BB2CFC9" w:rsidR="004D7D86" w:rsidRDefault="008B4474">
    <w:pPr>
      <w:pStyle w:val="En-tte"/>
    </w:pPr>
    <w:r w:rsidRPr="008B4474">
      <w:rPr>
        <w:noProof/>
        <w:lang w:eastAsia="fr-FR"/>
      </w:rPr>
      <w:drawing>
        <wp:anchor distT="0" distB="0" distL="114300" distR="114300" simplePos="0" relativeHeight="251667456" behindDoc="0" locked="0" layoutInCell="1" allowOverlap="1" wp14:anchorId="4E7B0E49" wp14:editId="4020E06B">
          <wp:simplePos x="0" y="0"/>
          <wp:positionH relativeFrom="margin">
            <wp:posOffset>4700270</wp:posOffset>
          </wp:positionH>
          <wp:positionV relativeFrom="paragraph">
            <wp:posOffset>189230</wp:posOffset>
          </wp:positionV>
          <wp:extent cx="685800" cy="548640"/>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lss.png"/>
                  <pic:cNvPicPr/>
                </pic:nvPicPr>
                <pic:blipFill>
                  <a:blip r:embed="rId1">
                    <a:extLst>
                      <a:ext uri="{28A0092B-C50C-407E-A947-70E740481C1C}">
                        <a14:useLocalDpi xmlns:a14="http://schemas.microsoft.com/office/drawing/2010/main" val="0"/>
                      </a:ext>
                    </a:extLst>
                  </a:blip>
                  <a:stretch>
                    <a:fillRect/>
                  </a:stretch>
                </pic:blipFill>
                <pic:spPr>
                  <a:xfrm>
                    <a:off x="0" y="0"/>
                    <a:ext cx="685800" cy="54864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1" locked="0" layoutInCell="1" allowOverlap="1" wp14:anchorId="7E349520" wp14:editId="23B5D09A">
          <wp:simplePos x="0" y="0"/>
          <wp:positionH relativeFrom="column">
            <wp:posOffset>3655944</wp:posOffset>
          </wp:positionH>
          <wp:positionV relativeFrom="paragraph">
            <wp:posOffset>106763</wp:posOffset>
          </wp:positionV>
          <wp:extent cx="619760" cy="628015"/>
          <wp:effectExtent l="0" t="0" r="8890" b="635"/>
          <wp:wrapTight wrapText="bothSides">
            <wp:wrapPolygon edited="0">
              <wp:start x="0" y="0"/>
              <wp:lineTo x="0" y="20967"/>
              <wp:lineTo x="21246" y="20967"/>
              <wp:lineTo x="21246" y="0"/>
              <wp:lineTo x="0" y="0"/>
            </wp:wrapPolygon>
          </wp:wrapTight>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DEA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9760" cy="628015"/>
                  </a:xfrm>
                  <a:prstGeom prst="rect">
                    <a:avLst/>
                  </a:prstGeom>
                </pic:spPr>
              </pic:pic>
            </a:graphicData>
          </a:graphic>
          <wp14:sizeRelH relativeFrom="margin">
            <wp14:pctWidth>0</wp14:pctWidth>
          </wp14:sizeRelH>
          <wp14:sizeRelV relativeFrom="margin">
            <wp14:pctHeight>0</wp14:pctHeight>
          </wp14:sizeRelV>
        </wp:anchor>
      </w:drawing>
    </w:r>
    <w:r w:rsidRPr="008B4474">
      <w:rPr>
        <w:noProof/>
        <w:lang w:eastAsia="fr-FR"/>
      </w:rPr>
      <w:drawing>
        <wp:anchor distT="0" distB="0" distL="114300" distR="114300" simplePos="0" relativeHeight="251668480" behindDoc="0" locked="0" layoutInCell="1" allowOverlap="1" wp14:anchorId="67BFB7C9" wp14:editId="56B5D2CC">
          <wp:simplePos x="0" y="0"/>
          <wp:positionH relativeFrom="column">
            <wp:posOffset>2520564</wp:posOffset>
          </wp:positionH>
          <wp:positionV relativeFrom="paragraph">
            <wp:posOffset>108088</wp:posOffset>
          </wp:positionV>
          <wp:extent cx="723900" cy="7239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r w:rsidRPr="008B4474">
      <w:rPr>
        <w:noProof/>
        <w:lang w:eastAsia="fr-FR"/>
      </w:rPr>
      <w:drawing>
        <wp:anchor distT="0" distB="0" distL="114300" distR="114300" simplePos="0" relativeHeight="251669504" behindDoc="0" locked="0" layoutInCell="1" allowOverlap="1" wp14:anchorId="670A04C0" wp14:editId="6586ACEF">
          <wp:simplePos x="0" y="0"/>
          <wp:positionH relativeFrom="margin">
            <wp:posOffset>-271283</wp:posOffset>
          </wp:positionH>
          <wp:positionV relativeFrom="paragraph">
            <wp:posOffset>104195</wp:posOffset>
          </wp:positionV>
          <wp:extent cx="2700655" cy="786765"/>
          <wp:effectExtent l="0" t="0" r="4445"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0655" cy="786765"/>
                  </a:xfrm>
                  <a:prstGeom prst="rect">
                    <a:avLst/>
                  </a:prstGeom>
                  <a:noFill/>
                </pic:spPr>
              </pic:pic>
            </a:graphicData>
          </a:graphic>
          <wp14:sizeRelH relativeFrom="page">
            <wp14:pctWidth>0</wp14:pctWidth>
          </wp14:sizeRelH>
          <wp14:sizeRelV relativeFrom="page">
            <wp14:pctHeight>0</wp14:pctHeight>
          </wp14:sizeRelV>
        </wp:anchor>
      </w:drawing>
    </w:r>
  </w:p>
  <w:p w14:paraId="02632145" w14:textId="77777777" w:rsidR="004D7D86" w:rsidRDefault="004D7D8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993"/>
    <w:multiLevelType w:val="hybridMultilevel"/>
    <w:tmpl w:val="57802A24"/>
    <w:lvl w:ilvl="0" w:tplc="FE64DD9C">
      <w:start w:val="1"/>
      <w:numFmt w:val="lowerLetter"/>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7B5E16"/>
    <w:multiLevelType w:val="hybridMultilevel"/>
    <w:tmpl w:val="8BAE27AC"/>
    <w:lvl w:ilvl="0" w:tplc="714839D8">
      <w:start w:val="1"/>
      <w:numFmt w:val="bullet"/>
      <w:lvlText w:val="•"/>
      <w:lvlJc w:val="left"/>
      <w:pPr>
        <w:tabs>
          <w:tab w:val="num" w:pos="720"/>
        </w:tabs>
        <w:ind w:left="720" w:hanging="360"/>
      </w:pPr>
      <w:rPr>
        <w:rFonts w:ascii="Arial" w:hAnsi="Arial" w:hint="default"/>
      </w:rPr>
    </w:lvl>
    <w:lvl w:ilvl="1" w:tplc="7374C23A">
      <w:numFmt w:val="bullet"/>
      <w:lvlText w:val=""/>
      <w:lvlJc w:val="left"/>
      <w:pPr>
        <w:tabs>
          <w:tab w:val="num" w:pos="1440"/>
        </w:tabs>
        <w:ind w:left="1440" w:hanging="360"/>
      </w:pPr>
      <w:rPr>
        <w:rFonts w:ascii="Wingdings" w:hAnsi="Wingdings" w:hint="default"/>
      </w:rPr>
    </w:lvl>
    <w:lvl w:ilvl="2" w:tplc="C6D4631E" w:tentative="1">
      <w:start w:val="1"/>
      <w:numFmt w:val="bullet"/>
      <w:lvlText w:val="•"/>
      <w:lvlJc w:val="left"/>
      <w:pPr>
        <w:tabs>
          <w:tab w:val="num" w:pos="2160"/>
        </w:tabs>
        <w:ind w:left="2160" w:hanging="360"/>
      </w:pPr>
      <w:rPr>
        <w:rFonts w:ascii="Arial" w:hAnsi="Arial" w:hint="default"/>
      </w:rPr>
    </w:lvl>
    <w:lvl w:ilvl="3" w:tplc="F634B92E" w:tentative="1">
      <w:start w:val="1"/>
      <w:numFmt w:val="bullet"/>
      <w:lvlText w:val="•"/>
      <w:lvlJc w:val="left"/>
      <w:pPr>
        <w:tabs>
          <w:tab w:val="num" w:pos="2880"/>
        </w:tabs>
        <w:ind w:left="2880" w:hanging="360"/>
      </w:pPr>
      <w:rPr>
        <w:rFonts w:ascii="Arial" w:hAnsi="Arial" w:hint="default"/>
      </w:rPr>
    </w:lvl>
    <w:lvl w:ilvl="4" w:tplc="C90EAA30" w:tentative="1">
      <w:start w:val="1"/>
      <w:numFmt w:val="bullet"/>
      <w:lvlText w:val="•"/>
      <w:lvlJc w:val="left"/>
      <w:pPr>
        <w:tabs>
          <w:tab w:val="num" w:pos="3600"/>
        </w:tabs>
        <w:ind w:left="3600" w:hanging="360"/>
      </w:pPr>
      <w:rPr>
        <w:rFonts w:ascii="Arial" w:hAnsi="Arial" w:hint="default"/>
      </w:rPr>
    </w:lvl>
    <w:lvl w:ilvl="5" w:tplc="72F223B2" w:tentative="1">
      <w:start w:val="1"/>
      <w:numFmt w:val="bullet"/>
      <w:lvlText w:val="•"/>
      <w:lvlJc w:val="left"/>
      <w:pPr>
        <w:tabs>
          <w:tab w:val="num" w:pos="4320"/>
        </w:tabs>
        <w:ind w:left="4320" w:hanging="360"/>
      </w:pPr>
      <w:rPr>
        <w:rFonts w:ascii="Arial" w:hAnsi="Arial" w:hint="default"/>
      </w:rPr>
    </w:lvl>
    <w:lvl w:ilvl="6" w:tplc="BE74170C" w:tentative="1">
      <w:start w:val="1"/>
      <w:numFmt w:val="bullet"/>
      <w:lvlText w:val="•"/>
      <w:lvlJc w:val="left"/>
      <w:pPr>
        <w:tabs>
          <w:tab w:val="num" w:pos="5040"/>
        </w:tabs>
        <w:ind w:left="5040" w:hanging="360"/>
      </w:pPr>
      <w:rPr>
        <w:rFonts w:ascii="Arial" w:hAnsi="Arial" w:hint="default"/>
      </w:rPr>
    </w:lvl>
    <w:lvl w:ilvl="7" w:tplc="66C4C6D0" w:tentative="1">
      <w:start w:val="1"/>
      <w:numFmt w:val="bullet"/>
      <w:lvlText w:val="•"/>
      <w:lvlJc w:val="left"/>
      <w:pPr>
        <w:tabs>
          <w:tab w:val="num" w:pos="5760"/>
        </w:tabs>
        <w:ind w:left="5760" w:hanging="360"/>
      </w:pPr>
      <w:rPr>
        <w:rFonts w:ascii="Arial" w:hAnsi="Arial" w:hint="default"/>
      </w:rPr>
    </w:lvl>
    <w:lvl w:ilvl="8" w:tplc="BB5675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44261B"/>
    <w:multiLevelType w:val="hybridMultilevel"/>
    <w:tmpl w:val="4118C0BA"/>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807989"/>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2A06595D"/>
    <w:multiLevelType w:val="hybridMultilevel"/>
    <w:tmpl w:val="3C200354"/>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8E3047"/>
    <w:multiLevelType w:val="hybridMultilevel"/>
    <w:tmpl w:val="8376B7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A40EC"/>
    <w:multiLevelType w:val="hybridMultilevel"/>
    <w:tmpl w:val="AA40F98A"/>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142EF8"/>
    <w:multiLevelType w:val="hybridMultilevel"/>
    <w:tmpl w:val="334438C2"/>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3C2B03"/>
    <w:multiLevelType w:val="hybridMultilevel"/>
    <w:tmpl w:val="BB146070"/>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AA001B"/>
    <w:multiLevelType w:val="hybridMultilevel"/>
    <w:tmpl w:val="5E5C4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770E0A"/>
    <w:multiLevelType w:val="hybridMultilevel"/>
    <w:tmpl w:val="73921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6526F8"/>
    <w:multiLevelType w:val="hybridMultilevel"/>
    <w:tmpl w:val="AFE447C4"/>
    <w:lvl w:ilvl="0" w:tplc="7C02DFEA">
      <w:numFmt w:val="bullet"/>
      <w:lvlText w:val=""/>
      <w:lvlJc w:val="left"/>
      <w:pPr>
        <w:ind w:left="5530" w:hanging="360"/>
      </w:pPr>
      <w:rPr>
        <w:rFonts w:ascii="Wingdings" w:eastAsiaTheme="minorHAnsi" w:hAnsi="Wingdings" w:cstheme="minorBidi" w:hint="default"/>
      </w:rPr>
    </w:lvl>
    <w:lvl w:ilvl="1" w:tplc="040C0003" w:tentative="1">
      <w:start w:val="1"/>
      <w:numFmt w:val="bullet"/>
      <w:lvlText w:val="o"/>
      <w:lvlJc w:val="left"/>
      <w:pPr>
        <w:ind w:left="6250" w:hanging="360"/>
      </w:pPr>
      <w:rPr>
        <w:rFonts w:ascii="Courier New" w:hAnsi="Courier New" w:cs="Courier New" w:hint="default"/>
      </w:rPr>
    </w:lvl>
    <w:lvl w:ilvl="2" w:tplc="040C0005" w:tentative="1">
      <w:start w:val="1"/>
      <w:numFmt w:val="bullet"/>
      <w:lvlText w:val=""/>
      <w:lvlJc w:val="left"/>
      <w:pPr>
        <w:ind w:left="6970" w:hanging="360"/>
      </w:pPr>
      <w:rPr>
        <w:rFonts w:ascii="Wingdings" w:hAnsi="Wingdings" w:hint="default"/>
      </w:rPr>
    </w:lvl>
    <w:lvl w:ilvl="3" w:tplc="040C0001" w:tentative="1">
      <w:start w:val="1"/>
      <w:numFmt w:val="bullet"/>
      <w:lvlText w:val=""/>
      <w:lvlJc w:val="left"/>
      <w:pPr>
        <w:ind w:left="7690" w:hanging="360"/>
      </w:pPr>
      <w:rPr>
        <w:rFonts w:ascii="Symbol" w:hAnsi="Symbol" w:hint="default"/>
      </w:rPr>
    </w:lvl>
    <w:lvl w:ilvl="4" w:tplc="040C0003" w:tentative="1">
      <w:start w:val="1"/>
      <w:numFmt w:val="bullet"/>
      <w:lvlText w:val="o"/>
      <w:lvlJc w:val="left"/>
      <w:pPr>
        <w:ind w:left="8410" w:hanging="360"/>
      </w:pPr>
      <w:rPr>
        <w:rFonts w:ascii="Courier New" w:hAnsi="Courier New" w:cs="Courier New" w:hint="default"/>
      </w:rPr>
    </w:lvl>
    <w:lvl w:ilvl="5" w:tplc="040C0005" w:tentative="1">
      <w:start w:val="1"/>
      <w:numFmt w:val="bullet"/>
      <w:lvlText w:val=""/>
      <w:lvlJc w:val="left"/>
      <w:pPr>
        <w:ind w:left="9130" w:hanging="360"/>
      </w:pPr>
      <w:rPr>
        <w:rFonts w:ascii="Wingdings" w:hAnsi="Wingdings" w:hint="default"/>
      </w:rPr>
    </w:lvl>
    <w:lvl w:ilvl="6" w:tplc="040C0001" w:tentative="1">
      <w:start w:val="1"/>
      <w:numFmt w:val="bullet"/>
      <w:lvlText w:val=""/>
      <w:lvlJc w:val="left"/>
      <w:pPr>
        <w:ind w:left="9850" w:hanging="360"/>
      </w:pPr>
      <w:rPr>
        <w:rFonts w:ascii="Symbol" w:hAnsi="Symbol" w:hint="default"/>
      </w:rPr>
    </w:lvl>
    <w:lvl w:ilvl="7" w:tplc="040C0003" w:tentative="1">
      <w:start w:val="1"/>
      <w:numFmt w:val="bullet"/>
      <w:lvlText w:val="o"/>
      <w:lvlJc w:val="left"/>
      <w:pPr>
        <w:ind w:left="10570" w:hanging="360"/>
      </w:pPr>
      <w:rPr>
        <w:rFonts w:ascii="Courier New" w:hAnsi="Courier New" w:cs="Courier New" w:hint="default"/>
      </w:rPr>
    </w:lvl>
    <w:lvl w:ilvl="8" w:tplc="040C0005" w:tentative="1">
      <w:start w:val="1"/>
      <w:numFmt w:val="bullet"/>
      <w:lvlText w:val=""/>
      <w:lvlJc w:val="left"/>
      <w:pPr>
        <w:ind w:left="11290" w:hanging="360"/>
      </w:pPr>
      <w:rPr>
        <w:rFonts w:ascii="Wingdings" w:hAnsi="Wingdings" w:hint="default"/>
      </w:rPr>
    </w:lvl>
  </w:abstractNum>
  <w:abstractNum w:abstractNumId="12" w15:restartNumberingAfterBreak="0">
    <w:nsid w:val="4A097CA9"/>
    <w:multiLevelType w:val="hybridMultilevel"/>
    <w:tmpl w:val="5BE60B6A"/>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B4229C"/>
    <w:multiLevelType w:val="hybridMultilevel"/>
    <w:tmpl w:val="FBE2DAA8"/>
    <w:lvl w:ilvl="0" w:tplc="50B0C1FA">
      <w:numFmt w:val="bullet"/>
      <w:lvlText w:val="-"/>
      <w:lvlJc w:val="left"/>
      <w:pPr>
        <w:ind w:left="1080" w:hanging="360"/>
      </w:pPr>
      <w:rPr>
        <w:rFonts w:ascii="Calibri" w:eastAsia="Calibri" w:hAnsi="Calibri" w:hint="default"/>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2526AE9"/>
    <w:multiLevelType w:val="hybridMultilevel"/>
    <w:tmpl w:val="DDBC0E10"/>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CC78D3"/>
    <w:multiLevelType w:val="hybridMultilevel"/>
    <w:tmpl w:val="33B2C350"/>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5314CE"/>
    <w:multiLevelType w:val="hybridMultilevel"/>
    <w:tmpl w:val="B3287A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483380C"/>
    <w:multiLevelType w:val="hybridMultilevel"/>
    <w:tmpl w:val="A0765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5F2935"/>
    <w:multiLevelType w:val="hybridMultilevel"/>
    <w:tmpl w:val="26FAA5A6"/>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4C3AF0"/>
    <w:multiLevelType w:val="hybridMultilevel"/>
    <w:tmpl w:val="ADF4F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5157AC"/>
    <w:multiLevelType w:val="hybridMultilevel"/>
    <w:tmpl w:val="520851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8C472B"/>
    <w:multiLevelType w:val="hybridMultilevel"/>
    <w:tmpl w:val="28A0C604"/>
    <w:lvl w:ilvl="0" w:tplc="F9B05802">
      <w:numFmt w:val="bullet"/>
      <w:lvlText w:val=""/>
      <w:lvlJc w:val="left"/>
      <w:pPr>
        <w:ind w:left="720" w:hanging="360"/>
      </w:pPr>
      <w:rPr>
        <w:rFonts w:ascii="Wingdings" w:eastAsiaTheme="minorHAnsi" w:hAnsi="Wingdings" w:cstheme="minorBidi"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4C925FA"/>
    <w:multiLevelType w:val="hybridMultilevel"/>
    <w:tmpl w:val="64A0D922"/>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1127F9"/>
    <w:multiLevelType w:val="hybridMultilevel"/>
    <w:tmpl w:val="5D4ED63C"/>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E76D60"/>
    <w:multiLevelType w:val="hybridMultilevel"/>
    <w:tmpl w:val="9BD6D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085B55"/>
    <w:multiLevelType w:val="hybridMultilevel"/>
    <w:tmpl w:val="1EC60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E66E45"/>
    <w:multiLevelType w:val="hybridMultilevel"/>
    <w:tmpl w:val="3316373A"/>
    <w:lvl w:ilvl="0" w:tplc="AF0AC8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3"/>
  </w:num>
  <w:num w:numId="4">
    <w:abstractNumId w:val="1"/>
  </w:num>
  <w:num w:numId="5">
    <w:abstractNumId w:val="25"/>
  </w:num>
  <w:num w:numId="6">
    <w:abstractNumId w:val="14"/>
  </w:num>
  <w:num w:numId="7">
    <w:abstractNumId w:val="23"/>
  </w:num>
  <w:num w:numId="8">
    <w:abstractNumId w:val="12"/>
  </w:num>
  <w:num w:numId="9">
    <w:abstractNumId w:val="20"/>
  </w:num>
  <w:num w:numId="10">
    <w:abstractNumId w:val="10"/>
  </w:num>
  <w:num w:numId="11">
    <w:abstractNumId w:val="17"/>
  </w:num>
  <w:num w:numId="12">
    <w:abstractNumId w:val="5"/>
  </w:num>
  <w:num w:numId="13">
    <w:abstractNumId w:val="19"/>
  </w:num>
  <w:num w:numId="14">
    <w:abstractNumId w:val="16"/>
  </w:num>
  <w:num w:numId="15">
    <w:abstractNumId w:val="24"/>
  </w:num>
  <w:num w:numId="16">
    <w:abstractNumId w:val="26"/>
  </w:num>
  <w:num w:numId="17">
    <w:abstractNumId w:val="18"/>
  </w:num>
  <w:num w:numId="18">
    <w:abstractNumId w:val="13"/>
  </w:num>
  <w:num w:numId="19">
    <w:abstractNumId w:val="15"/>
  </w:num>
  <w:num w:numId="20">
    <w:abstractNumId w:val="22"/>
  </w:num>
  <w:num w:numId="21">
    <w:abstractNumId w:val="8"/>
  </w:num>
  <w:num w:numId="22">
    <w:abstractNumId w:val="6"/>
  </w:num>
  <w:num w:numId="23">
    <w:abstractNumId w:val="7"/>
  </w:num>
  <w:num w:numId="24">
    <w:abstractNumId w:val="4"/>
  </w:num>
  <w:num w:numId="25">
    <w:abstractNumId w:val="9"/>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92"/>
    <w:rsid w:val="00010577"/>
    <w:rsid w:val="00012FF0"/>
    <w:rsid w:val="000147E8"/>
    <w:rsid w:val="000225D1"/>
    <w:rsid w:val="00027866"/>
    <w:rsid w:val="00031D92"/>
    <w:rsid w:val="00034072"/>
    <w:rsid w:val="00036EA7"/>
    <w:rsid w:val="00043DE9"/>
    <w:rsid w:val="000466DD"/>
    <w:rsid w:val="00057371"/>
    <w:rsid w:val="00060A0E"/>
    <w:rsid w:val="00061539"/>
    <w:rsid w:val="000624CA"/>
    <w:rsid w:val="00065CD9"/>
    <w:rsid w:val="00071895"/>
    <w:rsid w:val="00072EA3"/>
    <w:rsid w:val="000770CF"/>
    <w:rsid w:val="00082E69"/>
    <w:rsid w:val="00083763"/>
    <w:rsid w:val="00087120"/>
    <w:rsid w:val="00087F6D"/>
    <w:rsid w:val="00094490"/>
    <w:rsid w:val="000A31B5"/>
    <w:rsid w:val="000A5E8C"/>
    <w:rsid w:val="000B1F35"/>
    <w:rsid w:val="000C2D1B"/>
    <w:rsid w:val="000D00B2"/>
    <w:rsid w:val="000D06B1"/>
    <w:rsid w:val="000D523E"/>
    <w:rsid w:val="000D63E5"/>
    <w:rsid w:val="000E0338"/>
    <w:rsid w:val="000E7D08"/>
    <w:rsid w:val="000E7F4D"/>
    <w:rsid w:val="000F3690"/>
    <w:rsid w:val="000F58FF"/>
    <w:rsid w:val="000F6088"/>
    <w:rsid w:val="001031ED"/>
    <w:rsid w:val="00110980"/>
    <w:rsid w:val="00130EC9"/>
    <w:rsid w:val="00132122"/>
    <w:rsid w:val="00132152"/>
    <w:rsid w:val="001324B5"/>
    <w:rsid w:val="0013454D"/>
    <w:rsid w:val="00147AAB"/>
    <w:rsid w:val="00147B47"/>
    <w:rsid w:val="001552DD"/>
    <w:rsid w:val="001574B2"/>
    <w:rsid w:val="00160267"/>
    <w:rsid w:val="00162E6C"/>
    <w:rsid w:val="00163231"/>
    <w:rsid w:val="00165C5A"/>
    <w:rsid w:val="00166377"/>
    <w:rsid w:val="0017201C"/>
    <w:rsid w:val="0017773D"/>
    <w:rsid w:val="001777C1"/>
    <w:rsid w:val="00190D82"/>
    <w:rsid w:val="00194319"/>
    <w:rsid w:val="001A1DC8"/>
    <w:rsid w:val="001B5007"/>
    <w:rsid w:val="001C0A8C"/>
    <w:rsid w:val="001C0BA3"/>
    <w:rsid w:val="001D2FB0"/>
    <w:rsid w:val="001D733D"/>
    <w:rsid w:val="001D771F"/>
    <w:rsid w:val="001E0671"/>
    <w:rsid w:val="001F3003"/>
    <w:rsid w:val="001F3B8C"/>
    <w:rsid w:val="00203097"/>
    <w:rsid w:val="00223ACC"/>
    <w:rsid w:val="00234DBE"/>
    <w:rsid w:val="002369E1"/>
    <w:rsid w:val="0024325B"/>
    <w:rsid w:val="00247E6E"/>
    <w:rsid w:val="0025468A"/>
    <w:rsid w:val="002573A9"/>
    <w:rsid w:val="00262F15"/>
    <w:rsid w:val="002675CD"/>
    <w:rsid w:val="00271455"/>
    <w:rsid w:val="00276D3F"/>
    <w:rsid w:val="0028158A"/>
    <w:rsid w:val="00284B92"/>
    <w:rsid w:val="002851E3"/>
    <w:rsid w:val="002856AE"/>
    <w:rsid w:val="00286CCB"/>
    <w:rsid w:val="00287ACF"/>
    <w:rsid w:val="00290626"/>
    <w:rsid w:val="00291AAF"/>
    <w:rsid w:val="0029226F"/>
    <w:rsid w:val="00295DB2"/>
    <w:rsid w:val="002A3C97"/>
    <w:rsid w:val="002A4CE0"/>
    <w:rsid w:val="002A576C"/>
    <w:rsid w:val="002B05A1"/>
    <w:rsid w:val="002C18E8"/>
    <w:rsid w:val="002C1CA0"/>
    <w:rsid w:val="002C3F79"/>
    <w:rsid w:val="002C6C02"/>
    <w:rsid w:val="002D180F"/>
    <w:rsid w:val="002D256A"/>
    <w:rsid w:val="002D64E5"/>
    <w:rsid w:val="002D6C39"/>
    <w:rsid w:val="002D7D4D"/>
    <w:rsid w:val="002E554C"/>
    <w:rsid w:val="002F036C"/>
    <w:rsid w:val="002F6849"/>
    <w:rsid w:val="002F71CC"/>
    <w:rsid w:val="00302459"/>
    <w:rsid w:val="003078A9"/>
    <w:rsid w:val="0031461D"/>
    <w:rsid w:val="0031578E"/>
    <w:rsid w:val="00315B02"/>
    <w:rsid w:val="00331147"/>
    <w:rsid w:val="00331EDD"/>
    <w:rsid w:val="00333430"/>
    <w:rsid w:val="0036163C"/>
    <w:rsid w:val="00365A9E"/>
    <w:rsid w:val="00365D62"/>
    <w:rsid w:val="00371692"/>
    <w:rsid w:val="00371781"/>
    <w:rsid w:val="00372180"/>
    <w:rsid w:val="00372396"/>
    <w:rsid w:val="00375252"/>
    <w:rsid w:val="003822CD"/>
    <w:rsid w:val="00384808"/>
    <w:rsid w:val="00384CC0"/>
    <w:rsid w:val="0039405C"/>
    <w:rsid w:val="003940A3"/>
    <w:rsid w:val="00394258"/>
    <w:rsid w:val="00397DA6"/>
    <w:rsid w:val="003A1D3D"/>
    <w:rsid w:val="003A1F1E"/>
    <w:rsid w:val="003A5E39"/>
    <w:rsid w:val="003B68AD"/>
    <w:rsid w:val="003C1204"/>
    <w:rsid w:val="003C13D1"/>
    <w:rsid w:val="003C566A"/>
    <w:rsid w:val="003F1878"/>
    <w:rsid w:val="00400245"/>
    <w:rsid w:val="00401458"/>
    <w:rsid w:val="00407DCB"/>
    <w:rsid w:val="0041283D"/>
    <w:rsid w:val="00413890"/>
    <w:rsid w:val="004406B4"/>
    <w:rsid w:val="00446E8B"/>
    <w:rsid w:val="00451735"/>
    <w:rsid w:val="00461880"/>
    <w:rsid w:val="00462E8C"/>
    <w:rsid w:val="0047783B"/>
    <w:rsid w:val="004832E3"/>
    <w:rsid w:val="004855DB"/>
    <w:rsid w:val="00487C28"/>
    <w:rsid w:val="004913F8"/>
    <w:rsid w:val="004959D2"/>
    <w:rsid w:val="004A18A6"/>
    <w:rsid w:val="004A2EA1"/>
    <w:rsid w:val="004A3DBA"/>
    <w:rsid w:val="004A401E"/>
    <w:rsid w:val="004C09FA"/>
    <w:rsid w:val="004C594D"/>
    <w:rsid w:val="004D0D54"/>
    <w:rsid w:val="004D26D6"/>
    <w:rsid w:val="004D7D86"/>
    <w:rsid w:val="004E2627"/>
    <w:rsid w:val="004E31DB"/>
    <w:rsid w:val="004F20D3"/>
    <w:rsid w:val="00501C2D"/>
    <w:rsid w:val="0050634B"/>
    <w:rsid w:val="0050668A"/>
    <w:rsid w:val="00507973"/>
    <w:rsid w:val="005164F1"/>
    <w:rsid w:val="00517965"/>
    <w:rsid w:val="005268F4"/>
    <w:rsid w:val="00536D5E"/>
    <w:rsid w:val="00547996"/>
    <w:rsid w:val="005520FB"/>
    <w:rsid w:val="00555762"/>
    <w:rsid w:val="00555954"/>
    <w:rsid w:val="00557873"/>
    <w:rsid w:val="005646EB"/>
    <w:rsid w:val="005659CE"/>
    <w:rsid w:val="00567CA1"/>
    <w:rsid w:val="00570FF4"/>
    <w:rsid w:val="00577E15"/>
    <w:rsid w:val="00583691"/>
    <w:rsid w:val="00586025"/>
    <w:rsid w:val="00587C72"/>
    <w:rsid w:val="00590402"/>
    <w:rsid w:val="00592902"/>
    <w:rsid w:val="00595009"/>
    <w:rsid w:val="005A43CE"/>
    <w:rsid w:val="005A44EA"/>
    <w:rsid w:val="005A55D2"/>
    <w:rsid w:val="005A7284"/>
    <w:rsid w:val="005B25D0"/>
    <w:rsid w:val="005B6492"/>
    <w:rsid w:val="005B6777"/>
    <w:rsid w:val="005C07CA"/>
    <w:rsid w:val="005C2F6D"/>
    <w:rsid w:val="005C34B0"/>
    <w:rsid w:val="005D24F6"/>
    <w:rsid w:val="005D5CD3"/>
    <w:rsid w:val="005E25AE"/>
    <w:rsid w:val="005E6469"/>
    <w:rsid w:val="005F4A0A"/>
    <w:rsid w:val="005F50A5"/>
    <w:rsid w:val="0060408C"/>
    <w:rsid w:val="00614623"/>
    <w:rsid w:val="00622CBA"/>
    <w:rsid w:val="006231FA"/>
    <w:rsid w:val="006241F1"/>
    <w:rsid w:val="00632478"/>
    <w:rsid w:val="006420AC"/>
    <w:rsid w:val="00642258"/>
    <w:rsid w:val="00642999"/>
    <w:rsid w:val="0064571C"/>
    <w:rsid w:val="0064713C"/>
    <w:rsid w:val="0064746E"/>
    <w:rsid w:val="00647577"/>
    <w:rsid w:val="00656E47"/>
    <w:rsid w:val="0065767A"/>
    <w:rsid w:val="00666657"/>
    <w:rsid w:val="00674DD4"/>
    <w:rsid w:val="0068163E"/>
    <w:rsid w:val="0068381A"/>
    <w:rsid w:val="00687EB4"/>
    <w:rsid w:val="006936AF"/>
    <w:rsid w:val="00695EFF"/>
    <w:rsid w:val="00697D3C"/>
    <w:rsid w:val="006A1D5B"/>
    <w:rsid w:val="006A32F6"/>
    <w:rsid w:val="006A5261"/>
    <w:rsid w:val="006A654E"/>
    <w:rsid w:val="006B07DA"/>
    <w:rsid w:val="006B3D46"/>
    <w:rsid w:val="006B5D2C"/>
    <w:rsid w:val="006B7D2D"/>
    <w:rsid w:val="006C2503"/>
    <w:rsid w:val="006C3FE9"/>
    <w:rsid w:val="006C62A1"/>
    <w:rsid w:val="006C6FDF"/>
    <w:rsid w:val="006C714E"/>
    <w:rsid w:val="006C7445"/>
    <w:rsid w:val="006D07FA"/>
    <w:rsid w:val="006D1044"/>
    <w:rsid w:val="006D3A8B"/>
    <w:rsid w:val="006D4B12"/>
    <w:rsid w:val="006E0AD1"/>
    <w:rsid w:val="006E1624"/>
    <w:rsid w:val="006E4EE6"/>
    <w:rsid w:val="006E7EB5"/>
    <w:rsid w:val="00707CB0"/>
    <w:rsid w:val="007162FB"/>
    <w:rsid w:val="00724B01"/>
    <w:rsid w:val="007312A8"/>
    <w:rsid w:val="00735A39"/>
    <w:rsid w:val="00735A84"/>
    <w:rsid w:val="00736E7F"/>
    <w:rsid w:val="007375C8"/>
    <w:rsid w:val="00743AB7"/>
    <w:rsid w:val="007542C7"/>
    <w:rsid w:val="00757E52"/>
    <w:rsid w:val="007610B7"/>
    <w:rsid w:val="0076151B"/>
    <w:rsid w:val="0076170B"/>
    <w:rsid w:val="00763A69"/>
    <w:rsid w:val="00770CAC"/>
    <w:rsid w:val="00774D2F"/>
    <w:rsid w:val="007811B6"/>
    <w:rsid w:val="00783B00"/>
    <w:rsid w:val="007900DA"/>
    <w:rsid w:val="0079381F"/>
    <w:rsid w:val="00796218"/>
    <w:rsid w:val="007A5725"/>
    <w:rsid w:val="007B2397"/>
    <w:rsid w:val="007B5B74"/>
    <w:rsid w:val="007B6644"/>
    <w:rsid w:val="007C062D"/>
    <w:rsid w:val="007C6C2F"/>
    <w:rsid w:val="007D4D1C"/>
    <w:rsid w:val="007D4FC1"/>
    <w:rsid w:val="007E120F"/>
    <w:rsid w:val="007E1372"/>
    <w:rsid w:val="007F54BF"/>
    <w:rsid w:val="00802DEC"/>
    <w:rsid w:val="0080320E"/>
    <w:rsid w:val="008036E0"/>
    <w:rsid w:val="00805815"/>
    <w:rsid w:val="00810FA2"/>
    <w:rsid w:val="00820F3C"/>
    <w:rsid w:val="00822352"/>
    <w:rsid w:val="008252E5"/>
    <w:rsid w:val="00834E0D"/>
    <w:rsid w:val="008360E3"/>
    <w:rsid w:val="00852CD1"/>
    <w:rsid w:val="00853FAB"/>
    <w:rsid w:val="00856454"/>
    <w:rsid w:val="008700DF"/>
    <w:rsid w:val="008721C0"/>
    <w:rsid w:val="0087280F"/>
    <w:rsid w:val="008770CC"/>
    <w:rsid w:val="00880C04"/>
    <w:rsid w:val="00894D17"/>
    <w:rsid w:val="008953DE"/>
    <w:rsid w:val="00895778"/>
    <w:rsid w:val="008B43C0"/>
    <w:rsid w:val="008B4474"/>
    <w:rsid w:val="008C31B1"/>
    <w:rsid w:val="008C6D3B"/>
    <w:rsid w:val="008D51F0"/>
    <w:rsid w:val="008D73D7"/>
    <w:rsid w:val="008D754A"/>
    <w:rsid w:val="008F397E"/>
    <w:rsid w:val="0090090D"/>
    <w:rsid w:val="00905DC6"/>
    <w:rsid w:val="00906034"/>
    <w:rsid w:val="00913D64"/>
    <w:rsid w:val="009152E3"/>
    <w:rsid w:val="00917640"/>
    <w:rsid w:val="00921505"/>
    <w:rsid w:val="009217D4"/>
    <w:rsid w:val="00921C63"/>
    <w:rsid w:val="009227C7"/>
    <w:rsid w:val="00934EAB"/>
    <w:rsid w:val="00937B2B"/>
    <w:rsid w:val="00937D11"/>
    <w:rsid w:val="0094305D"/>
    <w:rsid w:val="009449A8"/>
    <w:rsid w:val="009449DB"/>
    <w:rsid w:val="00944CD1"/>
    <w:rsid w:val="0094678D"/>
    <w:rsid w:val="0095152B"/>
    <w:rsid w:val="00953302"/>
    <w:rsid w:val="00953F5B"/>
    <w:rsid w:val="00962F08"/>
    <w:rsid w:val="00983D9E"/>
    <w:rsid w:val="00992E60"/>
    <w:rsid w:val="009A1709"/>
    <w:rsid w:val="009A3188"/>
    <w:rsid w:val="009A63B6"/>
    <w:rsid w:val="009B0862"/>
    <w:rsid w:val="009B59B6"/>
    <w:rsid w:val="009B78B3"/>
    <w:rsid w:val="009D25D0"/>
    <w:rsid w:val="009E2D79"/>
    <w:rsid w:val="009F2A19"/>
    <w:rsid w:val="009F3E99"/>
    <w:rsid w:val="009F4FE2"/>
    <w:rsid w:val="00A00B03"/>
    <w:rsid w:val="00A01899"/>
    <w:rsid w:val="00A06B49"/>
    <w:rsid w:val="00A074D8"/>
    <w:rsid w:val="00A14FC0"/>
    <w:rsid w:val="00A15D14"/>
    <w:rsid w:val="00A17B95"/>
    <w:rsid w:val="00A254A0"/>
    <w:rsid w:val="00A31CDC"/>
    <w:rsid w:val="00A35CA8"/>
    <w:rsid w:val="00A46A97"/>
    <w:rsid w:val="00A502B5"/>
    <w:rsid w:val="00A5178F"/>
    <w:rsid w:val="00A5487B"/>
    <w:rsid w:val="00A56103"/>
    <w:rsid w:val="00A578DF"/>
    <w:rsid w:val="00A637E1"/>
    <w:rsid w:val="00A656FA"/>
    <w:rsid w:val="00A73B29"/>
    <w:rsid w:val="00A75948"/>
    <w:rsid w:val="00A7739C"/>
    <w:rsid w:val="00A94ABA"/>
    <w:rsid w:val="00A97A0F"/>
    <w:rsid w:val="00AA3D5F"/>
    <w:rsid w:val="00AA5B37"/>
    <w:rsid w:val="00AC3AE9"/>
    <w:rsid w:val="00AD0604"/>
    <w:rsid w:val="00AD5623"/>
    <w:rsid w:val="00AE1126"/>
    <w:rsid w:val="00AE45F6"/>
    <w:rsid w:val="00AF0F75"/>
    <w:rsid w:val="00AF1774"/>
    <w:rsid w:val="00AF423E"/>
    <w:rsid w:val="00B01AF4"/>
    <w:rsid w:val="00B01E7D"/>
    <w:rsid w:val="00B0365E"/>
    <w:rsid w:val="00B05AC0"/>
    <w:rsid w:val="00B1043F"/>
    <w:rsid w:val="00B20590"/>
    <w:rsid w:val="00B428C4"/>
    <w:rsid w:val="00B4317C"/>
    <w:rsid w:val="00B434C1"/>
    <w:rsid w:val="00B47719"/>
    <w:rsid w:val="00B5275E"/>
    <w:rsid w:val="00B537FF"/>
    <w:rsid w:val="00B55790"/>
    <w:rsid w:val="00B65249"/>
    <w:rsid w:val="00B66D6B"/>
    <w:rsid w:val="00B71A78"/>
    <w:rsid w:val="00B8090D"/>
    <w:rsid w:val="00B856BE"/>
    <w:rsid w:val="00B90CA9"/>
    <w:rsid w:val="00B93D7E"/>
    <w:rsid w:val="00BA001A"/>
    <w:rsid w:val="00BB1490"/>
    <w:rsid w:val="00BC385D"/>
    <w:rsid w:val="00BD6636"/>
    <w:rsid w:val="00BE0EE5"/>
    <w:rsid w:val="00BF1418"/>
    <w:rsid w:val="00BF2219"/>
    <w:rsid w:val="00BF27DA"/>
    <w:rsid w:val="00BF7388"/>
    <w:rsid w:val="00C0105C"/>
    <w:rsid w:val="00C01796"/>
    <w:rsid w:val="00C01B36"/>
    <w:rsid w:val="00C01E46"/>
    <w:rsid w:val="00C02B72"/>
    <w:rsid w:val="00C03694"/>
    <w:rsid w:val="00C04AB0"/>
    <w:rsid w:val="00C22176"/>
    <w:rsid w:val="00C33561"/>
    <w:rsid w:val="00C419BB"/>
    <w:rsid w:val="00C558EB"/>
    <w:rsid w:val="00C72007"/>
    <w:rsid w:val="00C75FE6"/>
    <w:rsid w:val="00C7630E"/>
    <w:rsid w:val="00C77057"/>
    <w:rsid w:val="00C815F5"/>
    <w:rsid w:val="00C821CA"/>
    <w:rsid w:val="00C84655"/>
    <w:rsid w:val="00C8473B"/>
    <w:rsid w:val="00C85023"/>
    <w:rsid w:val="00C94898"/>
    <w:rsid w:val="00C94A15"/>
    <w:rsid w:val="00C95D6D"/>
    <w:rsid w:val="00CA1E79"/>
    <w:rsid w:val="00CA6A25"/>
    <w:rsid w:val="00CA6E64"/>
    <w:rsid w:val="00CB0D0A"/>
    <w:rsid w:val="00CB77D5"/>
    <w:rsid w:val="00CC53AD"/>
    <w:rsid w:val="00CC672E"/>
    <w:rsid w:val="00CC7053"/>
    <w:rsid w:val="00CD07BE"/>
    <w:rsid w:val="00CD310C"/>
    <w:rsid w:val="00CD3F7C"/>
    <w:rsid w:val="00CE49BD"/>
    <w:rsid w:val="00CE4A52"/>
    <w:rsid w:val="00CF3E23"/>
    <w:rsid w:val="00D050C5"/>
    <w:rsid w:val="00D069AA"/>
    <w:rsid w:val="00D07370"/>
    <w:rsid w:val="00D12984"/>
    <w:rsid w:val="00D16A9D"/>
    <w:rsid w:val="00D16BA2"/>
    <w:rsid w:val="00D17DFB"/>
    <w:rsid w:val="00D21481"/>
    <w:rsid w:val="00D249A0"/>
    <w:rsid w:val="00D250E7"/>
    <w:rsid w:val="00D322DA"/>
    <w:rsid w:val="00D36B0C"/>
    <w:rsid w:val="00D40924"/>
    <w:rsid w:val="00D42FE6"/>
    <w:rsid w:val="00D44761"/>
    <w:rsid w:val="00D44ABE"/>
    <w:rsid w:val="00D454F1"/>
    <w:rsid w:val="00D45963"/>
    <w:rsid w:val="00D5367B"/>
    <w:rsid w:val="00D55796"/>
    <w:rsid w:val="00D55AB0"/>
    <w:rsid w:val="00D56F49"/>
    <w:rsid w:val="00D574FB"/>
    <w:rsid w:val="00D65292"/>
    <w:rsid w:val="00D66DED"/>
    <w:rsid w:val="00D71709"/>
    <w:rsid w:val="00D7376A"/>
    <w:rsid w:val="00D940AC"/>
    <w:rsid w:val="00D95922"/>
    <w:rsid w:val="00DA46C3"/>
    <w:rsid w:val="00DA560E"/>
    <w:rsid w:val="00DC6F89"/>
    <w:rsid w:val="00DC751A"/>
    <w:rsid w:val="00DD352C"/>
    <w:rsid w:val="00DD7651"/>
    <w:rsid w:val="00DE10DA"/>
    <w:rsid w:val="00DE194F"/>
    <w:rsid w:val="00DE4CC1"/>
    <w:rsid w:val="00DF1E14"/>
    <w:rsid w:val="00DF48C5"/>
    <w:rsid w:val="00DF5699"/>
    <w:rsid w:val="00DF5B83"/>
    <w:rsid w:val="00E01A9F"/>
    <w:rsid w:val="00E0536D"/>
    <w:rsid w:val="00E06CA3"/>
    <w:rsid w:val="00E1378A"/>
    <w:rsid w:val="00E201E9"/>
    <w:rsid w:val="00E41765"/>
    <w:rsid w:val="00E44AFE"/>
    <w:rsid w:val="00E467FE"/>
    <w:rsid w:val="00E5687D"/>
    <w:rsid w:val="00E572EE"/>
    <w:rsid w:val="00E61417"/>
    <w:rsid w:val="00E72913"/>
    <w:rsid w:val="00E82291"/>
    <w:rsid w:val="00E83976"/>
    <w:rsid w:val="00E861D5"/>
    <w:rsid w:val="00E87422"/>
    <w:rsid w:val="00E91AAA"/>
    <w:rsid w:val="00E94067"/>
    <w:rsid w:val="00E95CE9"/>
    <w:rsid w:val="00E977CC"/>
    <w:rsid w:val="00EA5F21"/>
    <w:rsid w:val="00EA6EC2"/>
    <w:rsid w:val="00EB1617"/>
    <w:rsid w:val="00EB7F4C"/>
    <w:rsid w:val="00EC0FAF"/>
    <w:rsid w:val="00EC2D7A"/>
    <w:rsid w:val="00EC64DD"/>
    <w:rsid w:val="00ED0CEA"/>
    <w:rsid w:val="00ED19A4"/>
    <w:rsid w:val="00EE0426"/>
    <w:rsid w:val="00EE0F84"/>
    <w:rsid w:val="00EF1D1D"/>
    <w:rsid w:val="00F00E21"/>
    <w:rsid w:val="00F02D46"/>
    <w:rsid w:val="00F0739E"/>
    <w:rsid w:val="00F10D4C"/>
    <w:rsid w:val="00F1470E"/>
    <w:rsid w:val="00F203A7"/>
    <w:rsid w:val="00F20D38"/>
    <w:rsid w:val="00F24FD9"/>
    <w:rsid w:val="00F26424"/>
    <w:rsid w:val="00F2755A"/>
    <w:rsid w:val="00F3204C"/>
    <w:rsid w:val="00F434AB"/>
    <w:rsid w:val="00F43BF3"/>
    <w:rsid w:val="00F47727"/>
    <w:rsid w:val="00F515F1"/>
    <w:rsid w:val="00F56833"/>
    <w:rsid w:val="00F6736F"/>
    <w:rsid w:val="00F73FD3"/>
    <w:rsid w:val="00F7516B"/>
    <w:rsid w:val="00F80278"/>
    <w:rsid w:val="00F812EB"/>
    <w:rsid w:val="00F82CF0"/>
    <w:rsid w:val="00F831EB"/>
    <w:rsid w:val="00F8751E"/>
    <w:rsid w:val="00F875E8"/>
    <w:rsid w:val="00F91595"/>
    <w:rsid w:val="00F95631"/>
    <w:rsid w:val="00F96D0B"/>
    <w:rsid w:val="00F97638"/>
    <w:rsid w:val="00FA217A"/>
    <w:rsid w:val="00FB5C69"/>
    <w:rsid w:val="00FB5F98"/>
    <w:rsid w:val="00FC33DE"/>
    <w:rsid w:val="00FD335A"/>
    <w:rsid w:val="00FD5D23"/>
    <w:rsid w:val="00FD652E"/>
    <w:rsid w:val="00FE7B9C"/>
    <w:rsid w:val="00FF15FB"/>
    <w:rsid w:val="00FF2B0B"/>
    <w:rsid w:val="00FF4687"/>
    <w:rsid w:val="00FF48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1539D"/>
  <w15:chartTrackingRefBased/>
  <w15:docId w15:val="{66FB39BC-39EB-428B-9309-F0BDD860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D5CD3"/>
    <w:pPr>
      <w:keepNext/>
      <w:keepLines/>
      <w:numPr>
        <w:numId w:val="3"/>
      </w:numPr>
      <w:spacing w:before="240" w:after="120"/>
      <w:ind w:left="431" w:hanging="431"/>
      <w:outlineLvl w:val="0"/>
    </w:pPr>
    <w:rPr>
      <w:rFonts w:asciiTheme="majorHAnsi" w:eastAsiaTheme="majorEastAsia" w:hAnsiTheme="majorHAnsi" w:cstheme="majorBidi"/>
      <w:color w:val="008951"/>
      <w:sz w:val="32"/>
      <w:szCs w:val="32"/>
    </w:rPr>
  </w:style>
  <w:style w:type="paragraph" w:styleId="Titre2">
    <w:name w:val="heading 2"/>
    <w:basedOn w:val="Normal"/>
    <w:next w:val="Normal"/>
    <w:link w:val="Titre2Car"/>
    <w:uiPriority w:val="9"/>
    <w:unhideWhenUsed/>
    <w:qFormat/>
    <w:rsid w:val="007811B6"/>
    <w:pPr>
      <w:keepNext/>
      <w:keepLines/>
      <w:numPr>
        <w:ilvl w:val="1"/>
        <w:numId w:val="3"/>
      </w:numPr>
      <w:spacing w:before="40" w:after="120"/>
      <w:ind w:left="578" w:hanging="578"/>
      <w:outlineLvl w:val="1"/>
    </w:pPr>
    <w:rPr>
      <w:rFonts w:asciiTheme="majorHAnsi" w:eastAsiaTheme="majorEastAsia" w:hAnsiTheme="majorHAnsi" w:cstheme="majorBidi"/>
      <w:color w:val="833C0B"/>
      <w:sz w:val="26"/>
      <w:szCs w:val="26"/>
    </w:rPr>
  </w:style>
  <w:style w:type="paragraph" w:styleId="Titre3">
    <w:name w:val="heading 3"/>
    <w:basedOn w:val="Normal"/>
    <w:next w:val="Normal"/>
    <w:link w:val="Titre3Car"/>
    <w:uiPriority w:val="9"/>
    <w:unhideWhenUsed/>
    <w:qFormat/>
    <w:rsid w:val="002A576C"/>
    <w:pPr>
      <w:keepNext/>
      <w:keepLines/>
      <w:numPr>
        <w:ilvl w:val="2"/>
        <w:numId w:val="3"/>
      </w:numPr>
      <w:spacing w:before="40" w:after="120"/>
      <w:outlineLvl w:val="2"/>
    </w:pPr>
    <w:rPr>
      <w:rFonts w:asciiTheme="majorHAnsi" w:eastAsiaTheme="majorEastAsia" w:hAnsiTheme="majorHAnsi" w:cstheme="majorBidi"/>
      <w:i/>
      <w:color w:val="833C0B"/>
      <w:sz w:val="20"/>
      <w:szCs w:val="24"/>
    </w:rPr>
  </w:style>
  <w:style w:type="paragraph" w:styleId="Titre4">
    <w:name w:val="heading 4"/>
    <w:basedOn w:val="Normal"/>
    <w:next w:val="Normal"/>
    <w:link w:val="Titre4Car"/>
    <w:uiPriority w:val="9"/>
    <w:semiHidden/>
    <w:unhideWhenUsed/>
    <w:qFormat/>
    <w:rsid w:val="0029226F"/>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9226F"/>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9226F"/>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922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922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922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A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87C28"/>
    <w:pPr>
      <w:ind w:left="720"/>
      <w:contextualSpacing/>
    </w:pPr>
  </w:style>
  <w:style w:type="character" w:customStyle="1" w:styleId="Titre1Car">
    <w:name w:val="Titre 1 Car"/>
    <w:basedOn w:val="Policepardfaut"/>
    <w:link w:val="Titre1"/>
    <w:uiPriority w:val="9"/>
    <w:rsid w:val="005D5CD3"/>
    <w:rPr>
      <w:rFonts w:asciiTheme="majorHAnsi" w:eastAsiaTheme="majorEastAsia" w:hAnsiTheme="majorHAnsi" w:cstheme="majorBidi"/>
      <w:color w:val="008951"/>
      <w:sz w:val="32"/>
      <w:szCs w:val="32"/>
    </w:rPr>
  </w:style>
  <w:style w:type="character" w:customStyle="1" w:styleId="Titre2Car">
    <w:name w:val="Titre 2 Car"/>
    <w:basedOn w:val="Policepardfaut"/>
    <w:link w:val="Titre2"/>
    <w:uiPriority w:val="9"/>
    <w:rsid w:val="007811B6"/>
    <w:rPr>
      <w:rFonts w:asciiTheme="majorHAnsi" w:eastAsiaTheme="majorEastAsia" w:hAnsiTheme="majorHAnsi" w:cstheme="majorBidi"/>
      <w:color w:val="833C0B"/>
      <w:sz w:val="26"/>
      <w:szCs w:val="26"/>
    </w:rPr>
  </w:style>
  <w:style w:type="character" w:customStyle="1" w:styleId="Titre3Car">
    <w:name w:val="Titre 3 Car"/>
    <w:basedOn w:val="Policepardfaut"/>
    <w:link w:val="Titre3"/>
    <w:uiPriority w:val="9"/>
    <w:rsid w:val="002A576C"/>
    <w:rPr>
      <w:rFonts w:asciiTheme="majorHAnsi" w:eastAsiaTheme="majorEastAsia" w:hAnsiTheme="majorHAnsi" w:cstheme="majorBidi"/>
      <w:i/>
      <w:color w:val="833C0B"/>
      <w:sz w:val="20"/>
      <w:szCs w:val="24"/>
    </w:rPr>
  </w:style>
  <w:style w:type="character" w:customStyle="1" w:styleId="Titre4Car">
    <w:name w:val="Titre 4 Car"/>
    <w:basedOn w:val="Policepardfaut"/>
    <w:link w:val="Titre4"/>
    <w:uiPriority w:val="9"/>
    <w:semiHidden/>
    <w:rsid w:val="0029226F"/>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29226F"/>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29226F"/>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29226F"/>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29226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9226F"/>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
    <w:uiPriority w:val="99"/>
    <w:unhideWhenUsed/>
    <w:rsid w:val="00674DD4"/>
    <w:pPr>
      <w:tabs>
        <w:tab w:val="center" w:pos="4536"/>
        <w:tab w:val="right" w:pos="9072"/>
      </w:tabs>
      <w:spacing w:after="0" w:line="240" w:lineRule="auto"/>
    </w:pPr>
  </w:style>
  <w:style w:type="character" w:customStyle="1" w:styleId="En-tteCar">
    <w:name w:val="En-tête Car"/>
    <w:basedOn w:val="Policepardfaut"/>
    <w:link w:val="En-tte"/>
    <w:uiPriority w:val="99"/>
    <w:rsid w:val="00674DD4"/>
  </w:style>
  <w:style w:type="paragraph" w:styleId="Pieddepage">
    <w:name w:val="footer"/>
    <w:basedOn w:val="Normal"/>
    <w:link w:val="PieddepageCar"/>
    <w:uiPriority w:val="99"/>
    <w:unhideWhenUsed/>
    <w:rsid w:val="00674D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4DD4"/>
  </w:style>
  <w:style w:type="paragraph" w:styleId="Titre">
    <w:name w:val="Title"/>
    <w:basedOn w:val="Normal"/>
    <w:next w:val="Normal"/>
    <w:link w:val="TitreCar"/>
    <w:uiPriority w:val="10"/>
    <w:qFormat/>
    <w:rsid w:val="000573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57371"/>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semiHidden/>
    <w:unhideWhenUsed/>
    <w:rsid w:val="001C0BA3"/>
    <w:rPr>
      <w:sz w:val="16"/>
      <w:szCs w:val="16"/>
    </w:rPr>
  </w:style>
  <w:style w:type="paragraph" w:styleId="Commentaire">
    <w:name w:val="annotation text"/>
    <w:basedOn w:val="Normal"/>
    <w:link w:val="CommentaireCar"/>
    <w:uiPriority w:val="99"/>
    <w:semiHidden/>
    <w:unhideWhenUsed/>
    <w:rsid w:val="001C0BA3"/>
    <w:pPr>
      <w:spacing w:line="240" w:lineRule="auto"/>
    </w:pPr>
    <w:rPr>
      <w:sz w:val="20"/>
      <w:szCs w:val="20"/>
    </w:rPr>
  </w:style>
  <w:style w:type="character" w:customStyle="1" w:styleId="CommentaireCar">
    <w:name w:val="Commentaire Car"/>
    <w:basedOn w:val="Policepardfaut"/>
    <w:link w:val="Commentaire"/>
    <w:uiPriority w:val="99"/>
    <w:semiHidden/>
    <w:rsid w:val="001C0BA3"/>
    <w:rPr>
      <w:sz w:val="20"/>
      <w:szCs w:val="20"/>
    </w:rPr>
  </w:style>
  <w:style w:type="paragraph" w:styleId="Objetducommentaire">
    <w:name w:val="annotation subject"/>
    <w:basedOn w:val="Commentaire"/>
    <w:next w:val="Commentaire"/>
    <w:link w:val="ObjetducommentaireCar"/>
    <w:uiPriority w:val="99"/>
    <w:semiHidden/>
    <w:unhideWhenUsed/>
    <w:rsid w:val="001C0BA3"/>
    <w:rPr>
      <w:b/>
      <w:bCs/>
    </w:rPr>
  </w:style>
  <w:style w:type="character" w:customStyle="1" w:styleId="ObjetducommentaireCar">
    <w:name w:val="Objet du commentaire Car"/>
    <w:basedOn w:val="CommentaireCar"/>
    <w:link w:val="Objetducommentaire"/>
    <w:uiPriority w:val="99"/>
    <w:semiHidden/>
    <w:rsid w:val="001C0BA3"/>
    <w:rPr>
      <w:b/>
      <w:bCs/>
      <w:sz w:val="20"/>
      <w:szCs w:val="20"/>
    </w:rPr>
  </w:style>
  <w:style w:type="paragraph" w:styleId="Textedebulles">
    <w:name w:val="Balloon Text"/>
    <w:basedOn w:val="Normal"/>
    <w:link w:val="TextedebullesCar"/>
    <w:uiPriority w:val="99"/>
    <w:semiHidden/>
    <w:unhideWhenUsed/>
    <w:rsid w:val="001C0B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0BA3"/>
    <w:rPr>
      <w:rFonts w:ascii="Segoe UI" w:hAnsi="Segoe UI" w:cs="Segoe UI"/>
      <w:sz w:val="18"/>
      <w:szCs w:val="18"/>
    </w:rPr>
  </w:style>
  <w:style w:type="paragraph" w:styleId="Notedebasdepage">
    <w:name w:val="footnote text"/>
    <w:basedOn w:val="Normal"/>
    <w:link w:val="NotedebasdepageCar"/>
    <w:uiPriority w:val="99"/>
    <w:semiHidden/>
    <w:unhideWhenUsed/>
    <w:rsid w:val="0013454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454D"/>
    <w:rPr>
      <w:sz w:val="20"/>
      <w:szCs w:val="20"/>
    </w:rPr>
  </w:style>
  <w:style w:type="character" w:styleId="Appelnotedebasdep">
    <w:name w:val="footnote reference"/>
    <w:basedOn w:val="Policepardfaut"/>
    <w:uiPriority w:val="99"/>
    <w:semiHidden/>
    <w:unhideWhenUsed/>
    <w:rsid w:val="0013454D"/>
    <w:rPr>
      <w:vertAlign w:val="superscript"/>
    </w:rPr>
  </w:style>
  <w:style w:type="character" w:styleId="Lienhypertexte">
    <w:name w:val="Hyperlink"/>
    <w:basedOn w:val="Policepardfaut"/>
    <w:uiPriority w:val="99"/>
    <w:unhideWhenUsed/>
    <w:rsid w:val="00C036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07942">
      <w:bodyDiv w:val="1"/>
      <w:marLeft w:val="0"/>
      <w:marRight w:val="0"/>
      <w:marTop w:val="0"/>
      <w:marBottom w:val="0"/>
      <w:divBdr>
        <w:top w:val="none" w:sz="0" w:space="0" w:color="auto"/>
        <w:left w:val="none" w:sz="0" w:space="0" w:color="auto"/>
        <w:bottom w:val="none" w:sz="0" w:space="0" w:color="auto"/>
        <w:right w:val="none" w:sz="0" w:space="0" w:color="auto"/>
      </w:divBdr>
    </w:div>
    <w:div w:id="1945379754">
      <w:bodyDiv w:val="1"/>
      <w:marLeft w:val="0"/>
      <w:marRight w:val="0"/>
      <w:marTop w:val="0"/>
      <w:marBottom w:val="0"/>
      <w:divBdr>
        <w:top w:val="none" w:sz="0" w:space="0" w:color="auto"/>
        <w:left w:val="none" w:sz="0" w:space="0" w:color="auto"/>
        <w:bottom w:val="none" w:sz="0" w:space="0" w:color="auto"/>
        <w:right w:val="none" w:sz="0" w:space="0" w:color="auto"/>
      </w:divBdr>
      <w:divsChild>
        <w:div w:id="166336386">
          <w:marLeft w:val="360"/>
          <w:marRight w:val="0"/>
          <w:marTop w:val="200"/>
          <w:marBottom w:val="0"/>
          <w:divBdr>
            <w:top w:val="none" w:sz="0" w:space="0" w:color="auto"/>
            <w:left w:val="none" w:sz="0" w:space="0" w:color="auto"/>
            <w:bottom w:val="none" w:sz="0" w:space="0" w:color="auto"/>
            <w:right w:val="none" w:sz="0" w:space="0" w:color="auto"/>
          </w:divBdr>
        </w:div>
        <w:div w:id="945428531">
          <w:marLeft w:val="360"/>
          <w:marRight w:val="0"/>
          <w:marTop w:val="200"/>
          <w:marBottom w:val="0"/>
          <w:divBdr>
            <w:top w:val="none" w:sz="0" w:space="0" w:color="auto"/>
            <w:left w:val="none" w:sz="0" w:space="0" w:color="auto"/>
            <w:bottom w:val="none" w:sz="0" w:space="0" w:color="auto"/>
            <w:right w:val="none" w:sz="0" w:space="0" w:color="auto"/>
          </w:divBdr>
        </w:div>
        <w:div w:id="1700201930">
          <w:marLeft w:val="1699"/>
          <w:marRight w:val="0"/>
          <w:marTop w:val="100"/>
          <w:marBottom w:val="0"/>
          <w:divBdr>
            <w:top w:val="none" w:sz="0" w:space="0" w:color="auto"/>
            <w:left w:val="none" w:sz="0" w:space="0" w:color="auto"/>
            <w:bottom w:val="none" w:sz="0" w:space="0" w:color="auto"/>
            <w:right w:val="none" w:sz="0" w:space="0" w:color="auto"/>
          </w:divBdr>
        </w:div>
        <w:div w:id="1214466257">
          <w:marLeft w:val="1699"/>
          <w:marRight w:val="0"/>
          <w:marTop w:val="100"/>
          <w:marBottom w:val="0"/>
          <w:divBdr>
            <w:top w:val="none" w:sz="0" w:space="0" w:color="auto"/>
            <w:left w:val="none" w:sz="0" w:space="0" w:color="auto"/>
            <w:bottom w:val="none" w:sz="0" w:space="0" w:color="auto"/>
            <w:right w:val="none" w:sz="0" w:space="0" w:color="auto"/>
          </w:divBdr>
        </w:div>
        <w:div w:id="268857662">
          <w:marLeft w:val="1699"/>
          <w:marRight w:val="0"/>
          <w:marTop w:val="100"/>
          <w:marBottom w:val="0"/>
          <w:divBdr>
            <w:top w:val="none" w:sz="0" w:space="0" w:color="auto"/>
            <w:left w:val="none" w:sz="0" w:space="0" w:color="auto"/>
            <w:bottom w:val="none" w:sz="0" w:space="0" w:color="auto"/>
            <w:right w:val="none" w:sz="0" w:space="0" w:color="auto"/>
          </w:divBdr>
        </w:div>
        <w:div w:id="898369132">
          <w:marLeft w:val="1699"/>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cile.vivien@expertisefrance.fr"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45A61-34AF-4DC7-9D04-64F5626D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1541</Words>
  <Characters>8479</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VIVIEN</dc:creator>
  <cp:keywords/>
  <dc:description/>
  <cp:lastModifiedBy>Maëlle VANDIERENDONCK</cp:lastModifiedBy>
  <cp:revision>4</cp:revision>
  <dcterms:created xsi:type="dcterms:W3CDTF">2020-12-04T15:38:00Z</dcterms:created>
  <dcterms:modified xsi:type="dcterms:W3CDTF">2020-12-17T08:34:00Z</dcterms:modified>
</cp:coreProperties>
</file>