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B6AB3" w14:textId="77777777" w:rsidR="00427C3D" w:rsidRPr="00B26BB4" w:rsidRDefault="00427C3D" w:rsidP="00427C3D">
      <w:pPr>
        <w:spacing w:after="0" w:line="240" w:lineRule="auto"/>
        <w:jc w:val="both"/>
        <w:rPr>
          <w:rFonts w:ascii="Arial" w:hAnsi="Arial" w:cs="Arial"/>
          <w:sz w:val="20"/>
          <w:szCs w:val="20"/>
        </w:rPr>
      </w:pPr>
      <w:bookmarkStart w:id="0" w:name="_GoBack"/>
      <w:bookmarkEnd w:id="0"/>
      <w:r w:rsidRPr="00B26BB4">
        <w:rPr>
          <w:rFonts w:ascii="Arial" w:hAnsi="Arial" w:cs="Arial"/>
          <w:sz w:val="20"/>
          <w:szCs w:val="20"/>
        </w:rPr>
        <w:t>ANNEX</w:t>
      </w:r>
      <w:r>
        <w:rPr>
          <w:rFonts w:ascii="Arial" w:hAnsi="Arial" w:cs="Arial"/>
          <w:sz w:val="20"/>
          <w:szCs w:val="20"/>
        </w:rPr>
        <w:t>E</w:t>
      </w:r>
      <w:r w:rsidRPr="00B26BB4">
        <w:rPr>
          <w:rFonts w:ascii="Arial" w:hAnsi="Arial" w:cs="Arial"/>
          <w:sz w:val="20"/>
          <w:szCs w:val="20"/>
        </w:rPr>
        <w:t xml:space="preserve"> 1- Matrice du Cadre logique </w:t>
      </w:r>
    </w:p>
    <w:p w14:paraId="13EF2D3A" w14:textId="497D19EF" w:rsidR="00A57DA3" w:rsidRDefault="00A57DA3" w:rsidP="003839A6">
      <w:pPr>
        <w:spacing w:after="0" w:line="240" w:lineRule="auto"/>
        <w:jc w:val="both"/>
        <w:rPr>
          <w:rFonts w:ascii="Arial" w:hAnsi="Arial" w:cs="Arial"/>
          <w:sz w:val="20"/>
          <w:szCs w:val="20"/>
        </w:rPr>
      </w:pPr>
    </w:p>
    <w:tbl>
      <w:tblPr>
        <w:tblW w:w="14617" w:type="dxa"/>
        <w:tblCellMar>
          <w:left w:w="70" w:type="dxa"/>
          <w:right w:w="70" w:type="dxa"/>
        </w:tblCellMar>
        <w:tblLook w:val="04A0" w:firstRow="1" w:lastRow="0" w:firstColumn="1" w:lastColumn="0" w:noHBand="0" w:noVBand="1"/>
      </w:tblPr>
      <w:tblGrid>
        <w:gridCol w:w="2705"/>
        <w:gridCol w:w="5365"/>
        <w:gridCol w:w="2268"/>
        <w:gridCol w:w="4279"/>
      </w:tblGrid>
      <w:tr w:rsidR="00A57DA3" w:rsidRPr="00A57DA3" w14:paraId="11556646" w14:textId="77777777" w:rsidTr="00427C3D">
        <w:trPr>
          <w:trHeight w:val="1130"/>
        </w:trPr>
        <w:tc>
          <w:tcPr>
            <w:tcW w:w="2705" w:type="dxa"/>
            <w:tcBorders>
              <w:top w:val="single" w:sz="8" w:space="0" w:color="auto"/>
              <w:left w:val="single" w:sz="8" w:space="0" w:color="auto"/>
              <w:bottom w:val="single" w:sz="8" w:space="0" w:color="auto"/>
              <w:right w:val="nil"/>
            </w:tcBorders>
            <w:shd w:val="clear" w:color="000000" w:fill="9BC2E6"/>
            <w:vAlign w:val="center"/>
            <w:hideMark/>
          </w:tcPr>
          <w:p w14:paraId="39567756"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t>Chaîne de résultats</w:t>
            </w:r>
          </w:p>
        </w:tc>
        <w:tc>
          <w:tcPr>
            <w:tcW w:w="5365" w:type="dxa"/>
            <w:tcBorders>
              <w:top w:val="single" w:sz="8" w:space="0" w:color="auto"/>
              <w:left w:val="single" w:sz="8" w:space="0" w:color="auto"/>
              <w:bottom w:val="single" w:sz="8" w:space="0" w:color="auto"/>
              <w:right w:val="nil"/>
            </w:tcBorders>
            <w:shd w:val="clear" w:color="000000" w:fill="9BC2E6"/>
            <w:vAlign w:val="center"/>
            <w:hideMark/>
          </w:tcPr>
          <w:p w14:paraId="452D01E6"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t>Indicateurs</w:t>
            </w:r>
          </w:p>
        </w:tc>
        <w:tc>
          <w:tcPr>
            <w:tcW w:w="2268" w:type="dxa"/>
            <w:tcBorders>
              <w:top w:val="single" w:sz="8" w:space="0" w:color="auto"/>
              <w:left w:val="single" w:sz="8" w:space="0" w:color="auto"/>
              <w:bottom w:val="single" w:sz="8" w:space="0" w:color="auto"/>
              <w:right w:val="nil"/>
            </w:tcBorders>
            <w:shd w:val="clear" w:color="000000" w:fill="9BC2E6"/>
            <w:vAlign w:val="center"/>
            <w:hideMark/>
          </w:tcPr>
          <w:p w14:paraId="6AAE9E5B"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t xml:space="preserve">Source(s) de vérification </w:t>
            </w:r>
          </w:p>
        </w:tc>
        <w:tc>
          <w:tcPr>
            <w:tcW w:w="4279"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119"/>
            </w:tblGrid>
            <w:tr w:rsidR="00A57DA3" w:rsidRPr="00A57DA3" w14:paraId="1B49802F" w14:textId="77777777" w:rsidTr="00427C3D">
              <w:trPr>
                <w:trHeight w:val="1130"/>
                <w:tblCellSpacing w:w="0" w:type="dxa"/>
              </w:trPr>
              <w:tc>
                <w:tcPr>
                  <w:tcW w:w="4119"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773A8692"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t>Hypothèses</w:t>
                  </w:r>
                </w:p>
              </w:tc>
            </w:tr>
          </w:tbl>
          <w:p w14:paraId="6DC74956" w14:textId="77777777" w:rsidR="00A57DA3" w:rsidRPr="00A57DA3" w:rsidRDefault="00A57DA3" w:rsidP="00A57DA3">
            <w:pPr>
              <w:spacing w:after="0" w:line="240" w:lineRule="auto"/>
              <w:rPr>
                <w:rFonts w:ascii="Calibri" w:eastAsia="Times New Roman" w:hAnsi="Calibri" w:cs="Calibri"/>
                <w:color w:val="000000"/>
                <w:lang w:eastAsia="fr-FR"/>
              </w:rPr>
            </w:pPr>
          </w:p>
        </w:tc>
      </w:tr>
      <w:tr w:rsidR="00A57DA3" w:rsidRPr="00A57DA3" w14:paraId="2919794C" w14:textId="77777777" w:rsidTr="00427C3D">
        <w:trPr>
          <w:trHeight w:val="300"/>
        </w:trPr>
        <w:tc>
          <w:tcPr>
            <w:tcW w:w="14617" w:type="dxa"/>
            <w:gridSpan w:val="4"/>
            <w:tcBorders>
              <w:top w:val="single" w:sz="8" w:space="0" w:color="auto"/>
              <w:left w:val="single" w:sz="8" w:space="0" w:color="auto"/>
              <w:bottom w:val="single" w:sz="8" w:space="0" w:color="auto"/>
              <w:right w:val="nil"/>
            </w:tcBorders>
            <w:shd w:val="clear" w:color="008080" w:fill="757171"/>
            <w:vAlign w:val="center"/>
            <w:hideMark/>
          </w:tcPr>
          <w:p w14:paraId="144152FD"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Finalité (Objectif général):</w:t>
            </w:r>
          </w:p>
        </w:tc>
      </w:tr>
      <w:tr w:rsidR="00A57DA3" w:rsidRPr="00A57DA3" w14:paraId="118FD673" w14:textId="77777777" w:rsidTr="00427C3D">
        <w:trPr>
          <w:trHeight w:val="1290"/>
        </w:trPr>
        <w:tc>
          <w:tcPr>
            <w:tcW w:w="2705" w:type="dxa"/>
            <w:tcBorders>
              <w:top w:val="nil"/>
              <w:left w:val="single" w:sz="8" w:space="0" w:color="auto"/>
              <w:bottom w:val="single" w:sz="4" w:space="0" w:color="auto"/>
              <w:right w:val="nil"/>
            </w:tcBorders>
            <w:shd w:val="clear" w:color="auto" w:fill="auto"/>
            <w:hideMark/>
          </w:tcPr>
          <w:p w14:paraId="514F13B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Contribuer au renforcement de l'autonomie des femmes et à la réduction des inégalités de genre à Madagascar, aux Comores et à Maurice. </w:t>
            </w:r>
          </w:p>
        </w:tc>
        <w:tc>
          <w:tcPr>
            <w:tcW w:w="5365" w:type="dxa"/>
            <w:tcBorders>
              <w:top w:val="single" w:sz="4" w:space="0" w:color="auto"/>
              <w:left w:val="single" w:sz="4" w:space="0" w:color="auto"/>
              <w:bottom w:val="single" w:sz="4" w:space="0" w:color="auto"/>
              <w:right w:val="single" w:sz="4" w:space="0" w:color="auto"/>
            </w:tcBorders>
            <w:shd w:val="clear" w:color="000000" w:fill="FFFFFF"/>
            <w:hideMark/>
          </w:tcPr>
          <w:p w14:paraId="61B4AC79"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OG1 : Taux d’activité des femmes dans les pays d’intervention (Madagascar, Comores, Maurice)</w:t>
            </w:r>
            <w:r w:rsidRPr="00A57DA3">
              <w:rPr>
                <w:rFonts w:ascii="Arial" w:eastAsia="Times New Roman" w:hAnsi="Arial" w:cs="Arial"/>
                <w:sz w:val="20"/>
                <w:szCs w:val="20"/>
                <w:lang w:eastAsia="fr-FR"/>
              </w:rPr>
              <w:br/>
              <w:t xml:space="preserve">OG2 : Taux de couverture des services de garde d’enfants dans les pays d’intervention </w:t>
            </w:r>
            <w:r w:rsidRPr="00A57DA3">
              <w:rPr>
                <w:rFonts w:ascii="Arial" w:eastAsia="Times New Roman" w:hAnsi="Arial" w:cs="Arial"/>
                <w:sz w:val="20"/>
                <w:szCs w:val="20"/>
                <w:lang w:eastAsia="fr-FR"/>
              </w:rPr>
              <w:br/>
              <w:t>OG3 : Écart de rémunération entre les femmes et les hommes (%) dans les entreprises publiques et privées</w:t>
            </w:r>
          </w:p>
        </w:tc>
        <w:tc>
          <w:tcPr>
            <w:tcW w:w="2268" w:type="dxa"/>
            <w:tcBorders>
              <w:top w:val="nil"/>
              <w:left w:val="nil"/>
              <w:bottom w:val="single" w:sz="4" w:space="0" w:color="auto"/>
              <w:right w:val="nil"/>
            </w:tcBorders>
            <w:shd w:val="clear" w:color="auto" w:fill="auto"/>
            <w:hideMark/>
          </w:tcPr>
          <w:p w14:paraId="6B4978FE"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w:t>
            </w:r>
          </w:p>
        </w:tc>
        <w:tc>
          <w:tcPr>
            <w:tcW w:w="4279" w:type="dxa"/>
            <w:tcBorders>
              <w:top w:val="nil"/>
              <w:left w:val="single" w:sz="8" w:space="0" w:color="auto"/>
              <w:bottom w:val="single" w:sz="8" w:space="0" w:color="auto"/>
              <w:right w:val="single" w:sz="8" w:space="0" w:color="auto"/>
            </w:tcBorders>
            <w:shd w:val="clear" w:color="auto" w:fill="auto"/>
            <w:hideMark/>
          </w:tcPr>
          <w:p w14:paraId="7CB39CB5"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Pas d'hypothèse à ce niveau</w:t>
            </w:r>
          </w:p>
        </w:tc>
      </w:tr>
      <w:tr w:rsidR="00A57DA3" w:rsidRPr="00A57DA3" w14:paraId="0C9F59CE" w14:textId="77777777" w:rsidTr="00427C3D">
        <w:trPr>
          <w:trHeight w:val="300"/>
        </w:trPr>
        <w:tc>
          <w:tcPr>
            <w:tcW w:w="14617" w:type="dxa"/>
            <w:gridSpan w:val="4"/>
            <w:tcBorders>
              <w:top w:val="single" w:sz="8" w:space="0" w:color="auto"/>
              <w:left w:val="single" w:sz="8" w:space="0" w:color="auto"/>
              <w:bottom w:val="single" w:sz="8" w:space="0" w:color="auto"/>
              <w:right w:val="nil"/>
            </w:tcBorders>
            <w:shd w:val="clear" w:color="008080" w:fill="757171"/>
            <w:hideMark/>
          </w:tcPr>
          <w:p w14:paraId="5622B5A5"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Effet(s) (Objectif(s) spécifique(s)):</w:t>
            </w:r>
          </w:p>
        </w:tc>
      </w:tr>
      <w:tr w:rsidR="00A57DA3" w:rsidRPr="00A57DA3" w14:paraId="69D3D4E4" w14:textId="77777777" w:rsidTr="00427C3D">
        <w:trPr>
          <w:trHeight w:val="510"/>
        </w:trPr>
        <w:tc>
          <w:tcPr>
            <w:tcW w:w="2705" w:type="dxa"/>
            <w:vMerge w:val="restart"/>
            <w:tcBorders>
              <w:top w:val="nil"/>
              <w:left w:val="single" w:sz="8" w:space="0" w:color="auto"/>
              <w:bottom w:val="nil"/>
              <w:right w:val="single" w:sz="8" w:space="0" w:color="auto"/>
            </w:tcBorders>
            <w:shd w:val="clear" w:color="auto" w:fill="auto"/>
            <w:hideMark/>
          </w:tcPr>
          <w:p w14:paraId="5844E5A9"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La participation des femmes au marché du travail est facilitée par les initiatives autour des gardes d'enfants ainsi que l'amélioration des conditions de travail.</w:t>
            </w:r>
          </w:p>
        </w:tc>
        <w:tc>
          <w:tcPr>
            <w:tcW w:w="5365" w:type="dxa"/>
            <w:tcBorders>
              <w:top w:val="nil"/>
              <w:left w:val="nil"/>
              <w:bottom w:val="single" w:sz="4" w:space="0" w:color="auto"/>
              <w:right w:val="nil"/>
            </w:tcBorders>
            <w:shd w:val="clear" w:color="000000" w:fill="FFFFFF"/>
            <w:hideMark/>
          </w:tcPr>
          <w:p w14:paraId="662B7C94"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Indicateur OS1: Pourcentage de femmes bénéficiaires déclarant une amélioration de leur capacité à concilier activité professionnelle et responsabilités familiales </w:t>
            </w:r>
          </w:p>
        </w:tc>
        <w:tc>
          <w:tcPr>
            <w:tcW w:w="2268" w:type="dxa"/>
            <w:vMerge w:val="restart"/>
            <w:tcBorders>
              <w:top w:val="nil"/>
              <w:left w:val="single" w:sz="8" w:space="0" w:color="auto"/>
              <w:bottom w:val="single" w:sz="8" w:space="0" w:color="auto"/>
              <w:right w:val="single" w:sz="8" w:space="0" w:color="auto"/>
            </w:tcBorders>
            <w:shd w:val="clear" w:color="auto" w:fill="auto"/>
            <w:hideMark/>
          </w:tcPr>
          <w:p w14:paraId="2D572118"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semestriels (bailleurs) de l'Equipe Lumin'Îles,</w:t>
            </w:r>
            <w:r w:rsidRPr="00A57DA3">
              <w:rPr>
                <w:rFonts w:ascii="Arial" w:eastAsia="Times New Roman" w:hAnsi="Arial" w:cs="Arial"/>
                <w:sz w:val="20"/>
                <w:szCs w:val="20"/>
                <w:lang w:eastAsia="fr-FR"/>
              </w:rPr>
              <w:br/>
              <w:t>Rapports d'évaluation externe (midi terme et final,</w:t>
            </w:r>
            <w:r w:rsidRPr="00A57DA3">
              <w:rPr>
                <w:rFonts w:ascii="Arial" w:eastAsia="Times New Roman" w:hAnsi="Arial" w:cs="Arial"/>
                <w:sz w:val="20"/>
                <w:szCs w:val="20"/>
                <w:lang w:eastAsia="fr-FR"/>
              </w:rPr>
              <w:br/>
              <w:t>Rapports des divers consultants/AT,</w:t>
            </w:r>
          </w:p>
        </w:tc>
        <w:tc>
          <w:tcPr>
            <w:tcW w:w="4279" w:type="dxa"/>
            <w:vMerge w:val="restart"/>
            <w:tcBorders>
              <w:top w:val="nil"/>
              <w:left w:val="single" w:sz="8" w:space="0" w:color="auto"/>
              <w:bottom w:val="nil"/>
              <w:right w:val="single" w:sz="8" w:space="0" w:color="auto"/>
            </w:tcBorders>
            <w:shd w:val="clear" w:color="auto" w:fill="auto"/>
            <w:hideMark/>
          </w:tcPr>
          <w:p w14:paraId="029D5BB5"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Volonté des principales parties prenantes d’accepter les changements nécessaires.</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 xml:space="preserve">Communication et coopération efficaces entre toutes les institutions concernées chargées de favoriser la mise en œuvre des politiques et pratiques de garde d'enfants . </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Volonté politique en matière de genre et économie de soins/garde d'enfants.</w:t>
            </w:r>
          </w:p>
        </w:tc>
      </w:tr>
      <w:tr w:rsidR="00A57DA3" w:rsidRPr="00A57DA3" w14:paraId="29B83650" w14:textId="77777777" w:rsidTr="00427C3D">
        <w:trPr>
          <w:trHeight w:val="1260"/>
        </w:trPr>
        <w:tc>
          <w:tcPr>
            <w:tcW w:w="2705" w:type="dxa"/>
            <w:vMerge/>
            <w:tcBorders>
              <w:top w:val="nil"/>
              <w:left w:val="single" w:sz="8" w:space="0" w:color="auto"/>
              <w:bottom w:val="nil"/>
              <w:right w:val="single" w:sz="8" w:space="0" w:color="auto"/>
            </w:tcBorders>
            <w:vAlign w:val="center"/>
            <w:hideMark/>
          </w:tcPr>
          <w:p w14:paraId="7E9B1A20"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1F4632A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OS2: Pourcentage  d’organisations ayant développé ou amélioré des initiatives dans le domaine du genre , désagrégé par pays, type d'organisations (publiques, professionnelles, société civile, etc.), type d’interventions mises en œuvre (politiques, services, pilote, etc.) et leur domaine (violence/harcèlements, protection sociale, aides et services de garde d'enfants, etc.).</w:t>
            </w:r>
          </w:p>
        </w:tc>
        <w:tc>
          <w:tcPr>
            <w:tcW w:w="2268" w:type="dxa"/>
            <w:vMerge/>
            <w:tcBorders>
              <w:top w:val="nil"/>
              <w:left w:val="single" w:sz="8" w:space="0" w:color="auto"/>
              <w:bottom w:val="single" w:sz="8" w:space="0" w:color="auto"/>
              <w:right w:val="single" w:sz="8" w:space="0" w:color="auto"/>
            </w:tcBorders>
            <w:vAlign w:val="center"/>
            <w:hideMark/>
          </w:tcPr>
          <w:p w14:paraId="6312731B"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55D6BA5C"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702420B8" w14:textId="77777777" w:rsidTr="00427C3D">
        <w:trPr>
          <w:trHeight w:val="1010"/>
        </w:trPr>
        <w:tc>
          <w:tcPr>
            <w:tcW w:w="2705" w:type="dxa"/>
            <w:vMerge/>
            <w:tcBorders>
              <w:top w:val="nil"/>
              <w:left w:val="single" w:sz="8" w:space="0" w:color="auto"/>
              <w:bottom w:val="nil"/>
              <w:right w:val="single" w:sz="8" w:space="0" w:color="auto"/>
            </w:tcBorders>
            <w:vAlign w:val="center"/>
            <w:hideMark/>
          </w:tcPr>
          <w:p w14:paraId="1B085B34"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2A9F9FF3"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Indicateur OS3: Pourcentage d’entreprises partenaires ayant mis en œuvre au moins une mesure effective en faveur de l’égalité de genre ou de la conciliation vie professionnelle / vie familiale (ex : services de garde, aménagement du temps de travail, politiques familiales). </w:t>
            </w:r>
          </w:p>
        </w:tc>
        <w:tc>
          <w:tcPr>
            <w:tcW w:w="2268" w:type="dxa"/>
            <w:vMerge/>
            <w:tcBorders>
              <w:top w:val="nil"/>
              <w:left w:val="single" w:sz="8" w:space="0" w:color="auto"/>
              <w:bottom w:val="single" w:sz="8" w:space="0" w:color="auto"/>
              <w:right w:val="single" w:sz="8" w:space="0" w:color="auto"/>
            </w:tcBorders>
            <w:vAlign w:val="center"/>
            <w:hideMark/>
          </w:tcPr>
          <w:p w14:paraId="48C800BF"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3BD18690"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00A2EA9C" w14:textId="77777777" w:rsidTr="00427C3D">
        <w:trPr>
          <w:trHeight w:val="760"/>
        </w:trPr>
        <w:tc>
          <w:tcPr>
            <w:tcW w:w="2705" w:type="dxa"/>
            <w:vMerge/>
            <w:tcBorders>
              <w:top w:val="nil"/>
              <w:left w:val="single" w:sz="8" w:space="0" w:color="auto"/>
              <w:bottom w:val="nil"/>
              <w:right w:val="single" w:sz="8" w:space="0" w:color="auto"/>
            </w:tcBorders>
            <w:vAlign w:val="center"/>
            <w:hideMark/>
          </w:tcPr>
          <w:p w14:paraId="35082DF4"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auto" w:fill="auto"/>
            <w:hideMark/>
          </w:tcPr>
          <w:p w14:paraId="15D7ADE7"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OS4: Nombre  de données publiées sur les questions liées au genre (amélioration des conditions de travail des femmes, garde d’enfants, emploi du temps, etc.) soutenues par le projet désagrégé par pays et types de données.</w:t>
            </w:r>
          </w:p>
        </w:tc>
        <w:tc>
          <w:tcPr>
            <w:tcW w:w="2268" w:type="dxa"/>
            <w:vMerge/>
            <w:tcBorders>
              <w:top w:val="nil"/>
              <w:left w:val="single" w:sz="8" w:space="0" w:color="auto"/>
              <w:bottom w:val="single" w:sz="8" w:space="0" w:color="auto"/>
              <w:right w:val="single" w:sz="8" w:space="0" w:color="auto"/>
            </w:tcBorders>
            <w:vAlign w:val="center"/>
            <w:hideMark/>
          </w:tcPr>
          <w:p w14:paraId="0E373C9B"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781CB6EF"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2F38FCD3" w14:textId="77777777" w:rsidTr="00427C3D">
        <w:trPr>
          <w:trHeight w:val="300"/>
        </w:trPr>
        <w:tc>
          <w:tcPr>
            <w:tcW w:w="14617" w:type="dxa"/>
            <w:gridSpan w:val="4"/>
            <w:tcBorders>
              <w:top w:val="single" w:sz="8" w:space="0" w:color="auto"/>
              <w:left w:val="single" w:sz="8" w:space="0" w:color="auto"/>
              <w:bottom w:val="single" w:sz="8" w:space="0" w:color="auto"/>
              <w:right w:val="nil"/>
            </w:tcBorders>
            <w:shd w:val="clear" w:color="000000" w:fill="5B9BD5"/>
            <w:hideMark/>
          </w:tcPr>
          <w:p w14:paraId="050F18D9"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lastRenderedPageBreak/>
              <w:t>Composante 1: Promouvoir les modes de garde des jeunes enfants</w:t>
            </w:r>
          </w:p>
        </w:tc>
      </w:tr>
      <w:tr w:rsidR="00A57DA3" w:rsidRPr="00A57DA3" w14:paraId="3A8CAFC9" w14:textId="77777777" w:rsidTr="00427C3D">
        <w:trPr>
          <w:trHeight w:val="300"/>
        </w:trPr>
        <w:tc>
          <w:tcPr>
            <w:tcW w:w="14617" w:type="dxa"/>
            <w:gridSpan w:val="4"/>
            <w:tcBorders>
              <w:top w:val="single" w:sz="8" w:space="0" w:color="auto"/>
              <w:left w:val="single" w:sz="8" w:space="0" w:color="auto"/>
              <w:bottom w:val="nil"/>
              <w:right w:val="nil"/>
            </w:tcBorders>
            <w:shd w:val="clear" w:color="FFFFCC" w:fill="757171"/>
            <w:hideMark/>
          </w:tcPr>
          <w:p w14:paraId="3847EE45"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1.1:</w:t>
            </w:r>
          </w:p>
        </w:tc>
      </w:tr>
      <w:tr w:rsidR="00A57DA3" w:rsidRPr="00A57DA3" w14:paraId="35DA6684" w14:textId="77777777" w:rsidTr="00427C3D">
        <w:trPr>
          <w:trHeight w:val="290"/>
        </w:trPr>
        <w:tc>
          <w:tcPr>
            <w:tcW w:w="2705" w:type="dxa"/>
            <w:vMerge w:val="restart"/>
            <w:tcBorders>
              <w:top w:val="single" w:sz="8" w:space="0" w:color="auto"/>
              <w:left w:val="single" w:sz="8" w:space="0" w:color="auto"/>
              <w:bottom w:val="nil"/>
              <w:right w:val="single" w:sz="8" w:space="0" w:color="auto"/>
            </w:tcBorders>
            <w:shd w:val="clear" w:color="auto" w:fill="auto"/>
            <w:hideMark/>
          </w:tcPr>
          <w:p w14:paraId="42408497"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Un dialogue </w:t>
            </w:r>
            <w:r w:rsidRPr="00A57DA3">
              <w:rPr>
                <w:rFonts w:ascii="Calibri" w:eastAsia="Times New Roman" w:hAnsi="Calibri" w:cs="Calibri"/>
                <w:lang w:eastAsia="fr-FR"/>
              </w:rPr>
              <w:t xml:space="preserve">autour de la question de la garde d'enfants (et tâches domestiques) au sein des communautés cibles et des partenaires est initié.  </w:t>
            </w:r>
          </w:p>
        </w:tc>
        <w:tc>
          <w:tcPr>
            <w:tcW w:w="5365" w:type="dxa"/>
            <w:vMerge w:val="restart"/>
            <w:tcBorders>
              <w:top w:val="nil"/>
              <w:left w:val="single" w:sz="8" w:space="0" w:color="auto"/>
              <w:bottom w:val="single" w:sz="4" w:space="0" w:color="000000"/>
              <w:right w:val="single" w:sz="8" w:space="0" w:color="auto"/>
            </w:tcBorders>
            <w:shd w:val="clear" w:color="000000" w:fill="FFFFFF"/>
            <w:hideMark/>
          </w:tcPr>
          <w:p w14:paraId="402B7523"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R111: Nombre d’actions de dialogue et de sensibilisation réalisées sur la garde d’enfants et les normes de genre, désagrégé par type d’acteurs ciblés et par genre (communautés, autorités, entreprises, etc.)</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E39A936"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SERA,</w:t>
            </w:r>
            <w:r w:rsidRPr="00A57DA3">
              <w:rPr>
                <w:rFonts w:ascii="Arial" w:eastAsia="Times New Roman" w:hAnsi="Arial" w:cs="Arial"/>
                <w:sz w:val="20"/>
                <w:szCs w:val="20"/>
                <w:lang w:eastAsia="fr-FR"/>
              </w:rPr>
              <w:br/>
              <w:t>Rapports d'avancement des partenaires,</w:t>
            </w:r>
            <w:r w:rsidRPr="00A57DA3">
              <w:rPr>
                <w:rFonts w:ascii="Arial" w:eastAsia="Times New Roman" w:hAnsi="Arial" w:cs="Arial"/>
                <w:sz w:val="20"/>
                <w:szCs w:val="20"/>
                <w:lang w:eastAsia="fr-FR"/>
              </w:rPr>
              <w:br/>
              <w:t>Rapports des divers consultants/AT,</w:t>
            </w:r>
            <w:r w:rsidRPr="00A57DA3">
              <w:rPr>
                <w:rFonts w:ascii="Arial" w:eastAsia="Times New Roman" w:hAnsi="Arial" w:cs="Arial"/>
                <w:sz w:val="20"/>
                <w:szCs w:val="20"/>
                <w:lang w:eastAsia="fr-FR"/>
              </w:rPr>
              <w:br/>
              <w:t>Témoignages des pères/hommes modèle,</w:t>
            </w:r>
          </w:p>
        </w:tc>
        <w:tc>
          <w:tcPr>
            <w:tcW w:w="4279" w:type="dxa"/>
            <w:vMerge w:val="restart"/>
            <w:tcBorders>
              <w:top w:val="nil"/>
              <w:left w:val="single" w:sz="8" w:space="0" w:color="auto"/>
              <w:bottom w:val="single" w:sz="8" w:space="0" w:color="000000"/>
              <w:right w:val="single" w:sz="8" w:space="0" w:color="auto"/>
            </w:tcBorders>
            <w:shd w:val="clear" w:color="auto" w:fill="auto"/>
            <w:hideMark/>
          </w:tcPr>
          <w:p w14:paraId="651D733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Couverture médiatique adéquate assurée.</w:t>
            </w:r>
          </w:p>
        </w:tc>
      </w:tr>
      <w:tr w:rsidR="00A57DA3" w:rsidRPr="00A57DA3" w14:paraId="27DBA4EE" w14:textId="77777777" w:rsidTr="00427C3D">
        <w:trPr>
          <w:trHeight w:val="290"/>
        </w:trPr>
        <w:tc>
          <w:tcPr>
            <w:tcW w:w="2705" w:type="dxa"/>
            <w:vMerge/>
            <w:tcBorders>
              <w:top w:val="single" w:sz="8" w:space="0" w:color="auto"/>
              <w:left w:val="single" w:sz="8" w:space="0" w:color="auto"/>
              <w:bottom w:val="nil"/>
              <w:right w:val="single" w:sz="8" w:space="0" w:color="auto"/>
            </w:tcBorders>
            <w:vAlign w:val="center"/>
            <w:hideMark/>
          </w:tcPr>
          <w:p w14:paraId="169BA5C1"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vMerge/>
            <w:tcBorders>
              <w:top w:val="nil"/>
              <w:left w:val="single" w:sz="8" w:space="0" w:color="auto"/>
              <w:bottom w:val="single" w:sz="4" w:space="0" w:color="000000"/>
              <w:right w:val="single" w:sz="8" w:space="0" w:color="auto"/>
            </w:tcBorders>
            <w:vAlign w:val="center"/>
            <w:hideMark/>
          </w:tcPr>
          <w:p w14:paraId="6C32A1BF"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D7404E9"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single" w:sz="8" w:space="0" w:color="000000"/>
              <w:right w:val="single" w:sz="8" w:space="0" w:color="auto"/>
            </w:tcBorders>
            <w:vAlign w:val="center"/>
            <w:hideMark/>
          </w:tcPr>
          <w:p w14:paraId="16ED4779"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3FEAAE27" w14:textId="77777777" w:rsidTr="00427C3D">
        <w:trPr>
          <w:trHeight w:val="500"/>
        </w:trPr>
        <w:tc>
          <w:tcPr>
            <w:tcW w:w="2705" w:type="dxa"/>
            <w:vMerge/>
            <w:tcBorders>
              <w:top w:val="single" w:sz="8" w:space="0" w:color="auto"/>
              <w:left w:val="single" w:sz="8" w:space="0" w:color="auto"/>
              <w:bottom w:val="nil"/>
              <w:right w:val="single" w:sz="8" w:space="0" w:color="auto"/>
            </w:tcBorders>
            <w:vAlign w:val="center"/>
            <w:hideMark/>
          </w:tcPr>
          <w:p w14:paraId="30530C3D"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7D094876"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R112:Nombre d'hommes des communautés cibles participants dans des sensibilisations de promotion d’égalité de genre et la masculinité positive.</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82DE1EF"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single" w:sz="8" w:space="0" w:color="000000"/>
              <w:right w:val="single" w:sz="8" w:space="0" w:color="auto"/>
            </w:tcBorders>
            <w:vAlign w:val="center"/>
            <w:hideMark/>
          </w:tcPr>
          <w:p w14:paraId="43416C75"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79F5319A" w14:textId="77777777" w:rsidTr="00427C3D">
        <w:trPr>
          <w:trHeight w:val="760"/>
        </w:trPr>
        <w:tc>
          <w:tcPr>
            <w:tcW w:w="2705" w:type="dxa"/>
            <w:vMerge/>
            <w:tcBorders>
              <w:top w:val="single" w:sz="8" w:space="0" w:color="auto"/>
              <w:left w:val="single" w:sz="8" w:space="0" w:color="auto"/>
              <w:bottom w:val="nil"/>
              <w:right w:val="single" w:sz="8" w:space="0" w:color="auto"/>
            </w:tcBorders>
            <w:vAlign w:val="center"/>
            <w:hideMark/>
          </w:tcPr>
          <w:p w14:paraId="2927EC5B"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nil"/>
              <w:right w:val="nil"/>
            </w:tcBorders>
            <w:shd w:val="clear" w:color="000000" w:fill="FFFFFF"/>
            <w:vAlign w:val="bottom"/>
            <w:hideMark/>
          </w:tcPr>
          <w:p w14:paraId="7BA31EE5" w14:textId="77777777" w:rsidR="00A57DA3" w:rsidRPr="00A57DA3" w:rsidRDefault="00A57DA3" w:rsidP="00A57DA3">
            <w:pPr>
              <w:spacing w:after="0" w:line="240" w:lineRule="auto"/>
              <w:rPr>
                <w:rFonts w:ascii="Arial" w:eastAsia="Times New Roman" w:hAnsi="Arial" w:cs="Arial"/>
                <w:color w:val="000000"/>
                <w:sz w:val="20"/>
                <w:szCs w:val="20"/>
                <w:lang w:eastAsia="fr-FR"/>
              </w:rPr>
            </w:pPr>
            <w:r w:rsidRPr="00A57DA3">
              <w:rPr>
                <w:rFonts w:ascii="Arial" w:eastAsia="Times New Roman" w:hAnsi="Arial" w:cs="Arial"/>
                <w:color w:val="000000"/>
                <w:sz w:val="20"/>
                <w:szCs w:val="20"/>
                <w:lang w:eastAsia="fr-FR"/>
              </w:rPr>
              <w:t>Indicateur R113 : Pourcentage de participants aux actions de sensibilisation déclarant une meilleure compréhension des enjeux liés à la garde d’enfants et à l’égalité de genre, désagrégé par genre et par pays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BE52E1A"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single" w:sz="8" w:space="0" w:color="000000"/>
              <w:right w:val="single" w:sz="8" w:space="0" w:color="auto"/>
            </w:tcBorders>
            <w:vAlign w:val="center"/>
            <w:hideMark/>
          </w:tcPr>
          <w:p w14:paraId="62267F79"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244429AE" w14:textId="77777777" w:rsidTr="00427C3D">
        <w:trPr>
          <w:trHeight w:val="300"/>
        </w:trPr>
        <w:tc>
          <w:tcPr>
            <w:tcW w:w="14617" w:type="dxa"/>
            <w:gridSpan w:val="4"/>
            <w:tcBorders>
              <w:top w:val="single" w:sz="8" w:space="0" w:color="auto"/>
              <w:left w:val="single" w:sz="8" w:space="0" w:color="auto"/>
              <w:bottom w:val="nil"/>
              <w:right w:val="nil"/>
            </w:tcBorders>
            <w:shd w:val="clear" w:color="FFFFCC" w:fill="757171"/>
            <w:hideMark/>
          </w:tcPr>
          <w:p w14:paraId="4E7CC952"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1.2:</w:t>
            </w:r>
          </w:p>
        </w:tc>
      </w:tr>
      <w:tr w:rsidR="00A57DA3" w:rsidRPr="00A57DA3" w14:paraId="725176BF" w14:textId="77777777" w:rsidTr="00427C3D">
        <w:trPr>
          <w:trHeight w:val="588"/>
        </w:trPr>
        <w:tc>
          <w:tcPr>
            <w:tcW w:w="2705" w:type="dxa"/>
            <w:vMerge w:val="restart"/>
            <w:tcBorders>
              <w:top w:val="single" w:sz="8" w:space="0" w:color="auto"/>
              <w:left w:val="single" w:sz="8" w:space="0" w:color="auto"/>
              <w:bottom w:val="nil"/>
              <w:right w:val="single" w:sz="8" w:space="0" w:color="auto"/>
            </w:tcBorders>
            <w:shd w:val="clear" w:color="auto" w:fill="auto"/>
            <w:hideMark/>
          </w:tcPr>
          <w:p w14:paraId="65FFB859"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La capacité des autorités nationales est renforcée pour intégrer le genre et la question de la garde d’enfants dans les stratégies gouvernementales.</w:t>
            </w:r>
          </w:p>
        </w:tc>
        <w:tc>
          <w:tcPr>
            <w:tcW w:w="5365" w:type="dxa"/>
            <w:tcBorders>
              <w:top w:val="nil"/>
              <w:left w:val="nil"/>
              <w:bottom w:val="single" w:sz="4" w:space="0" w:color="auto"/>
              <w:right w:val="nil"/>
            </w:tcBorders>
            <w:shd w:val="clear" w:color="auto" w:fill="auto"/>
            <w:hideMark/>
          </w:tcPr>
          <w:p w14:paraId="1E501AC1" w14:textId="52633842"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w:t>
            </w:r>
            <w:r w:rsidR="00427C3D" w:rsidRPr="00A57DA3">
              <w:rPr>
                <w:rFonts w:ascii="Arial" w:eastAsia="Times New Roman" w:hAnsi="Arial" w:cs="Arial"/>
                <w:sz w:val="20"/>
                <w:szCs w:val="20"/>
                <w:lang w:eastAsia="fr-FR"/>
              </w:rPr>
              <w:t>121 :</w:t>
            </w:r>
            <w:r w:rsidRPr="00A57DA3">
              <w:rPr>
                <w:rFonts w:ascii="Arial" w:eastAsia="Times New Roman" w:hAnsi="Arial" w:cs="Arial"/>
                <w:sz w:val="20"/>
                <w:szCs w:val="20"/>
                <w:lang w:eastAsia="fr-FR"/>
              </w:rPr>
              <w:t xml:space="preserve"> Nombre et types de professionnels formés à l’exploitation de données sexo-spécifiques, désagrégé par pays et genre.  </w:t>
            </w:r>
          </w:p>
        </w:tc>
        <w:tc>
          <w:tcPr>
            <w:tcW w:w="2268" w:type="dxa"/>
            <w:vMerge w:val="restart"/>
            <w:tcBorders>
              <w:top w:val="single" w:sz="8" w:space="0" w:color="auto"/>
              <w:left w:val="single" w:sz="8" w:space="0" w:color="auto"/>
              <w:bottom w:val="nil"/>
              <w:right w:val="single" w:sz="8" w:space="0" w:color="auto"/>
            </w:tcBorders>
            <w:shd w:val="clear" w:color="auto" w:fill="auto"/>
            <w:hideMark/>
          </w:tcPr>
          <w:p w14:paraId="021F3196"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annuels des Ministère/Département Genre,</w:t>
            </w:r>
            <w:r w:rsidRPr="00A57DA3">
              <w:rPr>
                <w:rFonts w:ascii="Arial" w:eastAsia="Times New Roman" w:hAnsi="Arial" w:cs="Arial"/>
                <w:sz w:val="20"/>
                <w:szCs w:val="20"/>
                <w:lang w:eastAsia="fr-FR"/>
              </w:rPr>
              <w:br/>
              <w:t>Rapports SERA,</w:t>
            </w:r>
            <w:r w:rsidRPr="00A57DA3">
              <w:rPr>
                <w:rFonts w:ascii="Arial" w:eastAsia="Times New Roman" w:hAnsi="Arial" w:cs="Arial"/>
                <w:sz w:val="20"/>
                <w:szCs w:val="20"/>
                <w:lang w:eastAsia="fr-FR"/>
              </w:rPr>
              <w:br/>
              <w:t>Statistiques et Analyses /rapports publiés,</w:t>
            </w:r>
            <w:r w:rsidRPr="00A57DA3">
              <w:rPr>
                <w:rFonts w:ascii="Arial" w:eastAsia="Times New Roman" w:hAnsi="Arial" w:cs="Arial"/>
                <w:sz w:val="20"/>
                <w:szCs w:val="20"/>
                <w:lang w:eastAsia="fr-FR"/>
              </w:rPr>
              <w:br/>
              <w:t>Rapports des divers consultants/AT,</w:t>
            </w:r>
          </w:p>
        </w:tc>
        <w:tc>
          <w:tcPr>
            <w:tcW w:w="4279" w:type="dxa"/>
            <w:vMerge w:val="restart"/>
            <w:tcBorders>
              <w:top w:val="single" w:sz="8" w:space="0" w:color="auto"/>
              <w:left w:val="single" w:sz="8" w:space="0" w:color="auto"/>
              <w:bottom w:val="nil"/>
              <w:right w:val="single" w:sz="8" w:space="0" w:color="auto"/>
            </w:tcBorders>
            <w:shd w:val="clear" w:color="auto" w:fill="auto"/>
            <w:hideMark/>
          </w:tcPr>
          <w:p w14:paraId="01BE084F"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Poursuite de la tendance positive à l’égalité entre les sexes dans tous les domaines de la politique nationale des 3 pays.</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Les points focaux engagés dans le projet restent en poste.</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Coopération entre la société civile, les autorités locales et les entreprises.</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Les Ministères et leurs agences sont ouverts et prêts à accepter les suggestions concernant la prise en compte des sexospécificités dans les recherches et statistiques.</w:t>
            </w:r>
          </w:p>
        </w:tc>
      </w:tr>
      <w:tr w:rsidR="00A57DA3" w:rsidRPr="00A57DA3" w14:paraId="5B023038" w14:textId="77777777" w:rsidTr="00427C3D">
        <w:trPr>
          <w:trHeight w:val="1260"/>
        </w:trPr>
        <w:tc>
          <w:tcPr>
            <w:tcW w:w="2705" w:type="dxa"/>
            <w:vMerge/>
            <w:tcBorders>
              <w:top w:val="single" w:sz="8" w:space="0" w:color="auto"/>
              <w:left w:val="single" w:sz="8" w:space="0" w:color="auto"/>
              <w:bottom w:val="nil"/>
              <w:right w:val="single" w:sz="8" w:space="0" w:color="auto"/>
            </w:tcBorders>
            <w:vAlign w:val="center"/>
            <w:hideMark/>
          </w:tcPr>
          <w:p w14:paraId="3A456921"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13DEF0FB"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R122: Nombre de professionnels des institutions publiques  bénéficiant d'une action de renforcement de capacités (niveau ministériel / infra ministériel) dans le domaine du genre, désagrégé par pays, type d'actions de renforcement (formations, mentoring, analyse organisationnelle, etc.) et domaine visé (violence, garde d'enfants, protection sociale, etc.)</w:t>
            </w:r>
          </w:p>
        </w:tc>
        <w:tc>
          <w:tcPr>
            <w:tcW w:w="2268" w:type="dxa"/>
            <w:vMerge/>
            <w:tcBorders>
              <w:top w:val="single" w:sz="8" w:space="0" w:color="auto"/>
              <w:left w:val="single" w:sz="8" w:space="0" w:color="auto"/>
              <w:bottom w:val="nil"/>
              <w:right w:val="single" w:sz="8" w:space="0" w:color="auto"/>
            </w:tcBorders>
            <w:vAlign w:val="center"/>
            <w:hideMark/>
          </w:tcPr>
          <w:p w14:paraId="6ACF866D"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single" w:sz="8" w:space="0" w:color="auto"/>
              <w:left w:val="single" w:sz="8" w:space="0" w:color="auto"/>
              <w:bottom w:val="nil"/>
              <w:right w:val="single" w:sz="8" w:space="0" w:color="auto"/>
            </w:tcBorders>
            <w:vAlign w:val="center"/>
            <w:hideMark/>
          </w:tcPr>
          <w:p w14:paraId="3664FB1C"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55907204" w14:textId="77777777" w:rsidTr="00427C3D">
        <w:trPr>
          <w:trHeight w:val="300"/>
        </w:trPr>
        <w:tc>
          <w:tcPr>
            <w:tcW w:w="2705" w:type="dxa"/>
            <w:tcBorders>
              <w:top w:val="single" w:sz="8" w:space="0" w:color="auto"/>
              <w:left w:val="single" w:sz="8" w:space="0" w:color="auto"/>
              <w:bottom w:val="single" w:sz="8" w:space="0" w:color="auto"/>
              <w:right w:val="nil"/>
            </w:tcBorders>
            <w:shd w:val="clear" w:color="FFFFCC" w:fill="757171"/>
            <w:hideMark/>
          </w:tcPr>
          <w:p w14:paraId="7E00C662"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1.3:</w:t>
            </w:r>
          </w:p>
        </w:tc>
        <w:tc>
          <w:tcPr>
            <w:tcW w:w="5365" w:type="dxa"/>
            <w:tcBorders>
              <w:top w:val="single" w:sz="8" w:space="0" w:color="auto"/>
              <w:left w:val="single" w:sz="8" w:space="0" w:color="auto"/>
              <w:bottom w:val="single" w:sz="8" w:space="0" w:color="auto"/>
              <w:right w:val="nil"/>
            </w:tcBorders>
            <w:shd w:val="clear" w:color="FFFFCC" w:fill="757171"/>
            <w:hideMark/>
          </w:tcPr>
          <w:p w14:paraId="7EC788F8"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2268" w:type="dxa"/>
            <w:tcBorders>
              <w:top w:val="nil"/>
              <w:left w:val="nil"/>
              <w:bottom w:val="single" w:sz="8" w:space="0" w:color="auto"/>
              <w:right w:val="nil"/>
            </w:tcBorders>
            <w:shd w:val="clear" w:color="FFFFCC" w:fill="757171"/>
            <w:hideMark/>
          </w:tcPr>
          <w:p w14:paraId="47DE9D89"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4279" w:type="dxa"/>
            <w:tcBorders>
              <w:top w:val="nil"/>
              <w:left w:val="nil"/>
              <w:bottom w:val="single" w:sz="8" w:space="0" w:color="auto"/>
              <w:right w:val="single" w:sz="8" w:space="0" w:color="auto"/>
            </w:tcBorders>
            <w:shd w:val="clear" w:color="FFFFCC" w:fill="757171"/>
            <w:hideMark/>
          </w:tcPr>
          <w:p w14:paraId="424E6BF5"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r>
      <w:tr w:rsidR="00A57DA3" w:rsidRPr="00A57DA3" w14:paraId="369BB443" w14:textId="77777777" w:rsidTr="00427C3D">
        <w:trPr>
          <w:trHeight w:val="510"/>
        </w:trPr>
        <w:tc>
          <w:tcPr>
            <w:tcW w:w="2705" w:type="dxa"/>
            <w:vMerge w:val="restart"/>
            <w:tcBorders>
              <w:top w:val="nil"/>
              <w:left w:val="single" w:sz="8" w:space="0" w:color="auto"/>
              <w:bottom w:val="nil"/>
              <w:right w:val="single" w:sz="8" w:space="0" w:color="auto"/>
            </w:tcBorders>
            <w:shd w:val="clear" w:color="auto" w:fill="auto"/>
            <w:hideMark/>
          </w:tcPr>
          <w:p w14:paraId="2172DF64"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Des solutions de garde selon des modalités adaptées au contexte pays et pour les femmes vulnérables également sont </w:t>
            </w:r>
            <w:r w:rsidRPr="00A57DA3">
              <w:rPr>
                <w:rFonts w:ascii="Arial" w:eastAsia="Times New Roman" w:hAnsi="Arial" w:cs="Arial"/>
                <w:sz w:val="20"/>
                <w:szCs w:val="20"/>
                <w:lang w:eastAsia="fr-FR"/>
              </w:rPr>
              <w:lastRenderedPageBreak/>
              <w:t>expérimentées dans les trois pays</w:t>
            </w:r>
          </w:p>
        </w:tc>
        <w:tc>
          <w:tcPr>
            <w:tcW w:w="5365" w:type="dxa"/>
            <w:tcBorders>
              <w:top w:val="nil"/>
              <w:left w:val="nil"/>
              <w:bottom w:val="single" w:sz="4" w:space="0" w:color="auto"/>
              <w:right w:val="nil"/>
            </w:tcBorders>
            <w:shd w:val="clear" w:color="auto" w:fill="auto"/>
            <w:hideMark/>
          </w:tcPr>
          <w:p w14:paraId="4EF0D44C"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lastRenderedPageBreak/>
              <w:t>Indicateur R131:Nombre de solutions de garde expérimentées, désagrégé par pays et type de solutions.</w:t>
            </w:r>
          </w:p>
        </w:tc>
        <w:tc>
          <w:tcPr>
            <w:tcW w:w="2268" w:type="dxa"/>
            <w:vMerge w:val="restart"/>
            <w:tcBorders>
              <w:top w:val="nil"/>
              <w:left w:val="single" w:sz="8" w:space="0" w:color="auto"/>
              <w:bottom w:val="single" w:sz="8" w:space="0" w:color="auto"/>
              <w:right w:val="single" w:sz="8" w:space="0" w:color="auto"/>
            </w:tcBorders>
            <w:shd w:val="clear" w:color="auto" w:fill="auto"/>
            <w:hideMark/>
          </w:tcPr>
          <w:p w14:paraId="080D40B4"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d'avancement des partenaires,</w:t>
            </w:r>
            <w:r w:rsidRPr="00A57DA3">
              <w:rPr>
                <w:rFonts w:ascii="Arial" w:eastAsia="Times New Roman" w:hAnsi="Arial" w:cs="Arial"/>
                <w:sz w:val="20"/>
                <w:szCs w:val="20"/>
                <w:lang w:eastAsia="fr-FR"/>
              </w:rPr>
              <w:br/>
              <w:t>Rapports SERA,</w:t>
            </w:r>
            <w:r w:rsidRPr="00A57DA3">
              <w:rPr>
                <w:rFonts w:ascii="Arial" w:eastAsia="Times New Roman" w:hAnsi="Arial" w:cs="Arial"/>
                <w:sz w:val="20"/>
                <w:szCs w:val="20"/>
                <w:lang w:eastAsia="fr-FR"/>
              </w:rPr>
              <w:br/>
              <w:t>Rapports des divers consultants/AT</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lastRenderedPageBreak/>
              <w:t>Rapport d'évaluation des expérimentations</w:t>
            </w:r>
          </w:p>
        </w:tc>
        <w:tc>
          <w:tcPr>
            <w:tcW w:w="4279" w:type="dxa"/>
            <w:vMerge w:val="restart"/>
            <w:tcBorders>
              <w:top w:val="nil"/>
              <w:left w:val="single" w:sz="8" w:space="0" w:color="auto"/>
              <w:bottom w:val="nil"/>
              <w:right w:val="single" w:sz="8" w:space="0" w:color="auto"/>
            </w:tcBorders>
            <w:shd w:val="clear" w:color="auto" w:fill="auto"/>
            <w:hideMark/>
          </w:tcPr>
          <w:p w14:paraId="7F77EBBD"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lastRenderedPageBreak/>
              <w:t>Les différents acteurs disposent de tous les moyens nécessaires pour assurer la mise en œuvre de l'action ainsi que sa pérennisation.</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lastRenderedPageBreak/>
              <w:t>Les autorités locales comprennent et soutiennent les initiatives.</w:t>
            </w:r>
          </w:p>
        </w:tc>
      </w:tr>
      <w:tr w:rsidR="00A57DA3" w:rsidRPr="00A57DA3" w14:paraId="56BFFED9" w14:textId="77777777" w:rsidTr="00427C3D">
        <w:trPr>
          <w:trHeight w:val="760"/>
        </w:trPr>
        <w:tc>
          <w:tcPr>
            <w:tcW w:w="2705" w:type="dxa"/>
            <w:vMerge/>
            <w:tcBorders>
              <w:top w:val="nil"/>
              <w:left w:val="single" w:sz="8" w:space="0" w:color="auto"/>
              <w:bottom w:val="nil"/>
              <w:right w:val="single" w:sz="8" w:space="0" w:color="auto"/>
            </w:tcBorders>
            <w:vAlign w:val="center"/>
            <w:hideMark/>
          </w:tcPr>
          <w:p w14:paraId="0E5F38E6"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761678C3"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132: Nombre de ménages bénéficiaires ayant accès à un service de garde d’enfants soutenu par le projet, désagrégation par pays et par modèle de garde</w:t>
            </w:r>
          </w:p>
        </w:tc>
        <w:tc>
          <w:tcPr>
            <w:tcW w:w="2268" w:type="dxa"/>
            <w:vMerge/>
            <w:tcBorders>
              <w:top w:val="nil"/>
              <w:left w:val="single" w:sz="8" w:space="0" w:color="auto"/>
              <w:bottom w:val="single" w:sz="8" w:space="0" w:color="auto"/>
              <w:right w:val="single" w:sz="8" w:space="0" w:color="auto"/>
            </w:tcBorders>
            <w:vAlign w:val="center"/>
            <w:hideMark/>
          </w:tcPr>
          <w:p w14:paraId="5723CD4B"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1387AB36"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27E7B24F" w14:textId="77777777" w:rsidTr="00427C3D">
        <w:trPr>
          <w:trHeight w:val="760"/>
        </w:trPr>
        <w:tc>
          <w:tcPr>
            <w:tcW w:w="2705" w:type="dxa"/>
            <w:vMerge/>
            <w:tcBorders>
              <w:top w:val="nil"/>
              <w:left w:val="single" w:sz="8" w:space="0" w:color="auto"/>
              <w:bottom w:val="nil"/>
              <w:right w:val="single" w:sz="8" w:space="0" w:color="auto"/>
            </w:tcBorders>
            <w:vAlign w:val="center"/>
            <w:hideMark/>
          </w:tcPr>
          <w:p w14:paraId="1EA0A892"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000000" w:fill="FFFFFF"/>
            <w:hideMark/>
          </w:tcPr>
          <w:p w14:paraId="146FA56F"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Indicateur R133:Pourcentage des ménages bénéficiaires déclarant être satisfait ou très satisfait des services de gardes d’enfants soutenus par le projet (désagrégé par pays, par type de ménage et par modèle de garde) </w:t>
            </w:r>
          </w:p>
        </w:tc>
        <w:tc>
          <w:tcPr>
            <w:tcW w:w="2268" w:type="dxa"/>
            <w:vMerge/>
            <w:tcBorders>
              <w:top w:val="nil"/>
              <w:left w:val="single" w:sz="8" w:space="0" w:color="auto"/>
              <w:bottom w:val="single" w:sz="8" w:space="0" w:color="auto"/>
              <w:right w:val="single" w:sz="8" w:space="0" w:color="auto"/>
            </w:tcBorders>
            <w:vAlign w:val="center"/>
            <w:hideMark/>
          </w:tcPr>
          <w:p w14:paraId="1A2A563D"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653B1D80"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4CE1E513" w14:textId="77777777" w:rsidTr="00427C3D">
        <w:trPr>
          <w:trHeight w:val="300"/>
        </w:trPr>
        <w:tc>
          <w:tcPr>
            <w:tcW w:w="14617" w:type="dxa"/>
            <w:gridSpan w:val="4"/>
            <w:tcBorders>
              <w:top w:val="single" w:sz="8" w:space="0" w:color="auto"/>
              <w:left w:val="single" w:sz="8" w:space="0" w:color="auto"/>
              <w:bottom w:val="single" w:sz="8" w:space="0" w:color="auto"/>
              <w:right w:val="nil"/>
            </w:tcBorders>
            <w:shd w:val="clear" w:color="000000" w:fill="5B9BD5"/>
            <w:hideMark/>
          </w:tcPr>
          <w:p w14:paraId="7EB04F5F"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lastRenderedPageBreak/>
              <w:t>Composante 2:Qualifier, Organiser et Formaliser le secteur de garde d'enfants</w:t>
            </w:r>
          </w:p>
        </w:tc>
      </w:tr>
      <w:tr w:rsidR="00A57DA3" w:rsidRPr="00A57DA3" w14:paraId="39DB0014" w14:textId="77777777" w:rsidTr="00427C3D">
        <w:trPr>
          <w:trHeight w:val="300"/>
        </w:trPr>
        <w:tc>
          <w:tcPr>
            <w:tcW w:w="2705" w:type="dxa"/>
            <w:tcBorders>
              <w:top w:val="nil"/>
              <w:left w:val="single" w:sz="8" w:space="0" w:color="auto"/>
              <w:bottom w:val="single" w:sz="8" w:space="0" w:color="auto"/>
              <w:right w:val="nil"/>
            </w:tcBorders>
            <w:shd w:val="clear" w:color="FFFFCC" w:fill="757171"/>
            <w:hideMark/>
          </w:tcPr>
          <w:p w14:paraId="111DE398"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2.1:</w:t>
            </w:r>
          </w:p>
        </w:tc>
        <w:tc>
          <w:tcPr>
            <w:tcW w:w="5365" w:type="dxa"/>
            <w:tcBorders>
              <w:top w:val="nil"/>
              <w:left w:val="nil"/>
              <w:bottom w:val="single" w:sz="8" w:space="0" w:color="auto"/>
              <w:right w:val="nil"/>
            </w:tcBorders>
            <w:shd w:val="clear" w:color="FFFFCC" w:fill="757171"/>
            <w:hideMark/>
          </w:tcPr>
          <w:p w14:paraId="42B101F4"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2268" w:type="dxa"/>
            <w:tcBorders>
              <w:top w:val="nil"/>
              <w:left w:val="nil"/>
              <w:bottom w:val="single" w:sz="8" w:space="0" w:color="auto"/>
              <w:right w:val="nil"/>
            </w:tcBorders>
            <w:shd w:val="clear" w:color="FFFFCC" w:fill="757171"/>
            <w:hideMark/>
          </w:tcPr>
          <w:p w14:paraId="1BA4CF46"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4279" w:type="dxa"/>
            <w:tcBorders>
              <w:top w:val="nil"/>
              <w:left w:val="nil"/>
              <w:bottom w:val="single" w:sz="8" w:space="0" w:color="auto"/>
              <w:right w:val="single" w:sz="8" w:space="0" w:color="auto"/>
            </w:tcBorders>
            <w:shd w:val="clear" w:color="FFFFCC" w:fill="757171"/>
            <w:hideMark/>
          </w:tcPr>
          <w:p w14:paraId="1CB07DE8"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r>
      <w:tr w:rsidR="00A57DA3" w:rsidRPr="00A57DA3" w14:paraId="66E1BF7F" w14:textId="77777777" w:rsidTr="00427C3D">
        <w:trPr>
          <w:trHeight w:val="1010"/>
        </w:trPr>
        <w:tc>
          <w:tcPr>
            <w:tcW w:w="2705" w:type="dxa"/>
            <w:vMerge w:val="restart"/>
            <w:tcBorders>
              <w:top w:val="nil"/>
              <w:left w:val="single" w:sz="8" w:space="0" w:color="auto"/>
              <w:bottom w:val="nil"/>
              <w:right w:val="single" w:sz="8" w:space="0" w:color="auto"/>
            </w:tcBorders>
            <w:shd w:val="clear" w:color="auto" w:fill="auto"/>
            <w:hideMark/>
          </w:tcPr>
          <w:p w14:paraId="219ECE18"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Des organisations syndicales sont outillées pour améliorer les conditions de travail et les droits (y comppris la sécurité sociale) des personnes travaillant dans le secteur de garde d’enfants.</w:t>
            </w:r>
          </w:p>
        </w:tc>
        <w:tc>
          <w:tcPr>
            <w:tcW w:w="5365" w:type="dxa"/>
            <w:tcBorders>
              <w:top w:val="nil"/>
              <w:left w:val="nil"/>
              <w:bottom w:val="single" w:sz="4" w:space="0" w:color="auto"/>
              <w:right w:val="nil"/>
            </w:tcBorders>
            <w:shd w:val="clear" w:color="auto" w:fill="auto"/>
            <w:hideMark/>
          </w:tcPr>
          <w:p w14:paraId="6455257D"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R211: Nombre d’actions de sensibilisations sur les droits à la protection sociale, ciblant particulièrement les travailleurs et travailleuses du secteur de 'garde d'enfants et travail domestique', dont l'élaboration a été soutenue, désagrégé par pays et par type d'actions.</w:t>
            </w:r>
          </w:p>
        </w:tc>
        <w:tc>
          <w:tcPr>
            <w:tcW w:w="2268" w:type="dxa"/>
            <w:vMerge w:val="restart"/>
            <w:tcBorders>
              <w:top w:val="nil"/>
              <w:left w:val="single" w:sz="8" w:space="0" w:color="auto"/>
              <w:bottom w:val="single" w:sz="8" w:space="0" w:color="auto"/>
              <w:right w:val="single" w:sz="8" w:space="0" w:color="auto"/>
            </w:tcBorders>
            <w:shd w:val="clear" w:color="auto" w:fill="auto"/>
            <w:hideMark/>
          </w:tcPr>
          <w:p w14:paraId="318C2426"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d'avancement des partenaires,</w:t>
            </w:r>
            <w:r w:rsidRPr="00A57DA3">
              <w:rPr>
                <w:rFonts w:ascii="Arial" w:eastAsia="Times New Roman" w:hAnsi="Arial" w:cs="Arial"/>
                <w:sz w:val="20"/>
                <w:szCs w:val="20"/>
                <w:lang w:eastAsia="fr-FR"/>
              </w:rPr>
              <w:br/>
              <w:t>Rapports SERA,</w:t>
            </w:r>
            <w:r w:rsidRPr="00A57DA3">
              <w:rPr>
                <w:rFonts w:ascii="Arial" w:eastAsia="Times New Roman" w:hAnsi="Arial" w:cs="Arial"/>
                <w:sz w:val="20"/>
                <w:szCs w:val="20"/>
                <w:lang w:eastAsia="fr-FR"/>
              </w:rPr>
              <w:br/>
              <w:t>Rapports de renforcement de capacités (évaluation besoins, stratégies, compétences acquises, etc.),</w:t>
            </w:r>
          </w:p>
        </w:tc>
        <w:tc>
          <w:tcPr>
            <w:tcW w:w="4279" w:type="dxa"/>
            <w:vMerge w:val="restart"/>
            <w:tcBorders>
              <w:top w:val="nil"/>
              <w:left w:val="single" w:sz="8" w:space="0" w:color="auto"/>
              <w:bottom w:val="nil"/>
              <w:right w:val="single" w:sz="8" w:space="0" w:color="auto"/>
            </w:tcBorders>
            <w:shd w:val="clear" w:color="auto" w:fill="auto"/>
            <w:hideMark/>
          </w:tcPr>
          <w:p w14:paraId="68538352"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Intérêt des syndicats 'généraux' pour œuvrer dans le cadre de l'action.</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Climat positif en faveur de la promotion du travail décent pour tous.</w:t>
            </w:r>
          </w:p>
        </w:tc>
      </w:tr>
      <w:tr w:rsidR="00A57DA3" w:rsidRPr="00A57DA3" w14:paraId="5A55C8C1" w14:textId="77777777" w:rsidTr="00427C3D">
        <w:trPr>
          <w:trHeight w:val="1260"/>
        </w:trPr>
        <w:tc>
          <w:tcPr>
            <w:tcW w:w="2705" w:type="dxa"/>
            <w:vMerge/>
            <w:tcBorders>
              <w:top w:val="nil"/>
              <w:left w:val="single" w:sz="8" w:space="0" w:color="auto"/>
              <w:bottom w:val="nil"/>
              <w:right w:val="single" w:sz="8" w:space="0" w:color="auto"/>
            </w:tcBorders>
            <w:vAlign w:val="center"/>
            <w:hideMark/>
          </w:tcPr>
          <w:p w14:paraId="7D7C5BC0"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nil"/>
            </w:tcBorders>
            <w:shd w:val="clear" w:color="auto" w:fill="auto"/>
            <w:hideMark/>
          </w:tcPr>
          <w:p w14:paraId="26D8D52E"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R212: Nombre d'actions de renforcement de capacités aux organisations syndicales partenaires, désagrégé par pays, type de renforcement et thématiques abordées.</w:t>
            </w:r>
            <w:r w:rsidRPr="00A57DA3">
              <w:rPr>
                <w:rFonts w:ascii="Arial" w:eastAsia="Times New Roman" w:hAnsi="Arial" w:cs="Arial"/>
                <w:strike/>
                <w:sz w:val="20"/>
                <w:szCs w:val="20"/>
                <w:lang w:eastAsia="fr-FR"/>
              </w:rPr>
              <w:br w:type="page"/>
            </w:r>
            <w:r w:rsidRPr="00A57DA3">
              <w:rPr>
                <w:rFonts w:ascii="Arial" w:eastAsia="Times New Roman" w:hAnsi="Arial" w:cs="Arial"/>
                <w:strike/>
                <w:sz w:val="20"/>
                <w:szCs w:val="20"/>
                <w:lang w:eastAsia="fr-FR"/>
              </w:rPr>
              <w:br w:type="page"/>
            </w:r>
          </w:p>
        </w:tc>
        <w:tc>
          <w:tcPr>
            <w:tcW w:w="2268" w:type="dxa"/>
            <w:vMerge/>
            <w:tcBorders>
              <w:top w:val="nil"/>
              <w:left w:val="single" w:sz="8" w:space="0" w:color="auto"/>
              <w:bottom w:val="single" w:sz="8" w:space="0" w:color="auto"/>
              <w:right w:val="single" w:sz="8" w:space="0" w:color="auto"/>
            </w:tcBorders>
            <w:vAlign w:val="center"/>
            <w:hideMark/>
          </w:tcPr>
          <w:p w14:paraId="67770612"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5C30E1DD"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44209D1E" w14:textId="77777777" w:rsidTr="00427C3D">
        <w:trPr>
          <w:trHeight w:val="793"/>
        </w:trPr>
        <w:tc>
          <w:tcPr>
            <w:tcW w:w="2705" w:type="dxa"/>
            <w:vMerge/>
            <w:tcBorders>
              <w:top w:val="nil"/>
              <w:left w:val="single" w:sz="8" w:space="0" w:color="auto"/>
              <w:bottom w:val="nil"/>
              <w:right w:val="single" w:sz="8" w:space="0" w:color="auto"/>
            </w:tcBorders>
            <w:vAlign w:val="center"/>
            <w:hideMark/>
          </w:tcPr>
          <w:p w14:paraId="28037C6A"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nil"/>
              <w:right w:val="nil"/>
            </w:tcBorders>
            <w:shd w:val="clear" w:color="000000" w:fill="FFFFFF"/>
            <w:vAlign w:val="bottom"/>
            <w:hideMark/>
          </w:tcPr>
          <w:p w14:paraId="28C8C25B" w14:textId="77777777" w:rsidR="00A57DA3" w:rsidRPr="00A57DA3" w:rsidRDefault="00A57DA3" w:rsidP="00A57DA3">
            <w:pPr>
              <w:spacing w:after="0" w:line="240" w:lineRule="auto"/>
              <w:rPr>
                <w:rFonts w:ascii="Arial" w:eastAsia="Times New Roman" w:hAnsi="Arial" w:cs="Arial"/>
                <w:color w:val="000000"/>
                <w:sz w:val="20"/>
                <w:szCs w:val="20"/>
                <w:lang w:eastAsia="fr-FR"/>
              </w:rPr>
            </w:pPr>
            <w:r w:rsidRPr="00A57DA3">
              <w:rPr>
                <w:rFonts w:ascii="Arial" w:eastAsia="Times New Roman" w:hAnsi="Arial" w:cs="Arial"/>
                <w:color w:val="000000"/>
                <w:sz w:val="20"/>
                <w:szCs w:val="20"/>
                <w:lang w:eastAsia="fr-FR"/>
              </w:rPr>
              <w:t>Indicateur R213 : Nombre de participants aux renforcement de capacités auprès des organisations syndicales partenaires, désagrégé par pays, par genre, par type de renforcement et thématiques abordées</w:t>
            </w:r>
          </w:p>
        </w:tc>
        <w:tc>
          <w:tcPr>
            <w:tcW w:w="2268" w:type="dxa"/>
            <w:vMerge/>
            <w:tcBorders>
              <w:top w:val="nil"/>
              <w:left w:val="single" w:sz="8" w:space="0" w:color="auto"/>
              <w:bottom w:val="single" w:sz="8" w:space="0" w:color="auto"/>
              <w:right w:val="single" w:sz="8" w:space="0" w:color="auto"/>
            </w:tcBorders>
            <w:vAlign w:val="center"/>
            <w:hideMark/>
          </w:tcPr>
          <w:p w14:paraId="38D4DA5A"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nil"/>
              <w:left w:val="single" w:sz="8" w:space="0" w:color="auto"/>
              <w:bottom w:val="nil"/>
              <w:right w:val="single" w:sz="8" w:space="0" w:color="auto"/>
            </w:tcBorders>
            <w:vAlign w:val="center"/>
            <w:hideMark/>
          </w:tcPr>
          <w:p w14:paraId="58C97880"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4E450C92" w14:textId="77777777" w:rsidTr="00427C3D">
        <w:trPr>
          <w:trHeight w:val="300"/>
        </w:trPr>
        <w:tc>
          <w:tcPr>
            <w:tcW w:w="2705" w:type="dxa"/>
            <w:tcBorders>
              <w:top w:val="single" w:sz="8" w:space="0" w:color="auto"/>
              <w:left w:val="single" w:sz="8" w:space="0" w:color="auto"/>
              <w:bottom w:val="single" w:sz="8" w:space="0" w:color="auto"/>
              <w:right w:val="nil"/>
            </w:tcBorders>
            <w:shd w:val="clear" w:color="FFFFCC" w:fill="757171"/>
            <w:hideMark/>
          </w:tcPr>
          <w:p w14:paraId="323860D7"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2.2:</w:t>
            </w:r>
          </w:p>
        </w:tc>
        <w:tc>
          <w:tcPr>
            <w:tcW w:w="5365" w:type="dxa"/>
            <w:tcBorders>
              <w:top w:val="single" w:sz="8" w:space="0" w:color="auto"/>
              <w:left w:val="nil"/>
              <w:bottom w:val="single" w:sz="8" w:space="0" w:color="auto"/>
              <w:right w:val="nil"/>
            </w:tcBorders>
            <w:shd w:val="clear" w:color="FFFFCC" w:fill="757171"/>
            <w:hideMark/>
          </w:tcPr>
          <w:p w14:paraId="37E7E2E2"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2268" w:type="dxa"/>
            <w:tcBorders>
              <w:top w:val="nil"/>
              <w:left w:val="nil"/>
              <w:bottom w:val="nil"/>
              <w:right w:val="nil"/>
            </w:tcBorders>
            <w:shd w:val="clear" w:color="FFFFCC" w:fill="757171"/>
            <w:hideMark/>
          </w:tcPr>
          <w:p w14:paraId="55F7DC94"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4279" w:type="dxa"/>
            <w:tcBorders>
              <w:top w:val="single" w:sz="8" w:space="0" w:color="auto"/>
              <w:left w:val="nil"/>
              <w:bottom w:val="nil"/>
              <w:right w:val="single" w:sz="8" w:space="0" w:color="auto"/>
            </w:tcBorders>
            <w:shd w:val="clear" w:color="FFFFCC" w:fill="757171"/>
            <w:hideMark/>
          </w:tcPr>
          <w:p w14:paraId="20D609DC"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r>
      <w:tr w:rsidR="00A57DA3" w:rsidRPr="00A57DA3" w14:paraId="153FBBDF" w14:textId="77777777" w:rsidTr="00427C3D">
        <w:trPr>
          <w:trHeight w:val="500"/>
        </w:trPr>
        <w:tc>
          <w:tcPr>
            <w:tcW w:w="2705" w:type="dxa"/>
            <w:vMerge w:val="restart"/>
            <w:tcBorders>
              <w:top w:val="nil"/>
              <w:left w:val="single" w:sz="8" w:space="0" w:color="auto"/>
              <w:bottom w:val="nil"/>
              <w:right w:val="single" w:sz="8" w:space="0" w:color="auto"/>
            </w:tcBorders>
            <w:shd w:val="clear" w:color="auto" w:fill="auto"/>
            <w:hideMark/>
          </w:tcPr>
          <w:p w14:paraId="4A001A1A" w14:textId="77777777" w:rsidR="00A57DA3" w:rsidRPr="00A57DA3" w:rsidRDefault="00A57DA3" w:rsidP="00A57DA3">
            <w:pPr>
              <w:spacing w:after="0" w:line="240" w:lineRule="auto"/>
              <w:rPr>
                <w:rFonts w:ascii="Arial" w:eastAsia="Times New Roman" w:hAnsi="Arial" w:cs="Arial"/>
                <w:lang w:eastAsia="fr-FR"/>
              </w:rPr>
            </w:pPr>
            <w:r w:rsidRPr="00A57DA3">
              <w:rPr>
                <w:rFonts w:ascii="Arial" w:eastAsia="Times New Roman" w:hAnsi="Arial" w:cs="Arial"/>
                <w:lang w:eastAsia="fr-FR"/>
              </w:rPr>
              <w:t>Des normes de qualité</w:t>
            </w:r>
            <w:r w:rsidRPr="00A57DA3">
              <w:rPr>
                <w:rFonts w:ascii="Arial" w:eastAsia="Times New Roman" w:hAnsi="Arial" w:cs="Arial"/>
                <w:sz w:val="24"/>
                <w:szCs w:val="24"/>
                <w:lang w:eastAsia="fr-FR"/>
              </w:rPr>
              <w:t>²</w:t>
            </w:r>
            <w:r w:rsidRPr="00A57DA3">
              <w:rPr>
                <w:rFonts w:ascii="Arial" w:eastAsia="Times New Roman" w:hAnsi="Arial" w:cs="Arial"/>
                <w:lang w:eastAsia="fr-FR"/>
              </w:rPr>
              <w:t xml:space="preserve"> pour le fonctionnement, les compétences et l’offre de services de garde d’enfants sont proposées pour alimenter les politiques publiques d’accueil des jeunes enfants.</w:t>
            </w:r>
          </w:p>
        </w:tc>
        <w:tc>
          <w:tcPr>
            <w:tcW w:w="5365" w:type="dxa"/>
            <w:tcBorders>
              <w:top w:val="nil"/>
              <w:left w:val="nil"/>
              <w:bottom w:val="single" w:sz="4" w:space="0" w:color="auto"/>
              <w:right w:val="nil"/>
            </w:tcBorders>
            <w:shd w:val="clear" w:color="auto" w:fill="auto"/>
            <w:hideMark/>
          </w:tcPr>
          <w:p w14:paraId="00F621D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Indicateur R221: Nombre de personnes ayant suivi une formation initiale et/ou continue en matière d'accueil des jeunes enfants , désagrégé par genre et par pays.  </w:t>
            </w:r>
          </w:p>
        </w:tc>
        <w:tc>
          <w:tcPr>
            <w:tcW w:w="2268" w:type="dxa"/>
            <w:vMerge w:val="restart"/>
            <w:tcBorders>
              <w:top w:val="nil"/>
              <w:left w:val="single" w:sz="8" w:space="0" w:color="auto"/>
              <w:bottom w:val="single" w:sz="4" w:space="0" w:color="000000"/>
              <w:right w:val="single" w:sz="8" w:space="0" w:color="auto"/>
            </w:tcBorders>
            <w:shd w:val="clear" w:color="auto" w:fill="auto"/>
            <w:hideMark/>
          </w:tcPr>
          <w:p w14:paraId="7D7D69D4"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Rapports SERA,</w:t>
            </w:r>
            <w:r w:rsidRPr="00A57DA3">
              <w:rPr>
                <w:rFonts w:ascii="Arial" w:eastAsia="Times New Roman" w:hAnsi="Arial" w:cs="Arial"/>
                <w:sz w:val="20"/>
                <w:szCs w:val="20"/>
                <w:lang w:eastAsia="fr-FR"/>
              </w:rPr>
              <w:br/>
              <w:t>Rapports de Standards normes mis à jour et publiés,</w:t>
            </w:r>
          </w:p>
        </w:tc>
        <w:tc>
          <w:tcPr>
            <w:tcW w:w="4279" w:type="dxa"/>
            <w:vMerge w:val="restart"/>
            <w:tcBorders>
              <w:top w:val="single" w:sz="8" w:space="0" w:color="auto"/>
              <w:left w:val="single" w:sz="8" w:space="0" w:color="auto"/>
              <w:bottom w:val="nil"/>
              <w:right w:val="single" w:sz="8" w:space="0" w:color="auto"/>
            </w:tcBorders>
            <w:shd w:val="clear" w:color="auto" w:fill="auto"/>
            <w:hideMark/>
          </w:tcPr>
          <w:p w14:paraId="4F51EEB7"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Les femmes ont le temps de se former ou de participer aux actions du Projet.</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Adhésion et participation des Ministères de tutelle (Genre, Garde d'enfants, etc.).</w:t>
            </w:r>
          </w:p>
        </w:tc>
      </w:tr>
      <w:tr w:rsidR="00A57DA3" w:rsidRPr="00A57DA3" w14:paraId="76FFF37A" w14:textId="77777777" w:rsidTr="00427C3D">
        <w:trPr>
          <w:trHeight w:val="500"/>
        </w:trPr>
        <w:tc>
          <w:tcPr>
            <w:tcW w:w="2705" w:type="dxa"/>
            <w:vMerge/>
            <w:tcBorders>
              <w:top w:val="nil"/>
              <w:left w:val="single" w:sz="8" w:space="0" w:color="auto"/>
              <w:bottom w:val="nil"/>
              <w:right w:val="single" w:sz="8" w:space="0" w:color="auto"/>
            </w:tcBorders>
            <w:vAlign w:val="center"/>
            <w:hideMark/>
          </w:tcPr>
          <w:p w14:paraId="4917283D" w14:textId="77777777" w:rsidR="00A57DA3" w:rsidRPr="00A57DA3" w:rsidRDefault="00A57DA3" w:rsidP="00A57DA3">
            <w:pPr>
              <w:spacing w:after="0" w:line="240" w:lineRule="auto"/>
              <w:rPr>
                <w:rFonts w:ascii="Arial" w:eastAsia="Times New Roman" w:hAnsi="Arial" w:cs="Arial"/>
                <w:lang w:eastAsia="fr-FR"/>
              </w:rPr>
            </w:pPr>
          </w:p>
        </w:tc>
        <w:tc>
          <w:tcPr>
            <w:tcW w:w="5365" w:type="dxa"/>
            <w:tcBorders>
              <w:top w:val="nil"/>
              <w:left w:val="nil"/>
              <w:bottom w:val="single" w:sz="4" w:space="0" w:color="auto"/>
              <w:right w:val="nil"/>
            </w:tcBorders>
            <w:shd w:val="clear" w:color="000000" w:fill="FFFFFF"/>
            <w:hideMark/>
          </w:tcPr>
          <w:p w14:paraId="186F77E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R222:  Nombre de référentiels, standards ou normes de qualité pour les services de garde d’enfants développés et validés avec l’appui du projet</w:t>
            </w:r>
          </w:p>
        </w:tc>
        <w:tc>
          <w:tcPr>
            <w:tcW w:w="2268" w:type="dxa"/>
            <w:vMerge/>
            <w:tcBorders>
              <w:top w:val="nil"/>
              <w:left w:val="single" w:sz="8" w:space="0" w:color="auto"/>
              <w:bottom w:val="single" w:sz="4" w:space="0" w:color="000000"/>
              <w:right w:val="single" w:sz="8" w:space="0" w:color="auto"/>
            </w:tcBorders>
            <w:vAlign w:val="center"/>
            <w:hideMark/>
          </w:tcPr>
          <w:p w14:paraId="075817FD"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4279" w:type="dxa"/>
            <w:vMerge/>
            <w:tcBorders>
              <w:top w:val="single" w:sz="8" w:space="0" w:color="auto"/>
              <w:left w:val="single" w:sz="8" w:space="0" w:color="auto"/>
              <w:bottom w:val="nil"/>
              <w:right w:val="single" w:sz="8" w:space="0" w:color="auto"/>
            </w:tcBorders>
            <w:vAlign w:val="center"/>
            <w:hideMark/>
          </w:tcPr>
          <w:p w14:paraId="599CFF6E" w14:textId="77777777" w:rsidR="00A57DA3" w:rsidRPr="00A57DA3" w:rsidRDefault="00A57DA3" w:rsidP="00A57DA3">
            <w:pPr>
              <w:spacing w:after="0" w:line="240" w:lineRule="auto"/>
              <w:rPr>
                <w:rFonts w:ascii="Arial" w:eastAsia="Times New Roman" w:hAnsi="Arial" w:cs="Arial"/>
                <w:sz w:val="20"/>
                <w:szCs w:val="20"/>
                <w:lang w:eastAsia="fr-FR"/>
              </w:rPr>
            </w:pPr>
          </w:p>
        </w:tc>
      </w:tr>
      <w:tr w:rsidR="00A57DA3" w:rsidRPr="00A57DA3" w14:paraId="1A5198A3" w14:textId="77777777" w:rsidTr="00427C3D">
        <w:trPr>
          <w:trHeight w:val="510"/>
        </w:trPr>
        <w:tc>
          <w:tcPr>
            <w:tcW w:w="2705" w:type="dxa"/>
            <w:vMerge/>
            <w:tcBorders>
              <w:top w:val="nil"/>
              <w:left w:val="single" w:sz="8" w:space="0" w:color="auto"/>
              <w:bottom w:val="nil"/>
              <w:right w:val="single" w:sz="8" w:space="0" w:color="auto"/>
            </w:tcBorders>
            <w:vAlign w:val="center"/>
            <w:hideMark/>
          </w:tcPr>
          <w:p w14:paraId="542C8B53" w14:textId="77777777" w:rsidR="00A57DA3" w:rsidRPr="00A57DA3" w:rsidRDefault="00A57DA3" w:rsidP="00A57DA3">
            <w:pPr>
              <w:spacing w:after="0" w:line="240" w:lineRule="auto"/>
              <w:rPr>
                <w:rFonts w:ascii="Arial" w:eastAsia="Times New Roman" w:hAnsi="Arial" w:cs="Arial"/>
                <w:lang w:eastAsia="fr-FR"/>
              </w:rPr>
            </w:pPr>
          </w:p>
        </w:tc>
        <w:tc>
          <w:tcPr>
            <w:tcW w:w="5365" w:type="dxa"/>
            <w:tcBorders>
              <w:top w:val="nil"/>
              <w:left w:val="nil"/>
              <w:bottom w:val="single" w:sz="4" w:space="0" w:color="auto"/>
              <w:right w:val="nil"/>
            </w:tcBorders>
            <w:shd w:val="clear" w:color="000000" w:fill="FFFFFF"/>
            <w:hideMark/>
          </w:tcPr>
          <w:p w14:paraId="4BE9E0AB"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Indicateur R223: Nombre d’actions de diffusion et d’appropriation des normes et référentiels de qualité auprès des acteurs du secteur de la garde d’enfants</w:t>
            </w:r>
          </w:p>
        </w:tc>
        <w:tc>
          <w:tcPr>
            <w:tcW w:w="2268" w:type="dxa"/>
            <w:tcBorders>
              <w:top w:val="nil"/>
              <w:left w:val="single" w:sz="8" w:space="0" w:color="auto"/>
              <w:bottom w:val="single" w:sz="4" w:space="0" w:color="auto"/>
              <w:right w:val="single" w:sz="4" w:space="0" w:color="auto"/>
            </w:tcBorders>
            <w:shd w:val="clear" w:color="auto" w:fill="auto"/>
            <w:hideMark/>
          </w:tcPr>
          <w:p w14:paraId="665CE114"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w:t>
            </w:r>
          </w:p>
        </w:tc>
        <w:tc>
          <w:tcPr>
            <w:tcW w:w="4279" w:type="dxa"/>
            <w:tcBorders>
              <w:top w:val="nil"/>
              <w:left w:val="single" w:sz="8" w:space="0" w:color="auto"/>
              <w:bottom w:val="single" w:sz="4" w:space="0" w:color="auto"/>
              <w:right w:val="single" w:sz="8" w:space="0" w:color="auto"/>
            </w:tcBorders>
            <w:shd w:val="clear" w:color="auto" w:fill="auto"/>
            <w:hideMark/>
          </w:tcPr>
          <w:p w14:paraId="143397C2"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w:t>
            </w:r>
          </w:p>
        </w:tc>
      </w:tr>
      <w:tr w:rsidR="00A57DA3" w:rsidRPr="00A57DA3" w14:paraId="4D442696" w14:textId="77777777" w:rsidTr="00427C3D">
        <w:trPr>
          <w:trHeight w:val="288"/>
        </w:trPr>
        <w:tc>
          <w:tcPr>
            <w:tcW w:w="14617" w:type="dxa"/>
            <w:gridSpan w:val="4"/>
            <w:tcBorders>
              <w:top w:val="single" w:sz="8" w:space="0" w:color="auto"/>
              <w:left w:val="single" w:sz="8" w:space="0" w:color="auto"/>
              <w:bottom w:val="single" w:sz="8" w:space="0" w:color="auto"/>
              <w:right w:val="nil"/>
            </w:tcBorders>
            <w:shd w:val="clear" w:color="000000" w:fill="5B9BD5"/>
            <w:hideMark/>
          </w:tcPr>
          <w:p w14:paraId="475970AB" w14:textId="77777777" w:rsidR="00A57DA3" w:rsidRPr="00A57DA3" w:rsidRDefault="00A57DA3" w:rsidP="00A57DA3">
            <w:pPr>
              <w:spacing w:after="0" w:line="240" w:lineRule="auto"/>
              <w:jc w:val="center"/>
              <w:rPr>
                <w:rFonts w:ascii="Arial" w:eastAsia="Times New Roman" w:hAnsi="Arial" w:cs="Arial"/>
                <w:lang w:eastAsia="fr-FR"/>
              </w:rPr>
            </w:pPr>
            <w:r w:rsidRPr="00A57DA3">
              <w:rPr>
                <w:rFonts w:ascii="Arial" w:eastAsia="Times New Roman" w:hAnsi="Arial" w:cs="Arial"/>
                <w:lang w:eastAsia="fr-FR"/>
              </w:rPr>
              <w:t>Composante 3:  Mobilisation des entreprises  dans l’amélioration des conditions de travail des femmes</w:t>
            </w:r>
          </w:p>
        </w:tc>
      </w:tr>
      <w:tr w:rsidR="00A57DA3" w:rsidRPr="00A57DA3" w14:paraId="3581B2F5" w14:textId="77777777" w:rsidTr="00427C3D">
        <w:trPr>
          <w:trHeight w:val="290"/>
        </w:trPr>
        <w:tc>
          <w:tcPr>
            <w:tcW w:w="2705" w:type="dxa"/>
            <w:tcBorders>
              <w:top w:val="nil"/>
              <w:left w:val="single" w:sz="8" w:space="0" w:color="auto"/>
              <w:bottom w:val="nil"/>
              <w:right w:val="nil"/>
            </w:tcBorders>
            <w:shd w:val="clear" w:color="FFFFCC" w:fill="757171"/>
            <w:hideMark/>
          </w:tcPr>
          <w:p w14:paraId="4A8939DC"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Réalisation (produit) 3.1:</w:t>
            </w:r>
          </w:p>
        </w:tc>
        <w:tc>
          <w:tcPr>
            <w:tcW w:w="5365" w:type="dxa"/>
            <w:tcBorders>
              <w:top w:val="nil"/>
              <w:left w:val="nil"/>
              <w:bottom w:val="nil"/>
              <w:right w:val="nil"/>
            </w:tcBorders>
            <w:shd w:val="clear" w:color="FFFFCC" w:fill="757171"/>
            <w:hideMark/>
          </w:tcPr>
          <w:p w14:paraId="0D7D7FF2"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2268" w:type="dxa"/>
            <w:tcBorders>
              <w:top w:val="nil"/>
              <w:left w:val="nil"/>
              <w:bottom w:val="nil"/>
              <w:right w:val="nil"/>
            </w:tcBorders>
            <w:shd w:val="clear" w:color="FFFFCC" w:fill="757171"/>
            <w:hideMark/>
          </w:tcPr>
          <w:p w14:paraId="22A22448"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c>
          <w:tcPr>
            <w:tcW w:w="4279" w:type="dxa"/>
            <w:tcBorders>
              <w:top w:val="nil"/>
              <w:left w:val="nil"/>
              <w:bottom w:val="nil"/>
              <w:right w:val="single" w:sz="8" w:space="0" w:color="auto"/>
            </w:tcBorders>
            <w:shd w:val="clear" w:color="FFFFCC" w:fill="757171"/>
            <w:hideMark/>
          </w:tcPr>
          <w:p w14:paraId="4156AEEE" w14:textId="77777777" w:rsidR="00A57DA3" w:rsidRPr="00A57DA3" w:rsidRDefault="00A57DA3" w:rsidP="00A57DA3">
            <w:pPr>
              <w:spacing w:after="0" w:line="240" w:lineRule="auto"/>
              <w:rPr>
                <w:rFonts w:ascii="Arial" w:eastAsia="Times New Roman" w:hAnsi="Arial" w:cs="Arial"/>
                <w:sz w:val="18"/>
                <w:szCs w:val="18"/>
                <w:lang w:eastAsia="fr-FR"/>
              </w:rPr>
            </w:pPr>
            <w:r w:rsidRPr="00A57DA3">
              <w:rPr>
                <w:rFonts w:ascii="Arial" w:eastAsia="Times New Roman" w:hAnsi="Arial" w:cs="Arial"/>
                <w:sz w:val="18"/>
                <w:szCs w:val="18"/>
                <w:lang w:eastAsia="fr-FR"/>
              </w:rPr>
              <w:t> </w:t>
            </w:r>
          </w:p>
        </w:tc>
      </w:tr>
      <w:tr w:rsidR="00A57DA3" w:rsidRPr="00A57DA3" w14:paraId="21765D76" w14:textId="77777777" w:rsidTr="00427C3D">
        <w:trPr>
          <w:trHeight w:val="1250"/>
        </w:trPr>
        <w:tc>
          <w:tcPr>
            <w:tcW w:w="27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B3A51"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lastRenderedPageBreak/>
              <w:t xml:space="preserve">Les actions des entreprises en vue d’améliorer les conditions de travail des femmes (y compris des politiques favorables à la garde d'enfants, aux politiques familiales et à la prévention et prise en charge des violences basées sur le genre) sont en augmentation. </w:t>
            </w:r>
          </w:p>
        </w:tc>
        <w:tc>
          <w:tcPr>
            <w:tcW w:w="5365" w:type="dxa"/>
            <w:tcBorders>
              <w:top w:val="single" w:sz="4" w:space="0" w:color="auto"/>
              <w:left w:val="nil"/>
              <w:bottom w:val="single" w:sz="4" w:space="0" w:color="auto"/>
              <w:right w:val="single" w:sz="4" w:space="0" w:color="auto"/>
            </w:tcBorders>
            <w:shd w:val="clear" w:color="000000" w:fill="FFFFFF"/>
            <w:hideMark/>
          </w:tcPr>
          <w:p w14:paraId="68B9230B"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Indicateur R311: Nombre d’entreprises ayant élaboré et adopté un plan d’action genre (y compris VBG, harcèlement en entreprises, etc.) avec l’appui du projet, désagrégé par type d’entreprise et par pays. </w:t>
            </w:r>
          </w:p>
        </w:tc>
        <w:tc>
          <w:tcPr>
            <w:tcW w:w="2268" w:type="dxa"/>
            <w:tcBorders>
              <w:top w:val="single" w:sz="4" w:space="0" w:color="auto"/>
              <w:left w:val="nil"/>
              <w:bottom w:val="single" w:sz="4" w:space="0" w:color="auto"/>
              <w:right w:val="single" w:sz="4" w:space="0" w:color="auto"/>
            </w:tcBorders>
            <w:shd w:val="clear" w:color="auto" w:fill="auto"/>
            <w:hideMark/>
          </w:tcPr>
          <w:p w14:paraId="2182533C"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Rapport RSE /RH entreprises,</w:t>
            </w:r>
            <w:r w:rsidRPr="00A57DA3">
              <w:rPr>
                <w:rFonts w:ascii="Arial" w:eastAsia="Times New Roman" w:hAnsi="Arial" w:cs="Arial"/>
                <w:sz w:val="20"/>
                <w:szCs w:val="20"/>
                <w:lang w:eastAsia="fr-FR"/>
              </w:rPr>
              <w:br/>
              <w:t>Rapports SERA,</w:t>
            </w:r>
            <w:r w:rsidRPr="00A57DA3">
              <w:rPr>
                <w:rFonts w:ascii="Arial" w:eastAsia="Times New Roman" w:hAnsi="Arial" w:cs="Arial"/>
                <w:sz w:val="20"/>
                <w:szCs w:val="20"/>
                <w:lang w:eastAsia="fr-FR"/>
              </w:rPr>
              <w:br/>
              <w:t>Rapports d'enquêtes,</w:t>
            </w:r>
            <w:r w:rsidRPr="00A57DA3">
              <w:rPr>
                <w:rFonts w:ascii="Arial" w:eastAsia="Times New Roman" w:hAnsi="Arial" w:cs="Arial"/>
                <w:sz w:val="20"/>
                <w:szCs w:val="20"/>
                <w:lang w:eastAsia="fr-FR"/>
              </w:rPr>
              <w:br/>
              <w:t>Rapports sur bonnes pratiques,</w:t>
            </w:r>
          </w:p>
        </w:tc>
        <w:tc>
          <w:tcPr>
            <w:tcW w:w="4279" w:type="dxa"/>
            <w:tcBorders>
              <w:top w:val="single" w:sz="4" w:space="0" w:color="auto"/>
              <w:left w:val="nil"/>
              <w:bottom w:val="single" w:sz="4" w:space="0" w:color="auto"/>
              <w:right w:val="single" w:sz="4" w:space="0" w:color="auto"/>
            </w:tcBorders>
            <w:shd w:val="clear" w:color="auto" w:fill="auto"/>
            <w:hideMark/>
          </w:tcPr>
          <w:p w14:paraId="1FBFF067"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xml:space="preserve">Bonnes pratiques disponibles et applicables pour être partagées et reproduites par d'autres. </w:t>
            </w:r>
            <w:r w:rsidRPr="00A57DA3">
              <w:rPr>
                <w:rFonts w:ascii="Arial" w:eastAsia="Times New Roman" w:hAnsi="Arial" w:cs="Arial"/>
                <w:sz w:val="20"/>
                <w:szCs w:val="20"/>
                <w:lang w:eastAsia="fr-FR"/>
              </w:rPr>
              <w:br/>
            </w:r>
            <w:r w:rsidRPr="00A57DA3">
              <w:rPr>
                <w:rFonts w:ascii="Arial" w:eastAsia="Times New Roman" w:hAnsi="Arial" w:cs="Arial"/>
                <w:sz w:val="20"/>
                <w:szCs w:val="20"/>
                <w:lang w:eastAsia="fr-FR"/>
              </w:rPr>
              <w:br/>
              <w:t>Les entreprises sont prêtes à coopérer sur le sujet genre/garde d'enfants et à financer leurs actions.</w:t>
            </w:r>
          </w:p>
        </w:tc>
      </w:tr>
      <w:tr w:rsidR="00A57DA3" w:rsidRPr="00A57DA3" w14:paraId="19BFB8D2" w14:textId="77777777" w:rsidTr="00427C3D">
        <w:trPr>
          <w:trHeight w:val="1000"/>
        </w:trPr>
        <w:tc>
          <w:tcPr>
            <w:tcW w:w="2705" w:type="dxa"/>
            <w:vMerge/>
            <w:tcBorders>
              <w:top w:val="single" w:sz="4" w:space="0" w:color="auto"/>
              <w:left w:val="single" w:sz="4" w:space="0" w:color="auto"/>
              <w:bottom w:val="single" w:sz="4" w:space="0" w:color="auto"/>
              <w:right w:val="single" w:sz="4" w:space="0" w:color="auto"/>
            </w:tcBorders>
            <w:vAlign w:val="center"/>
            <w:hideMark/>
          </w:tcPr>
          <w:p w14:paraId="54EC3AA1" w14:textId="77777777" w:rsidR="00A57DA3" w:rsidRPr="00A57DA3" w:rsidRDefault="00A57DA3" w:rsidP="00A57DA3">
            <w:pPr>
              <w:spacing w:after="0" w:line="240" w:lineRule="auto"/>
              <w:rPr>
                <w:rFonts w:ascii="Arial" w:eastAsia="Times New Roman" w:hAnsi="Arial" w:cs="Arial"/>
                <w:sz w:val="20"/>
                <w:szCs w:val="20"/>
                <w:lang w:eastAsia="fr-FR"/>
              </w:rPr>
            </w:pPr>
          </w:p>
        </w:tc>
        <w:tc>
          <w:tcPr>
            <w:tcW w:w="5365" w:type="dxa"/>
            <w:tcBorders>
              <w:top w:val="nil"/>
              <w:left w:val="nil"/>
              <w:bottom w:val="single" w:sz="4" w:space="0" w:color="auto"/>
              <w:right w:val="single" w:sz="4" w:space="0" w:color="auto"/>
            </w:tcBorders>
            <w:shd w:val="clear" w:color="000000" w:fill="FFFFFF"/>
            <w:vAlign w:val="center"/>
            <w:hideMark/>
          </w:tcPr>
          <w:p w14:paraId="05920643" w14:textId="77777777" w:rsidR="00A57DA3" w:rsidRPr="00A57DA3" w:rsidRDefault="00A57DA3" w:rsidP="00A57DA3">
            <w:pPr>
              <w:spacing w:after="0" w:line="240" w:lineRule="auto"/>
              <w:rPr>
                <w:rFonts w:ascii="Arial" w:eastAsia="Times New Roman" w:hAnsi="Arial" w:cs="Arial"/>
                <w:color w:val="000000"/>
                <w:sz w:val="20"/>
                <w:szCs w:val="20"/>
                <w:lang w:eastAsia="fr-FR"/>
              </w:rPr>
            </w:pPr>
            <w:r w:rsidRPr="00A57DA3">
              <w:rPr>
                <w:rFonts w:ascii="Arial" w:eastAsia="Times New Roman" w:hAnsi="Arial" w:cs="Arial"/>
                <w:color w:val="000000"/>
                <w:sz w:val="20"/>
                <w:szCs w:val="20"/>
                <w:lang w:eastAsia="fr-FR"/>
              </w:rPr>
              <w:t>Indicateur R312 : Nombre d'entreprises et d’organisations professionnelles ayant mis en place au moins une mesure en faveur de l'égalité de genre ou de la conciliation vie professionnelle et familiale (incluant la garde d'enfants avec l’appui du projet, désagrégé par pays, type d'entreprises et mesures prises.</w:t>
            </w:r>
          </w:p>
        </w:tc>
        <w:tc>
          <w:tcPr>
            <w:tcW w:w="2268" w:type="dxa"/>
            <w:tcBorders>
              <w:top w:val="nil"/>
              <w:left w:val="nil"/>
              <w:bottom w:val="single" w:sz="4" w:space="0" w:color="auto"/>
              <w:right w:val="single" w:sz="4" w:space="0" w:color="auto"/>
            </w:tcBorders>
            <w:shd w:val="clear" w:color="auto" w:fill="auto"/>
            <w:hideMark/>
          </w:tcPr>
          <w:p w14:paraId="4E06EEAA"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w:t>
            </w:r>
          </w:p>
        </w:tc>
        <w:tc>
          <w:tcPr>
            <w:tcW w:w="4279" w:type="dxa"/>
            <w:tcBorders>
              <w:top w:val="nil"/>
              <w:left w:val="nil"/>
              <w:bottom w:val="single" w:sz="4" w:space="0" w:color="auto"/>
              <w:right w:val="single" w:sz="4" w:space="0" w:color="auto"/>
            </w:tcBorders>
            <w:shd w:val="clear" w:color="auto" w:fill="auto"/>
            <w:hideMark/>
          </w:tcPr>
          <w:p w14:paraId="7AFEBDAE" w14:textId="77777777" w:rsidR="00A57DA3" w:rsidRPr="00A57DA3" w:rsidRDefault="00A57DA3" w:rsidP="00A57DA3">
            <w:pPr>
              <w:spacing w:after="0" w:line="240" w:lineRule="auto"/>
              <w:rPr>
                <w:rFonts w:ascii="Arial" w:eastAsia="Times New Roman" w:hAnsi="Arial" w:cs="Arial"/>
                <w:sz w:val="20"/>
                <w:szCs w:val="20"/>
                <w:lang w:eastAsia="fr-FR"/>
              </w:rPr>
            </w:pPr>
            <w:r w:rsidRPr="00A57DA3">
              <w:rPr>
                <w:rFonts w:ascii="Arial" w:eastAsia="Times New Roman" w:hAnsi="Arial" w:cs="Arial"/>
                <w:sz w:val="20"/>
                <w:szCs w:val="20"/>
                <w:lang w:eastAsia="fr-FR"/>
              </w:rPr>
              <w:t> </w:t>
            </w:r>
          </w:p>
        </w:tc>
      </w:tr>
    </w:tbl>
    <w:p w14:paraId="5F58D2D8" w14:textId="77777777" w:rsidR="00A57DA3" w:rsidRPr="003839A6" w:rsidRDefault="00A57DA3" w:rsidP="003839A6">
      <w:pPr>
        <w:spacing w:after="0" w:line="240" w:lineRule="auto"/>
        <w:jc w:val="both"/>
        <w:rPr>
          <w:rFonts w:ascii="Arial" w:hAnsi="Arial" w:cs="Arial"/>
          <w:sz w:val="20"/>
          <w:szCs w:val="20"/>
        </w:rPr>
      </w:pPr>
    </w:p>
    <w:sectPr w:rsidR="00A57DA3" w:rsidRPr="003839A6" w:rsidSect="005E700B">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F2A34" w14:textId="77777777" w:rsidR="008E7DF2" w:rsidRDefault="008E7DF2" w:rsidP="007F6E1B">
      <w:pPr>
        <w:spacing w:after="0" w:line="240" w:lineRule="auto"/>
      </w:pPr>
      <w:r>
        <w:separator/>
      </w:r>
    </w:p>
  </w:endnote>
  <w:endnote w:type="continuationSeparator" w:id="0">
    <w:p w14:paraId="6854A5DD" w14:textId="77777777" w:rsidR="008E7DF2" w:rsidRDefault="008E7DF2" w:rsidP="007F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164128"/>
      <w:docPartObj>
        <w:docPartGallery w:val="Page Numbers (Bottom of Page)"/>
        <w:docPartUnique/>
      </w:docPartObj>
    </w:sdtPr>
    <w:sdtEndPr/>
    <w:sdtContent>
      <w:p w14:paraId="59F9566F" w14:textId="09048395" w:rsidR="005A2087" w:rsidRDefault="005A2087">
        <w:pPr>
          <w:pStyle w:val="Pieddepage"/>
          <w:jc w:val="right"/>
        </w:pPr>
        <w:r>
          <w:fldChar w:fldCharType="begin"/>
        </w:r>
        <w:r>
          <w:instrText>PAGE   \* MERGEFORMAT</w:instrText>
        </w:r>
        <w:r>
          <w:fldChar w:fldCharType="separate"/>
        </w:r>
        <w:r w:rsidR="00DF7692">
          <w:rPr>
            <w:noProof/>
          </w:rPr>
          <w:t>4</w:t>
        </w:r>
        <w:r>
          <w:fldChar w:fldCharType="end"/>
        </w:r>
      </w:p>
    </w:sdtContent>
  </w:sdt>
  <w:p w14:paraId="017B915E" w14:textId="77777777" w:rsidR="005A2087" w:rsidRDefault="005A208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78437" w14:textId="77777777" w:rsidR="008E7DF2" w:rsidRDefault="008E7DF2" w:rsidP="007F6E1B">
      <w:pPr>
        <w:spacing w:after="0" w:line="240" w:lineRule="auto"/>
      </w:pPr>
      <w:r>
        <w:separator/>
      </w:r>
    </w:p>
  </w:footnote>
  <w:footnote w:type="continuationSeparator" w:id="0">
    <w:p w14:paraId="1035585F" w14:textId="77777777" w:rsidR="008E7DF2" w:rsidRDefault="008E7DF2" w:rsidP="007F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C787" w14:textId="5D62F5B7" w:rsidR="005A2087" w:rsidRPr="004D27E8" w:rsidRDefault="005A2087" w:rsidP="00F441D1">
    <w:pPr>
      <w:pStyle w:val="En-tte"/>
      <w:rPr>
        <w:color w:val="4472C4" w:themeColor="accent5"/>
      </w:rPr>
    </w:pPr>
    <w:r>
      <w:rPr>
        <w:smallCaps/>
        <w:noProof/>
        <w:lang w:val="en-US"/>
      </w:rPr>
      <w:drawing>
        <wp:inline distT="0" distB="0" distL="0" distR="0" wp14:anchorId="33E0B7F5" wp14:editId="4EFE1189">
          <wp:extent cx="1447800" cy="7048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a:picLocks noChangeAspect="1"/>
                  </pic:cNvPicPr>
                </pic:nvPicPr>
                <pic:blipFill rotWithShape="1">
                  <a:blip r:embed="rId1"/>
                  <a:stretch/>
                </pic:blipFill>
                <pic:spPr bwMode="auto">
                  <a:xfrm>
                    <a:off x="0" y="0"/>
                    <a:ext cx="1449021" cy="705444"/>
                  </a:xfrm>
                  <a:prstGeom prst="rect">
                    <a:avLst/>
                  </a:prstGeom>
                </pic:spPr>
              </pic:pic>
            </a:graphicData>
          </a:graphic>
        </wp:inline>
      </w:drawing>
    </w:r>
    <w:r w:rsidRPr="004D27E8">
      <w:rPr>
        <w:color w:val="4472C4" w:themeColor="accent5"/>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4E17"/>
    <w:multiLevelType w:val="multilevel"/>
    <w:tmpl w:val="F966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63435"/>
    <w:multiLevelType w:val="multilevel"/>
    <w:tmpl w:val="BBFAD628"/>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26760"/>
    <w:multiLevelType w:val="multilevel"/>
    <w:tmpl w:val="6E22678A"/>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676161"/>
    <w:multiLevelType w:val="multilevel"/>
    <w:tmpl w:val="14E29D8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4" w15:restartNumberingAfterBreak="0">
    <w:nsid w:val="40B76994"/>
    <w:multiLevelType w:val="multilevel"/>
    <w:tmpl w:val="2A2A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4953CF"/>
    <w:multiLevelType w:val="hybridMultilevel"/>
    <w:tmpl w:val="C7D6D94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61E7569"/>
    <w:multiLevelType w:val="hybridMultilevel"/>
    <w:tmpl w:val="FFEA82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B494C25"/>
    <w:multiLevelType w:val="hybridMultilevel"/>
    <w:tmpl w:val="E78EB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0A5E50"/>
    <w:multiLevelType w:val="hybridMultilevel"/>
    <w:tmpl w:val="FC366D8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7352899"/>
    <w:multiLevelType w:val="multilevel"/>
    <w:tmpl w:val="3E8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CF38F4"/>
    <w:multiLevelType w:val="multilevel"/>
    <w:tmpl w:val="DEEC827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415016"/>
    <w:multiLevelType w:val="multilevel"/>
    <w:tmpl w:val="82D252F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9"/>
  </w:num>
  <w:num w:numId="5">
    <w:abstractNumId w:val="7"/>
  </w:num>
  <w:num w:numId="6">
    <w:abstractNumId w:val="8"/>
  </w:num>
  <w:num w:numId="7">
    <w:abstractNumId w:val="3"/>
  </w:num>
  <w:num w:numId="8">
    <w:abstractNumId w:val="5"/>
  </w:num>
  <w:num w:numId="9">
    <w:abstractNumId w:val="2"/>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3"/>
    <w:rsid w:val="000269AC"/>
    <w:rsid w:val="0003238D"/>
    <w:rsid w:val="00057BE3"/>
    <w:rsid w:val="00084A3B"/>
    <w:rsid w:val="000E57E7"/>
    <w:rsid w:val="00117974"/>
    <w:rsid w:val="0016770A"/>
    <w:rsid w:val="00192F1E"/>
    <w:rsid w:val="001A270C"/>
    <w:rsid w:val="001E3F83"/>
    <w:rsid w:val="001F43EC"/>
    <w:rsid w:val="00222C2F"/>
    <w:rsid w:val="0024003D"/>
    <w:rsid w:val="00282D03"/>
    <w:rsid w:val="002B0970"/>
    <w:rsid w:val="002C4F2A"/>
    <w:rsid w:val="002F1F2A"/>
    <w:rsid w:val="00311627"/>
    <w:rsid w:val="003766D9"/>
    <w:rsid w:val="003839A6"/>
    <w:rsid w:val="003B7AC2"/>
    <w:rsid w:val="00423E98"/>
    <w:rsid w:val="00427C3D"/>
    <w:rsid w:val="00464694"/>
    <w:rsid w:val="00476CA4"/>
    <w:rsid w:val="0048587B"/>
    <w:rsid w:val="004B36AA"/>
    <w:rsid w:val="004D27E8"/>
    <w:rsid w:val="0057035C"/>
    <w:rsid w:val="00586A22"/>
    <w:rsid w:val="005A2087"/>
    <w:rsid w:val="005C766F"/>
    <w:rsid w:val="005E700B"/>
    <w:rsid w:val="005F0256"/>
    <w:rsid w:val="005F27E8"/>
    <w:rsid w:val="00681D17"/>
    <w:rsid w:val="006A54D9"/>
    <w:rsid w:val="00724B37"/>
    <w:rsid w:val="00752C47"/>
    <w:rsid w:val="00760008"/>
    <w:rsid w:val="007A5BB3"/>
    <w:rsid w:val="007A5BCC"/>
    <w:rsid w:val="007B5C70"/>
    <w:rsid w:val="007D14AC"/>
    <w:rsid w:val="007F6E1B"/>
    <w:rsid w:val="0083174A"/>
    <w:rsid w:val="008A2F03"/>
    <w:rsid w:val="008C6C35"/>
    <w:rsid w:val="008C7C03"/>
    <w:rsid w:val="008D5C96"/>
    <w:rsid w:val="008E7DF2"/>
    <w:rsid w:val="00957EAB"/>
    <w:rsid w:val="009D4D20"/>
    <w:rsid w:val="009E3D2D"/>
    <w:rsid w:val="00A23E50"/>
    <w:rsid w:val="00A57DA3"/>
    <w:rsid w:val="00A65E49"/>
    <w:rsid w:val="00AF3400"/>
    <w:rsid w:val="00B001C4"/>
    <w:rsid w:val="00B26BB4"/>
    <w:rsid w:val="00B55E73"/>
    <w:rsid w:val="00B5669E"/>
    <w:rsid w:val="00B73EC3"/>
    <w:rsid w:val="00B828CE"/>
    <w:rsid w:val="00C831CE"/>
    <w:rsid w:val="00CF30E7"/>
    <w:rsid w:val="00D1691F"/>
    <w:rsid w:val="00D80830"/>
    <w:rsid w:val="00DD1721"/>
    <w:rsid w:val="00DE0555"/>
    <w:rsid w:val="00DF0CF1"/>
    <w:rsid w:val="00DF7692"/>
    <w:rsid w:val="00E02E07"/>
    <w:rsid w:val="00E55955"/>
    <w:rsid w:val="00E87979"/>
    <w:rsid w:val="00EF0A2A"/>
    <w:rsid w:val="00F07EF8"/>
    <w:rsid w:val="00F20D4B"/>
    <w:rsid w:val="00F43452"/>
    <w:rsid w:val="00F441D1"/>
    <w:rsid w:val="00F9086B"/>
    <w:rsid w:val="00FD768A"/>
    <w:rsid w:val="00FE51DA"/>
    <w:rsid w:val="00FF4B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1590"/>
  <w15:chartTrackingRefBased/>
  <w15:docId w15:val="{C18787DC-DF5A-4060-8D30-DAD11EDB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81D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81D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3839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6E1B"/>
    <w:pPr>
      <w:tabs>
        <w:tab w:val="center" w:pos="4536"/>
        <w:tab w:val="right" w:pos="9072"/>
      </w:tabs>
      <w:spacing w:after="0" w:line="240" w:lineRule="auto"/>
    </w:pPr>
  </w:style>
  <w:style w:type="character" w:customStyle="1" w:styleId="En-tteCar">
    <w:name w:val="En-tête Car"/>
    <w:basedOn w:val="Policepardfaut"/>
    <w:link w:val="En-tte"/>
    <w:uiPriority w:val="99"/>
    <w:rsid w:val="007F6E1B"/>
  </w:style>
  <w:style w:type="paragraph" w:styleId="Pieddepage">
    <w:name w:val="footer"/>
    <w:basedOn w:val="Normal"/>
    <w:link w:val="PieddepageCar"/>
    <w:uiPriority w:val="99"/>
    <w:unhideWhenUsed/>
    <w:rsid w:val="007F6E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6E1B"/>
  </w:style>
  <w:style w:type="paragraph" w:styleId="NormalWeb">
    <w:name w:val="Normal (Web)"/>
    <w:basedOn w:val="Normal"/>
    <w:uiPriority w:val="99"/>
    <w:unhideWhenUsed/>
    <w:rsid w:val="003839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839A6"/>
    <w:rPr>
      <w:b/>
      <w:bCs/>
    </w:rPr>
  </w:style>
  <w:style w:type="paragraph" w:styleId="Paragraphedeliste">
    <w:name w:val="List Paragraph"/>
    <w:basedOn w:val="Normal"/>
    <w:link w:val="ParagraphedelisteCar"/>
    <w:uiPriority w:val="34"/>
    <w:qFormat/>
    <w:rsid w:val="003839A6"/>
    <w:pPr>
      <w:ind w:left="720"/>
      <w:contextualSpacing/>
    </w:pPr>
  </w:style>
  <w:style w:type="character" w:customStyle="1" w:styleId="Titre3Car">
    <w:name w:val="Titre 3 Car"/>
    <w:basedOn w:val="Policepardfaut"/>
    <w:link w:val="Titre3"/>
    <w:uiPriority w:val="9"/>
    <w:rsid w:val="003839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3839A6"/>
    <w:rPr>
      <w:color w:val="0000FF"/>
      <w:u w:val="single"/>
    </w:rPr>
  </w:style>
  <w:style w:type="character" w:customStyle="1" w:styleId="Titre2Car">
    <w:name w:val="Titre 2 Car"/>
    <w:basedOn w:val="Policepardfaut"/>
    <w:link w:val="Titre2"/>
    <w:uiPriority w:val="9"/>
    <w:semiHidden/>
    <w:rsid w:val="00681D17"/>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681D17"/>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A54D9"/>
    <w:rPr>
      <w:sz w:val="16"/>
      <w:szCs w:val="16"/>
    </w:rPr>
  </w:style>
  <w:style w:type="paragraph" w:styleId="Commentaire">
    <w:name w:val="annotation text"/>
    <w:basedOn w:val="Normal"/>
    <w:link w:val="CommentaireCar"/>
    <w:uiPriority w:val="99"/>
    <w:unhideWhenUsed/>
    <w:rsid w:val="006A54D9"/>
    <w:pPr>
      <w:spacing w:line="240" w:lineRule="auto"/>
    </w:pPr>
    <w:rPr>
      <w:sz w:val="20"/>
      <w:szCs w:val="20"/>
    </w:rPr>
  </w:style>
  <w:style w:type="character" w:customStyle="1" w:styleId="CommentaireCar">
    <w:name w:val="Commentaire Car"/>
    <w:basedOn w:val="Policepardfaut"/>
    <w:link w:val="Commentaire"/>
    <w:uiPriority w:val="99"/>
    <w:rsid w:val="006A54D9"/>
    <w:rPr>
      <w:sz w:val="20"/>
      <w:szCs w:val="20"/>
    </w:rPr>
  </w:style>
  <w:style w:type="paragraph" w:styleId="Objetducommentaire">
    <w:name w:val="annotation subject"/>
    <w:basedOn w:val="Commentaire"/>
    <w:next w:val="Commentaire"/>
    <w:link w:val="ObjetducommentaireCar"/>
    <w:uiPriority w:val="99"/>
    <w:semiHidden/>
    <w:unhideWhenUsed/>
    <w:rsid w:val="006A54D9"/>
    <w:rPr>
      <w:b/>
      <w:bCs/>
    </w:rPr>
  </w:style>
  <w:style w:type="character" w:customStyle="1" w:styleId="ObjetducommentaireCar">
    <w:name w:val="Objet du commentaire Car"/>
    <w:basedOn w:val="CommentaireCar"/>
    <w:link w:val="Objetducommentaire"/>
    <w:uiPriority w:val="99"/>
    <w:semiHidden/>
    <w:rsid w:val="006A54D9"/>
    <w:rPr>
      <w:b/>
      <w:bCs/>
      <w:sz w:val="20"/>
      <w:szCs w:val="20"/>
    </w:rPr>
  </w:style>
  <w:style w:type="paragraph" w:styleId="Textedebulles">
    <w:name w:val="Balloon Text"/>
    <w:basedOn w:val="Normal"/>
    <w:link w:val="TextedebullesCar"/>
    <w:uiPriority w:val="99"/>
    <w:semiHidden/>
    <w:unhideWhenUsed/>
    <w:rsid w:val="006A54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54D9"/>
    <w:rPr>
      <w:rFonts w:ascii="Segoe UI" w:hAnsi="Segoe UI" w:cs="Segoe UI"/>
      <w:sz w:val="18"/>
      <w:szCs w:val="18"/>
    </w:rPr>
  </w:style>
  <w:style w:type="character" w:customStyle="1" w:styleId="ParagraphedelisteCar">
    <w:name w:val="Paragraphe de liste Car"/>
    <w:link w:val="Paragraphedeliste"/>
    <w:uiPriority w:val="34"/>
    <w:qFormat/>
    <w:rsid w:val="00B5669E"/>
  </w:style>
  <w:style w:type="character" w:styleId="Emphaseintense">
    <w:name w:val="Intense Emphasis"/>
    <w:uiPriority w:val="21"/>
    <w:qFormat/>
    <w:rsid w:val="00B5669E"/>
    <w:rPr>
      <w:b/>
      <w:bCs/>
    </w:rPr>
  </w:style>
  <w:style w:type="table" w:styleId="Grilledutableau">
    <w:name w:val="Table Grid"/>
    <w:basedOn w:val="TableauNormal"/>
    <w:uiPriority w:val="59"/>
    <w:rsid w:val="003B7AC2"/>
    <w:pPr>
      <w:spacing w:after="0" w:line="240" w:lineRule="auto"/>
    </w:pPr>
    <w:rPr>
      <w:rFonts w:eastAsiaTheme="minorEastAsia"/>
      <w:sz w:val="24"/>
      <w:szCs w:val="24"/>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606">
      <w:bodyDiv w:val="1"/>
      <w:marLeft w:val="0"/>
      <w:marRight w:val="0"/>
      <w:marTop w:val="0"/>
      <w:marBottom w:val="0"/>
      <w:divBdr>
        <w:top w:val="none" w:sz="0" w:space="0" w:color="auto"/>
        <w:left w:val="none" w:sz="0" w:space="0" w:color="auto"/>
        <w:bottom w:val="none" w:sz="0" w:space="0" w:color="auto"/>
        <w:right w:val="none" w:sz="0" w:space="0" w:color="auto"/>
      </w:divBdr>
    </w:div>
    <w:div w:id="122702322">
      <w:bodyDiv w:val="1"/>
      <w:marLeft w:val="0"/>
      <w:marRight w:val="0"/>
      <w:marTop w:val="0"/>
      <w:marBottom w:val="0"/>
      <w:divBdr>
        <w:top w:val="none" w:sz="0" w:space="0" w:color="auto"/>
        <w:left w:val="none" w:sz="0" w:space="0" w:color="auto"/>
        <w:bottom w:val="none" w:sz="0" w:space="0" w:color="auto"/>
        <w:right w:val="none" w:sz="0" w:space="0" w:color="auto"/>
      </w:divBdr>
    </w:div>
    <w:div w:id="145904213">
      <w:bodyDiv w:val="1"/>
      <w:marLeft w:val="0"/>
      <w:marRight w:val="0"/>
      <w:marTop w:val="0"/>
      <w:marBottom w:val="0"/>
      <w:divBdr>
        <w:top w:val="none" w:sz="0" w:space="0" w:color="auto"/>
        <w:left w:val="none" w:sz="0" w:space="0" w:color="auto"/>
        <w:bottom w:val="none" w:sz="0" w:space="0" w:color="auto"/>
        <w:right w:val="none" w:sz="0" w:space="0" w:color="auto"/>
      </w:divBdr>
    </w:div>
    <w:div w:id="858543704">
      <w:bodyDiv w:val="1"/>
      <w:marLeft w:val="0"/>
      <w:marRight w:val="0"/>
      <w:marTop w:val="0"/>
      <w:marBottom w:val="0"/>
      <w:divBdr>
        <w:top w:val="none" w:sz="0" w:space="0" w:color="auto"/>
        <w:left w:val="none" w:sz="0" w:space="0" w:color="auto"/>
        <w:bottom w:val="none" w:sz="0" w:space="0" w:color="auto"/>
        <w:right w:val="none" w:sz="0" w:space="0" w:color="auto"/>
      </w:divBdr>
    </w:div>
    <w:div w:id="938297729">
      <w:bodyDiv w:val="1"/>
      <w:marLeft w:val="0"/>
      <w:marRight w:val="0"/>
      <w:marTop w:val="0"/>
      <w:marBottom w:val="0"/>
      <w:divBdr>
        <w:top w:val="none" w:sz="0" w:space="0" w:color="auto"/>
        <w:left w:val="none" w:sz="0" w:space="0" w:color="auto"/>
        <w:bottom w:val="none" w:sz="0" w:space="0" w:color="auto"/>
        <w:right w:val="none" w:sz="0" w:space="0" w:color="auto"/>
      </w:divBdr>
    </w:div>
    <w:div w:id="1046876247">
      <w:bodyDiv w:val="1"/>
      <w:marLeft w:val="0"/>
      <w:marRight w:val="0"/>
      <w:marTop w:val="0"/>
      <w:marBottom w:val="0"/>
      <w:divBdr>
        <w:top w:val="none" w:sz="0" w:space="0" w:color="auto"/>
        <w:left w:val="none" w:sz="0" w:space="0" w:color="auto"/>
        <w:bottom w:val="none" w:sz="0" w:space="0" w:color="auto"/>
        <w:right w:val="none" w:sz="0" w:space="0" w:color="auto"/>
      </w:divBdr>
    </w:div>
    <w:div w:id="1345207009">
      <w:bodyDiv w:val="1"/>
      <w:marLeft w:val="0"/>
      <w:marRight w:val="0"/>
      <w:marTop w:val="0"/>
      <w:marBottom w:val="0"/>
      <w:divBdr>
        <w:top w:val="none" w:sz="0" w:space="0" w:color="auto"/>
        <w:left w:val="none" w:sz="0" w:space="0" w:color="auto"/>
        <w:bottom w:val="none" w:sz="0" w:space="0" w:color="auto"/>
        <w:right w:val="none" w:sz="0" w:space="0" w:color="auto"/>
      </w:divBdr>
    </w:div>
    <w:div w:id="1437869241">
      <w:bodyDiv w:val="1"/>
      <w:marLeft w:val="0"/>
      <w:marRight w:val="0"/>
      <w:marTop w:val="0"/>
      <w:marBottom w:val="0"/>
      <w:divBdr>
        <w:top w:val="none" w:sz="0" w:space="0" w:color="auto"/>
        <w:left w:val="none" w:sz="0" w:space="0" w:color="auto"/>
        <w:bottom w:val="none" w:sz="0" w:space="0" w:color="auto"/>
        <w:right w:val="none" w:sz="0" w:space="0" w:color="auto"/>
      </w:divBdr>
    </w:div>
    <w:div w:id="1532649854">
      <w:bodyDiv w:val="1"/>
      <w:marLeft w:val="0"/>
      <w:marRight w:val="0"/>
      <w:marTop w:val="0"/>
      <w:marBottom w:val="0"/>
      <w:divBdr>
        <w:top w:val="none" w:sz="0" w:space="0" w:color="auto"/>
        <w:left w:val="none" w:sz="0" w:space="0" w:color="auto"/>
        <w:bottom w:val="none" w:sz="0" w:space="0" w:color="auto"/>
        <w:right w:val="none" w:sz="0" w:space="0" w:color="auto"/>
      </w:divBdr>
      <w:divsChild>
        <w:div w:id="655039803">
          <w:marLeft w:val="0"/>
          <w:marRight w:val="0"/>
          <w:marTop w:val="0"/>
          <w:marBottom w:val="0"/>
          <w:divBdr>
            <w:top w:val="none" w:sz="0" w:space="0" w:color="auto"/>
            <w:left w:val="none" w:sz="0" w:space="0" w:color="auto"/>
            <w:bottom w:val="none" w:sz="0" w:space="0" w:color="auto"/>
            <w:right w:val="none" w:sz="0" w:space="0" w:color="auto"/>
          </w:divBdr>
          <w:divsChild>
            <w:div w:id="1726565349">
              <w:marLeft w:val="0"/>
              <w:marRight w:val="0"/>
              <w:marTop w:val="0"/>
              <w:marBottom w:val="0"/>
              <w:divBdr>
                <w:top w:val="none" w:sz="0" w:space="0" w:color="auto"/>
                <w:left w:val="none" w:sz="0" w:space="0" w:color="auto"/>
                <w:bottom w:val="none" w:sz="0" w:space="0" w:color="auto"/>
                <w:right w:val="none" w:sz="0" w:space="0" w:color="auto"/>
              </w:divBdr>
              <w:divsChild>
                <w:div w:id="5026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191">
          <w:marLeft w:val="0"/>
          <w:marRight w:val="0"/>
          <w:marTop w:val="0"/>
          <w:marBottom w:val="0"/>
          <w:divBdr>
            <w:top w:val="none" w:sz="0" w:space="0" w:color="auto"/>
            <w:left w:val="none" w:sz="0" w:space="0" w:color="auto"/>
            <w:bottom w:val="none" w:sz="0" w:space="0" w:color="auto"/>
            <w:right w:val="none" w:sz="0" w:space="0" w:color="auto"/>
          </w:divBdr>
          <w:divsChild>
            <w:div w:id="1483959514">
              <w:marLeft w:val="0"/>
              <w:marRight w:val="0"/>
              <w:marTop w:val="0"/>
              <w:marBottom w:val="0"/>
              <w:divBdr>
                <w:top w:val="none" w:sz="0" w:space="0" w:color="auto"/>
                <w:left w:val="none" w:sz="0" w:space="0" w:color="auto"/>
                <w:bottom w:val="none" w:sz="0" w:space="0" w:color="auto"/>
                <w:right w:val="none" w:sz="0" w:space="0" w:color="auto"/>
              </w:divBdr>
              <w:divsChild>
                <w:div w:id="165020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29862">
      <w:bodyDiv w:val="1"/>
      <w:marLeft w:val="0"/>
      <w:marRight w:val="0"/>
      <w:marTop w:val="0"/>
      <w:marBottom w:val="0"/>
      <w:divBdr>
        <w:top w:val="none" w:sz="0" w:space="0" w:color="auto"/>
        <w:left w:val="none" w:sz="0" w:space="0" w:color="auto"/>
        <w:bottom w:val="none" w:sz="0" w:space="0" w:color="auto"/>
        <w:right w:val="none" w:sz="0" w:space="0" w:color="auto"/>
      </w:divBdr>
    </w:div>
    <w:div w:id="1832790021">
      <w:bodyDiv w:val="1"/>
      <w:marLeft w:val="0"/>
      <w:marRight w:val="0"/>
      <w:marTop w:val="0"/>
      <w:marBottom w:val="0"/>
      <w:divBdr>
        <w:top w:val="none" w:sz="0" w:space="0" w:color="auto"/>
        <w:left w:val="none" w:sz="0" w:space="0" w:color="auto"/>
        <w:bottom w:val="none" w:sz="0" w:space="0" w:color="auto"/>
        <w:right w:val="none" w:sz="0" w:space="0" w:color="auto"/>
      </w:divBdr>
    </w:div>
    <w:div w:id="1867214550">
      <w:bodyDiv w:val="1"/>
      <w:marLeft w:val="0"/>
      <w:marRight w:val="0"/>
      <w:marTop w:val="0"/>
      <w:marBottom w:val="0"/>
      <w:divBdr>
        <w:top w:val="none" w:sz="0" w:space="0" w:color="auto"/>
        <w:left w:val="none" w:sz="0" w:space="0" w:color="auto"/>
        <w:bottom w:val="none" w:sz="0" w:space="0" w:color="auto"/>
        <w:right w:val="none" w:sz="0" w:space="0" w:color="auto"/>
      </w:divBdr>
    </w:div>
    <w:div w:id="2063556952">
      <w:bodyDiv w:val="1"/>
      <w:marLeft w:val="0"/>
      <w:marRight w:val="0"/>
      <w:marTop w:val="0"/>
      <w:marBottom w:val="0"/>
      <w:divBdr>
        <w:top w:val="none" w:sz="0" w:space="0" w:color="auto"/>
        <w:left w:val="none" w:sz="0" w:space="0" w:color="auto"/>
        <w:bottom w:val="none" w:sz="0" w:space="0" w:color="auto"/>
        <w:right w:val="none" w:sz="0" w:space="0" w:color="auto"/>
      </w:divBdr>
      <w:divsChild>
        <w:div w:id="1268777857">
          <w:marLeft w:val="0"/>
          <w:marRight w:val="0"/>
          <w:marTop w:val="0"/>
          <w:marBottom w:val="0"/>
          <w:divBdr>
            <w:top w:val="none" w:sz="0" w:space="0" w:color="auto"/>
            <w:left w:val="none" w:sz="0" w:space="0" w:color="auto"/>
            <w:bottom w:val="none" w:sz="0" w:space="0" w:color="auto"/>
            <w:right w:val="none" w:sz="0" w:space="0" w:color="auto"/>
          </w:divBdr>
        </w:div>
        <w:div w:id="1765492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B1B7-B5C6-47E6-9AC2-DFD6053F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1349</Words>
  <Characters>7691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fabienne.arnould</dc:creator>
  <cp:keywords/>
  <dc:description/>
  <cp:lastModifiedBy>Noëlina FARNIRINA</cp:lastModifiedBy>
  <cp:revision>3</cp:revision>
  <dcterms:created xsi:type="dcterms:W3CDTF">2026-04-01T12:25:00Z</dcterms:created>
  <dcterms:modified xsi:type="dcterms:W3CDTF">2026-04-01T12:28:00Z</dcterms:modified>
</cp:coreProperties>
</file>