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2350B" w14:textId="77777777" w:rsidR="009953B6" w:rsidRDefault="009953B6" w:rsidP="009953B6">
      <w:pPr>
        <w:jc w:val="center"/>
        <w:rPr>
          <w:rFonts w:cstheme="minorHAnsi"/>
          <w:b/>
          <w:lang w:val="en-GB"/>
        </w:rPr>
      </w:pPr>
      <w:r>
        <w:rPr>
          <w:rFonts w:cstheme="minorHAnsi"/>
          <w:b/>
          <w:lang w:val="en-GB"/>
        </w:rPr>
        <w:t>“Gender mainstreaming in public policy and budgeting”</w:t>
      </w:r>
    </w:p>
    <w:p w14:paraId="73C9BDE9" w14:textId="77777777" w:rsidR="009953B6" w:rsidRPr="00065A98" w:rsidRDefault="009953B6" w:rsidP="009953B6">
      <w:pPr>
        <w:jc w:val="center"/>
        <w:rPr>
          <w:rFonts w:cstheme="minorHAnsi"/>
          <w:b/>
          <w:lang w:val="en-GB"/>
        </w:rPr>
      </w:pPr>
      <w:r>
        <w:rPr>
          <w:rFonts w:cstheme="minorHAnsi"/>
          <w:b/>
          <w:lang w:val="en-GB"/>
        </w:rPr>
        <w:t xml:space="preserve">Terms of reference: </w:t>
      </w:r>
      <w:r w:rsidR="00A467EB">
        <w:rPr>
          <w:rFonts w:cstheme="minorHAnsi"/>
          <w:b/>
          <w:lang w:val="en-GB"/>
        </w:rPr>
        <w:t>Gender Responsive Budgeting</w:t>
      </w:r>
      <w:r w:rsidRPr="00065A98">
        <w:rPr>
          <w:rFonts w:cstheme="minorHAnsi"/>
          <w:b/>
          <w:lang w:val="en-GB"/>
        </w:rPr>
        <w:t xml:space="preserve"> EXPERT </w:t>
      </w:r>
    </w:p>
    <w:p w14:paraId="1D878876" w14:textId="77777777" w:rsidR="009953B6" w:rsidRPr="00065A98" w:rsidRDefault="009953B6" w:rsidP="009953B6">
      <w:pPr>
        <w:pBdr>
          <w:bottom w:val="single" w:sz="4" w:space="1" w:color="auto"/>
        </w:pBdr>
        <w:jc w:val="both"/>
        <w:rPr>
          <w:rFonts w:cstheme="minorHAnsi"/>
          <w:b/>
          <w:lang w:val="en-GB"/>
        </w:rPr>
      </w:pPr>
      <w:r w:rsidRPr="00065A98">
        <w:rPr>
          <w:rFonts w:cstheme="minorHAnsi"/>
          <w:b/>
          <w:lang w:val="en-GB"/>
        </w:rPr>
        <w:t>1.</w:t>
      </w:r>
      <w:r w:rsidRPr="00065A98">
        <w:rPr>
          <w:rFonts w:cstheme="minorHAnsi"/>
          <w:b/>
          <w:lang w:val="en-GB"/>
        </w:rPr>
        <w:tab/>
        <w:t>Project context</w:t>
      </w:r>
    </w:p>
    <w:p w14:paraId="738AD13C" w14:textId="570A2AAE" w:rsidR="009953B6" w:rsidRPr="00D273FF" w:rsidRDefault="000A6A57" w:rsidP="009953B6">
      <w:pPr>
        <w:jc w:val="both"/>
        <w:rPr>
          <w:rFonts w:cstheme="minorHAnsi"/>
          <w:lang w:val="en-GB"/>
        </w:rPr>
      </w:pPr>
      <w:r w:rsidRPr="00D273FF">
        <w:rPr>
          <w:rFonts w:cstheme="minorHAnsi"/>
          <w:lang w:val="en-US"/>
        </w:rPr>
        <w:t xml:space="preserve">Expertise France is implementing a technical assistance project in </w:t>
      </w:r>
      <w:r w:rsidR="00BE1C6A" w:rsidRPr="00D273FF">
        <w:rPr>
          <w:rFonts w:cstheme="minorHAnsi"/>
          <w:lang w:val="en-US"/>
        </w:rPr>
        <w:t>several</w:t>
      </w:r>
      <w:r w:rsidRPr="00D273FF">
        <w:rPr>
          <w:rFonts w:cstheme="minorHAnsi"/>
          <w:lang w:val="en-US"/>
        </w:rPr>
        <w:t xml:space="preserve"> European Union Member States to foster the integration of gender mainstreaming into public policies and budgeting. </w:t>
      </w:r>
      <w:r w:rsidR="009953B6" w:rsidRPr="00D273FF">
        <w:rPr>
          <w:rFonts w:cstheme="minorHAnsi"/>
          <w:lang w:val="en-GB"/>
        </w:rPr>
        <w:t xml:space="preserve">The project aims to support institutions at central </w:t>
      </w:r>
      <w:r w:rsidRPr="00D273FF">
        <w:rPr>
          <w:rFonts w:cstheme="minorHAnsi"/>
          <w:lang w:val="en-GB"/>
        </w:rPr>
        <w:t xml:space="preserve">and decentralised </w:t>
      </w:r>
      <w:r w:rsidR="009953B6" w:rsidRPr="00D273FF">
        <w:rPr>
          <w:rFonts w:cstheme="minorHAnsi"/>
          <w:lang w:val="en-GB"/>
        </w:rPr>
        <w:t>level to strengthen the integration of gender into public action though the application of Gender Mainstreaming tools such as Gender Budgeting (GB), Gender Action Plan (GAP) or Gender Impact Assessment (GIA).</w:t>
      </w:r>
    </w:p>
    <w:p w14:paraId="351B60D6" w14:textId="70A81180" w:rsidR="00A3781C" w:rsidRPr="00D273FF" w:rsidRDefault="009953B6" w:rsidP="00D214FD">
      <w:pPr>
        <w:rPr>
          <w:rFonts w:cstheme="minorHAnsi"/>
          <w:lang w:val="en-US"/>
        </w:rPr>
      </w:pPr>
      <w:r w:rsidRPr="00D273FF">
        <w:rPr>
          <w:rFonts w:cstheme="minorHAnsi"/>
          <w:lang w:val="en-US"/>
        </w:rPr>
        <w:t xml:space="preserve">The project </w:t>
      </w:r>
      <w:r w:rsidR="00A3781C" w:rsidRPr="00D273FF">
        <w:rPr>
          <w:rFonts w:cstheme="minorHAnsi"/>
          <w:lang w:val="en-US"/>
        </w:rPr>
        <w:t>is</w:t>
      </w:r>
      <w:r w:rsidRPr="00D273FF">
        <w:rPr>
          <w:rFonts w:cstheme="minorHAnsi"/>
          <w:lang w:val="en-US"/>
        </w:rPr>
        <w:t xml:space="preserve"> articulated in three component: </w:t>
      </w:r>
    </w:p>
    <w:p w14:paraId="054C96C2" w14:textId="77777777" w:rsidR="00A3781C" w:rsidRPr="00D273FF" w:rsidRDefault="00A3781C" w:rsidP="00A3781C">
      <w:pPr>
        <w:pStyle w:val="Paragraphedeliste"/>
        <w:numPr>
          <w:ilvl w:val="0"/>
          <w:numId w:val="12"/>
        </w:numPr>
        <w:rPr>
          <w:rFonts w:asciiTheme="minorHAnsi" w:hAnsiTheme="minorHAnsi" w:cstheme="minorHAnsi"/>
          <w:i/>
          <w:sz w:val="22"/>
          <w:szCs w:val="22"/>
        </w:rPr>
      </w:pPr>
      <w:r w:rsidRPr="00D273FF">
        <w:rPr>
          <w:rFonts w:asciiTheme="minorHAnsi" w:hAnsiTheme="minorHAnsi" w:cstheme="minorHAnsi"/>
          <w:b/>
          <w:sz w:val="22"/>
          <w:szCs w:val="22"/>
        </w:rPr>
        <w:t>Component 1</w:t>
      </w:r>
      <w:r w:rsidRPr="00D273FF">
        <w:rPr>
          <w:rFonts w:asciiTheme="minorHAnsi" w:hAnsiTheme="minorHAnsi" w:cstheme="minorHAnsi"/>
          <w:sz w:val="22"/>
          <w:szCs w:val="22"/>
        </w:rPr>
        <w:t xml:space="preserve">: </w:t>
      </w:r>
      <w:r w:rsidRPr="00D273FF">
        <w:rPr>
          <w:rFonts w:asciiTheme="minorHAnsi" w:hAnsiTheme="minorHAnsi" w:cstheme="minorHAnsi"/>
          <w:i/>
          <w:sz w:val="22"/>
          <w:szCs w:val="22"/>
        </w:rPr>
        <w:t>Analysing the practices and confirming specific needs of each beneficiary authority in order to strengthen the integration of GM, through the application of GM tools such as GB, GAPs or GIA</w:t>
      </w:r>
    </w:p>
    <w:p w14:paraId="1B58D894" w14:textId="77777777" w:rsidR="00A3781C" w:rsidRPr="00D273FF" w:rsidRDefault="00A3781C" w:rsidP="00A3781C">
      <w:pPr>
        <w:pStyle w:val="Paragraphedeliste"/>
        <w:numPr>
          <w:ilvl w:val="0"/>
          <w:numId w:val="12"/>
        </w:numPr>
        <w:rPr>
          <w:rFonts w:asciiTheme="minorHAnsi" w:hAnsiTheme="minorHAnsi" w:cstheme="minorHAnsi"/>
          <w:sz w:val="22"/>
          <w:szCs w:val="22"/>
          <w:lang w:val="en-US"/>
        </w:rPr>
      </w:pPr>
      <w:r w:rsidRPr="00D273FF">
        <w:rPr>
          <w:rFonts w:asciiTheme="minorHAnsi" w:hAnsiTheme="minorHAnsi" w:cstheme="minorHAnsi"/>
          <w:b/>
          <w:sz w:val="22"/>
          <w:szCs w:val="22"/>
          <w:lang w:val="en-US"/>
        </w:rPr>
        <w:t>Component 2</w:t>
      </w:r>
      <w:r w:rsidRPr="00D273FF">
        <w:rPr>
          <w:rFonts w:asciiTheme="minorHAnsi" w:hAnsiTheme="minorHAnsi" w:cstheme="minorHAnsi"/>
          <w:sz w:val="22"/>
          <w:szCs w:val="22"/>
          <w:lang w:val="en-US"/>
        </w:rPr>
        <w:t xml:space="preserve">: </w:t>
      </w:r>
      <w:r w:rsidRPr="00D273FF">
        <w:rPr>
          <w:rFonts w:asciiTheme="minorHAnsi" w:hAnsiTheme="minorHAnsi" w:cstheme="minorHAnsi"/>
          <w:i/>
          <w:sz w:val="22"/>
          <w:szCs w:val="22"/>
          <w:lang w:val="en-US"/>
        </w:rPr>
        <w:t>Operationalization: Capacity building and implementation of GB, GIA or GAP tools;</w:t>
      </w:r>
    </w:p>
    <w:p w14:paraId="28171057" w14:textId="0A5C304C" w:rsidR="00A3781C" w:rsidRPr="00D273FF" w:rsidRDefault="00A3781C" w:rsidP="00A3781C">
      <w:pPr>
        <w:pStyle w:val="Paragraphedeliste"/>
        <w:numPr>
          <w:ilvl w:val="0"/>
          <w:numId w:val="12"/>
        </w:numPr>
        <w:rPr>
          <w:rFonts w:asciiTheme="minorHAnsi" w:hAnsiTheme="minorHAnsi" w:cstheme="minorHAnsi"/>
          <w:i/>
          <w:sz w:val="22"/>
          <w:szCs w:val="22"/>
          <w:lang w:val="en-US"/>
        </w:rPr>
      </w:pPr>
      <w:r w:rsidRPr="00D273FF">
        <w:rPr>
          <w:rFonts w:asciiTheme="minorHAnsi" w:hAnsiTheme="minorHAnsi" w:cstheme="minorHAnsi"/>
          <w:b/>
          <w:sz w:val="22"/>
          <w:szCs w:val="22"/>
          <w:lang w:val="en-US"/>
        </w:rPr>
        <w:t>Component 3</w:t>
      </w:r>
      <w:r w:rsidRPr="00D273FF">
        <w:rPr>
          <w:rFonts w:asciiTheme="minorHAnsi" w:hAnsiTheme="minorHAnsi" w:cstheme="minorHAnsi"/>
          <w:sz w:val="22"/>
          <w:szCs w:val="22"/>
          <w:lang w:val="en-US"/>
        </w:rPr>
        <w:t xml:space="preserve">: </w:t>
      </w:r>
      <w:r w:rsidRPr="00D273FF">
        <w:rPr>
          <w:rFonts w:asciiTheme="minorHAnsi" w:hAnsiTheme="minorHAnsi" w:cstheme="minorHAnsi"/>
          <w:i/>
          <w:sz w:val="22"/>
          <w:szCs w:val="22"/>
          <w:lang w:val="en-US"/>
        </w:rPr>
        <w:t>Capitalisation: Embedding the new practices and enabling their duplication across institutions.</w:t>
      </w:r>
    </w:p>
    <w:p w14:paraId="022BA2CE" w14:textId="5888629F" w:rsidR="00D273FF" w:rsidRPr="00D273FF" w:rsidRDefault="000A6A57" w:rsidP="000A6A57">
      <w:pPr>
        <w:spacing w:before="100" w:beforeAutospacing="1" w:after="100" w:afterAutospacing="1" w:line="240" w:lineRule="auto"/>
        <w:jc w:val="both"/>
        <w:rPr>
          <w:rFonts w:cstheme="minorHAnsi"/>
          <w:lang w:val="en-US"/>
        </w:rPr>
      </w:pPr>
      <w:r w:rsidRPr="000A6A57">
        <w:rPr>
          <w:rFonts w:cstheme="minorHAnsi"/>
          <w:lang w:val="en-US"/>
        </w:rPr>
        <w:t xml:space="preserve">Launched in 2022, the project is now entering its final phase, with a particular </w:t>
      </w:r>
      <w:r w:rsidRPr="000A6A57">
        <w:rPr>
          <w:rFonts w:cstheme="minorHAnsi"/>
          <w:b/>
          <w:lang w:val="en-US"/>
        </w:rPr>
        <w:t>focus on Components 2 and 3</w:t>
      </w:r>
      <w:r w:rsidRPr="000A6A57">
        <w:rPr>
          <w:rFonts w:cstheme="minorHAnsi"/>
          <w:lang w:val="en-US"/>
        </w:rPr>
        <w:t>. Over the past three years, two cohorts of Beneficiary Auth</w:t>
      </w:r>
      <w:r w:rsidR="00BE1C6A" w:rsidRPr="00D273FF">
        <w:rPr>
          <w:rFonts w:cstheme="minorHAnsi"/>
          <w:lang w:val="en-US"/>
        </w:rPr>
        <w:t xml:space="preserve">orities (BA) have requested </w:t>
      </w:r>
      <w:r w:rsidR="00BE1C6A" w:rsidRPr="00D273FF">
        <w:rPr>
          <w:rFonts w:cstheme="minorHAnsi"/>
          <w:b/>
          <w:lang w:val="en-US"/>
        </w:rPr>
        <w:t>tailored technical assistance</w:t>
      </w:r>
      <w:r w:rsidRPr="000A6A57">
        <w:rPr>
          <w:rFonts w:cstheme="minorHAnsi"/>
          <w:lang w:val="en-US"/>
        </w:rPr>
        <w:t xml:space="preserve">: </w:t>
      </w:r>
    </w:p>
    <w:p w14:paraId="59D6C6FC" w14:textId="3EB0154E" w:rsidR="00D273FF" w:rsidRPr="00D273FF" w:rsidRDefault="00D273FF" w:rsidP="00D273FF">
      <w:pPr>
        <w:pStyle w:val="Paragraphedeliste"/>
        <w:numPr>
          <w:ilvl w:val="0"/>
          <w:numId w:val="20"/>
        </w:numPr>
        <w:spacing w:before="100" w:beforeAutospacing="1" w:after="100" w:afterAutospacing="1" w:line="240" w:lineRule="auto"/>
        <w:rPr>
          <w:rFonts w:asciiTheme="minorHAnsi" w:hAnsiTheme="minorHAnsi" w:cstheme="minorHAnsi"/>
          <w:sz w:val="22"/>
          <w:szCs w:val="22"/>
          <w:lang w:val="en-US"/>
        </w:rPr>
      </w:pPr>
      <w:r w:rsidRPr="00D273FF">
        <w:rPr>
          <w:rFonts w:asciiTheme="minorHAnsi" w:hAnsiTheme="minorHAnsi" w:cstheme="minorHAnsi"/>
          <w:sz w:val="22"/>
          <w:szCs w:val="22"/>
          <w:lang w:val="en-US"/>
        </w:rPr>
        <w:t>Eight</w:t>
      </w:r>
      <w:r w:rsidR="000A6A57" w:rsidRPr="00D273FF">
        <w:rPr>
          <w:rFonts w:asciiTheme="minorHAnsi" w:eastAsiaTheme="minorHAnsi" w:hAnsiTheme="minorHAnsi" w:cstheme="minorHAnsi"/>
          <w:sz w:val="22"/>
          <w:szCs w:val="22"/>
          <w:lang w:val="en-US"/>
        </w:rPr>
        <w:t xml:space="preserve"> authorities in </w:t>
      </w:r>
      <w:r w:rsidR="000A6A57" w:rsidRPr="00D273FF">
        <w:rPr>
          <w:rFonts w:asciiTheme="minorHAnsi" w:eastAsiaTheme="minorHAnsi" w:hAnsiTheme="minorHAnsi" w:cstheme="minorHAnsi"/>
          <w:b/>
          <w:sz w:val="22"/>
          <w:szCs w:val="22"/>
          <w:lang w:val="en-US"/>
        </w:rPr>
        <w:t>Cohort 1, beginning in 2022</w:t>
      </w:r>
      <w:r w:rsidR="000A6A57" w:rsidRPr="00D273FF">
        <w:rPr>
          <w:rFonts w:asciiTheme="minorHAnsi" w:eastAsiaTheme="minorHAnsi" w:hAnsiTheme="minorHAnsi" w:cstheme="minorHAnsi"/>
          <w:sz w:val="22"/>
          <w:szCs w:val="22"/>
          <w:lang w:val="en-US"/>
        </w:rPr>
        <w:t xml:space="preserve"> and now advanc</w:t>
      </w:r>
      <w:r w:rsidRPr="00D273FF">
        <w:rPr>
          <w:rFonts w:asciiTheme="minorHAnsi" w:hAnsiTheme="minorHAnsi" w:cstheme="minorHAnsi"/>
          <w:sz w:val="22"/>
          <w:szCs w:val="22"/>
          <w:lang w:val="en-US"/>
        </w:rPr>
        <w:t>ing to the capitalisation stage:</w:t>
      </w:r>
      <w:r w:rsidR="000A6A57" w:rsidRPr="00D273FF">
        <w:rPr>
          <w:rFonts w:asciiTheme="minorHAnsi" w:eastAsiaTheme="minorHAnsi" w:hAnsiTheme="minorHAnsi" w:cstheme="minorHAnsi"/>
          <w:sz w:val="22"/>
          <w:szCs w:val="22"/>
          <w:lang w:val="en-US"/>
        </w:rPr>
        <w:t xml:space="preserve"> </w:t>
      </w:r>
    </w:p>
    <w:p w14:paraId="7CFB0E8F" w14:textId="77777777" w:rsidR="00D273FF" w:rsidRPr="00D273FF" w:rsidRDefault="00D273FF" w:rsidP="00D273FF">
      <w:pPr>
        <w:pStyle w:val="Sansinterligne"/>
        <w:numPr>
          <w:ilvl w:val="0"/>
          <w:numId w:val="18"/>
        </w:numPr>
        <w:rPr>
          <w:rFonts w:cstheme="minorHAnsi"/>
          <w:lang w:val="en-GB"/>
        </w:rPr>
      </w:pPr>
      <w:r w:rsidRPr="00D273FF">
        <w:rPr>
          <w:rFonts w:cstheme="minorHAnsi"/>
          <w:lang w:val="en-GB"/>
        </w:rPr>
        <w:t xml:space="preserve">The City of Strasbourg in France; </w:t>
      </w:r>
    </w:p>
    <w:p w14:paraId="466A7038" w14:textId="77777777" w:rsidR="00D273FF" w:rsidRPr="00D273FF" w:rsidRDefault="00D273FF" w:rsidP="00D273FF">
      <w:pPr>
        <w:pStyle w:val="Sansinterligne"/>
        <w:numPr>
          <w:ilvl w:val="0"/>
          <w:numId w:val="18"/>
        </w:numPr>
        <w:rPr>
          <w:rFonts w:cstheme="minorHAnsi"/>
          <w:lang w:val="en-GB"/>
        </w:rPr>
      </w:pPr>
      <w:r w:rsidRPr="00D273FF">
        <w:rPr>
          <w:rFonts w:cstheme="minorHAnsi"/>
          <w:lang w:val="en-GB"/>
        </w:rPr>
        <w:t>The Land of Berlin, in Germany;</w:t>
      </w:r>
    </w:p>
    <w:p w14:paraId="7C600050" w14:textId="77777777" w:rsidR="00D273FF" w:rsidRPr="00D273FF" w:rsidRDefault="00D273FF" w:rsidP="00D273FF">
      <w:pPr>
        <w:pStyle w:val="Sansinterligne"/>
        <w:numPr>
          <w:ilvl w:val="0"/>
          <w:numId w:val="18"/>
        </w:numPr>
        <w:rPr>
          <w:rFonts w:cstheme="minorHAnsi"/>
          <w:lang w:val="en-GB"/>
        </w:rPr>
      </w:pPr>
      <w:r w:rsidRPr="00D273FF">
        <w:rPr>
          <w:rFonts w:cstheme="minorHAnsi"/>
          <w:lang w:val="en-GB"/>
        </w:rPr>
        <w:t xml:space="preserve">The Land of Hamburg in Germany; </w:t>
      </w:r>
    </w:p>
    <w:p w14:paraId="09F8F374" w14:textId="77777777" w:rsidR="00D273FF" w:rsidRPr="00D273FF" w:rsidRDefault="00D273FF" w:rsidP="00D273FF">
      <w:pPr>
        <w:pStyle w:val="Sansinterligne"/>
        <w:numPr>
          <w:ilvl w:val="0"/>
          <w:numId w:val="18"/>
        </w:numPr>
        <w:rPr>
          <w:rFonts w:cstheme="minorHAnsi"/>
          <w:lang w:val="en-GB"/>
        </w:rPr>
      </w:pPr>
      <w:r w:rsidRPr="00D273FF">
        <w:rPr>
          <w:rFonts w:cstheme="minorHAnsi"/>
          <w:lang w:val="en-GB"/>
        </w:rPr>
        <w:t xml:space="preserve">The Land of Sachsen-Anhalt in Germany; </w:t>
      </w:r>
    </w:p>
    <w:p w14:paraId="2EA05C51" w14:textId="77777777" w:rsidR="00D273FF" w:rsidRPr="00D273FF" w:rsidRDefault="00D273FF" w:rsidP="00D273FF">
      <w:pPr>
        <w:pStyle w:val="Sansinterligne"/>
        <w:numPr>
          <w:ilvl w:val="0"/>
          <w:numId w:val="18"/>
        </w:numPr>
        <w:rPr>
          <w:rFonts w:cstheme="minorHAnsi"/>
          <w:lang w:val="en-GB"/>
        </w:rPr>
      </w:pPr>
      <w:r w:rsidRPr="00D273FF">
        <w:rPr>
          <w:rFonts w:cstheme="minorHAnsi"/>
          <w:lang w:val="en-GB"/>
        </w:rPr>
        <w:t xml:space="preserve">The Commission for Citizenship and Gender Equality in Portugal; </w:t>
      </w:r>
    </w:p>
    <w:p w14:paraId="59026B96" w14:textId="597B61AC" w:rsidR="00D273FF" w:rsidRPr="00D273FF" w:rsidRDefault="00D273FF" w:rsidP="00D273FF">
      <w:pPr>
        <w:pStyle w:val="Sansinterligne"/>
        <w:numPr>
          <w:ilvl w:val="0"/>
          <w:numId w:val="18"/>
        </w:numPr>
        <w:rPr>
          <w:rFonts w:cstheme="minorHAnsi"/>
          <w:lang w:val="en-GB"/>
        </w:rPr>
      </w:pPr>
      <w:r w:rsidRPr="00D273FF">
        <w:rPr>
          <w:rFonts w:cstheme="minorHAnsi"/>
          <w:lang w:val="en-GB"/>
        </w:rPr>
        <w:t xml:space="preserve">The Department of Children, Disability, </w:t>
      </w:r>
      <w:r w:rsidR="00FA6270">
        <w:rPr>
          <w:rFonts w:cstheme="minorHAnsi"/>
          <w:lang w:val="en-GB"/>
        </w:rPr>
        <w:t xml:space="preserve">and </w:t>
      </w:r>
      <w:r w:rsidR="00FA6270" w:rsidRPr="00D273FF">
        <w:rPr>
          <w:rFonts w:cstheme="minorHAnsi"/>
          <w:lang w:val="en-GB"/>
        </w:rPr>
        <w:t xml:space="preserve">Equality </w:t>
      </w:r>
      <w:r w:rsidR="00FA6270">
        <w:rPr>
          <w:rFonts w:cstheme="minorHAnsi"/>
          <w:lang w:val="en-GB"/>
        </w:rPr>
        <w:t>i</w:t>
      </w:r>
      <w:r w:rsidRPr="00D273FF">
        <w:rPr>
          <w:rFonts w:cstheme="minorHAnsi"/>
          <w:lang w:val="en-GB"/>
        </w:rPr>
        <w:t xml:space="preserve">n Ireland; </w:t>
      </w:r>
    </w:p>
    <w:p w14:paraId="4CE6435E" w14:textId="02183162" w:rsidR="00D273FF" w:rsidRPr="00D273FF" w:rsidRDefault="00D273FF" w:rsidP="00D273FF">
      <w:pPr>
        <w:pStyle w:val="Sansinterligne"/>
        <w:numPr>
          <w:ilvl w:val="0"/>
          <w:numId w:val="18"/>
        </w:numPr>
        <w:rPr>
          <w:rFonts w:cstheme="minorHAnsi"/>
          <w:lang w:val="en-GB"/>
        </w:rPr>
      </w:pPr>
      <w:r w:rsidRPr="00D273FF">
        <w:rPr>
          <w:rFonts w:cstheme="minorHAnsi"/>
          <w:lang w:val="en-GB"/>
        </w:rPr>
        <w:t>The National Agency for Equal Opportunities Between Women and Men in Romania</w:t>
      </w:r>
      <w:r w:rsidR="00B84642">
        <w:rPr>
          <w:rFonts w:cstheme="minorHAnsi"/>
          <w:lang w:val="en-GB"/>
        </w:rPr>
        <w:t>;</w:t>
      </w:r>
      <w:r w:rsidRPr="00D273FF">
        <w:rPr>
          <w:rFonts w:cstheme="minorHAnsi"/>
          <w:lang w:val="en-GB"/>
        </w:rPr>
        <w:t xml:space="preserve"> </w:t>
      </w:r>
    </w:p>
    <w:p w14:paraId="38B339E0" w14:textId="6F29361D" w:rsidR="00D273FF" w:rsidRPr="00D273FF" w:rsidRDefault="00FA6270" w:rsidP="00D273FF">
      <w:pPr>
        <w:pStyle w:val="Sansinterligne"/>
        <w:numPr>
          <w:ilvl w:val="0"/>
          <w:numId w:val="18"/>
        </w:numPr>
        <w:rPr>
          <w:rFonts w:cstheme="minorHAnsi"/>
          <w:lang w:val="en-GB"/>
        </w:rPr>
      </w:pPr>
      <w:r w:rsidRPr="00D273FF">
        <w:rPr>
          <w:rFonts w:cstheme="minorHAnsi"/>
          <w:lang w:val="en-GB"/>
        </w:rPr>
        <w:t>And</w:t>
      </w:r>
      <w:r w:rsidR="00D273FF" w:rsidRPr="00D273FF">
        <w:rPr>
          <w:rFonts w:cstheme="minorHAnsi"/>
          <w:lang w:val="en-GB"/>
        </w:rPr>
        <w:t xml:space="preserve"> the General Secretariat for Equality and Human Rights in Greece at central level.</w:t>
      </w:r>
    </w:p>
    <w:p w14:paraId="7C4042A8" w14:textId="0D5F29D6" w:rsidR="000A6A57" w:rsidRPr="00D273FF" w:rsidRDefault="00D273FF" w:rsidP="00D273FF">
      <w:pPr>
        <w:pStyle w:val="Paragraphedeliste"/>
        <w:numPr>
          <w:ilvl w:val="0"/>
          <w:numId w:val="20"/>
        </w:numPr>
        <w:spacing w:before="100" w:beforeAutospacing="1" w:after="100" w:afterAutospacing="1" w:line="240" w:lineRule="auto"/>
        <w:rPr>
          <w:rFonts w:asciiTheme="minorHAnsi" w:hAnsiTheme="minorHAnsi" w:cstheme="minorHAnsi"/>
          <w:sz w:val="22"/>
          <w:szCs w:val="22"/>
          <w:lang w:val="en-US"/>
        </w:rPr>
      </w:pPr>
      <w:r w:rsidRPr="00D273FF">
        <w:rPr>
          <w:rFonts w:asciiTheme="minorHAnsi" w:hAnsiTheme="minorHAnsi" w:cstheme="minorHAnsi"/>
          <w:sz w:val="22"/>
          <w:szCs w:val="22"/>
        </w:rPr>
        <w:t>A</w:t>
      </w:r>
      <w:r w:rsidR="000A6A57" w:rsidRPr="00D273FF">
        <w:rPr>
          <w:rFonts w:asciiTheme="minorHAnsi" w:eastAsiaTheme="minorHAnsi" w:hAnsiTheme="minorHAnsi" w:cstheme="minorHAnsi"/>
          <w:sz w:val="22"/>
          <w:szCs w:val="22"/>
          <w:lang w:val="en-US"/>
        </w:rPr>
        <w:t xml:space="preserve">nd three authorities in </w:t>
      </w:r>
      <w:r w:rsidR="000A6A57" w:rsidRPr="00D273FF">
        <w:rPr>
          <w:rFonts w:asciiTheme="minorHAnsi" w:eastAsiaTheme="minorHAnsi" w:hAnsiTheme="minorHAnsi" w:cstheme="minorHAnsi"/>
          <w:b/>
          <w:sz w:val="22"/>
          <w:szCs w:val="22"/>
          <w:lang w:val="en-US"/>
        </w:rPr>
        <w:t>Cohort 2, joining in 2024</w:t>
      </w:r>
      <w:r w:rsidR="000A6A57" w:rsidRPr="00D273FF">
        <w:rPr>
          <w:rFonts w:asciiTheme="minorHAnsi" w:eastAsiaTheme="minorHAnsi" w:hAnsiTheme="minorHAnsi" w:cstheme="minorHAnsi"/>
          <w:sz w:val="22"/>
          <w:szCs w:val="22"/>
          <w:lang w:val="en-US"/>
        </w:rPr>
        <w:t xml:space="preserve"> and curr</w:t>
      </w:r>
      <w:r w:rsidRPr="00D273FF">
        <w:rPr>
          <w:rFonts w:asciiTheme="minorHAnsi" w:hAnsiTheme="minorHAnsi" w:cstheme="minorHAnsi"/>
          <w:sz w:val="22"/>
          <w:szCs w:val="22"/>
          <w:lang w:val="en-US"/>
        </w:rPr>
        <w:t>ently engaged in implementation:</w:t>
      </w:r>
    </w:p>
    <w:p w14:paraId="6443C485" w14:textId="46A40F1A" w:rsidR="000A6A57" w:rsidRPr="00D273FF" w:rsidRDefault="000A6A57" w:rsidP="00D273FF">
      <w:pPr>
        <w:pStyle w:val="Sansinterligne"/>
        <w:numPr>
          <w:ilvl w:val="0"/>
          <w:numId w:val="19"/>
        </w:numPr>
        <w:rPr>
          <w:rFonts w:cstheme="minorHAnsi"/>
          <w:lang w:val="en-GB"/>
        </w:rPr>
      </w:pPr>
      <w:r w:rsidRPr="00D273FF">
        <w:rPr>
          <w:rFonts w:cstheme="minorHAnsi"/>
          <w:lang w:val="en-GB"/>
        </w:rPr>
        <w:t>The General Secretariat for Equality and Human Rights in Greece, to suppo</w:t>
      </w:r>
      <w:r w:rsidR="00B84642">
        <w:rPr>
          <w:rFonts w:cstheme="minorHAnsi"/>
          <w:lang w:val="en-GB"/>
        </w:rPr>
        <w:t>rt the local and regional level;</w:t>
      </w:r>
    </w:p>
    <w:p w14:paraId="16D70992" w14:textId="0F4480F6" w:rsidR="000A6A57" w:rsidRPr="00D273FF" w:rsidRDefault="000A6A57" w:rsidP="00D273FF">
      <w:pPr>
        <w:pStyle w:val="Sansinterligne"/>
        <w:numPr>
          <w:ilvl w:val="0"/>
          <w:numId w:val="19"/>
        </w:numPr>
        <w:rPr>
          <w:rFonts w:cstheme="minorHAnsi"/>
          <w:lang w:val="en-GB"/>
        </w:rPr>
      </w:pPr>
      <w:r w:rsidRPr="00D273FF">
        <w:rPr>
          <w:rFonts w:cstheme="minorHAnsi"/>
          <w:lang w:val="en-GB"/>
        </w:rPr>
        <w:t xml:space="preserve">The Ministry </w:t>
      </w:r>
      <w:r w:rsidR="00B84642">
        <w:rPr>
          <w:rFonts w:cstheme="minorHAnsi"/>
          <w:lang w:val="en-GB"/>
        </w:rPr>
        <w:t>of Economy and Finance in Italy;</w:t>
      </w:r>
    </w:p>
    <w:p w14:paraId="5296E50E" w14:textId="6A061EEB" w:rsidR="000A6A57" w:rsidRPr="00D273FF" w:rsidRDefault="000A6A57" w:rsidP="00D273FF">
      <w:pPr>
        <w:pStyle w:val="Sansinterligne"/>
        <w:numPr>
          <w:ilvl w:val="0"/>
          <w:numId w:val="19"/>
        </w:numPr>
        <w:rPr>
          <w:rFonts w:cstheme="minorHAnsi"/>
          <w:lang w:val="en-GB"/>
        </w:rPr>
      </w:pPr>
      <w:r w:rsidRPr="00D273FF">
        <w:rPr>
          <w:rFonts w:cstheme="minorHAnsi"/>
          <w:lang w:val="en-GB"/>
        </w:rPr>
        <w:t>The Ministry of Finance in Cyprus.</w:t>
      </w:r>
    </w:p>
    <w:p w14:paraId="484A25E2" w14:textId="77777777" w:rsidR="000A6A57" w:rsidRPr="000A6A57" w:rsidRDefault="000A6A57" w:rsidP="000A6A57">
      <w:pPr>
        <w:spacing w:before="100" w:beforeAutospacing="1" w:after="100" w:afterAutospacing="1" w:line="240" w:lineRule="auto"/>
        <w:jc w:val="both"/>
        <w:rPr>
          <w:rFonts w:cstheme="minorHAnsi"/>
          <w:lang w:val="en-US"/>
        </w:rPr>
      </w:pPr>
      <w:r w:rsidRPr="000A6A57">
        <w:rPr>
          <w:rFonts w:cstheme="minorHAnsi"/>
          <w:lang w:val="en-US"/>
        </w:rPr>
        <w:t>Across both cohorts, each Beneficiary Authority has followed the same sequence: initial analysis, implementation of recommendations and action plans, and consolidation of results and lessons learned.</w:t>
      </w:r>
    </w:p>
    <w:p w14:paraId="3493D2B1" w14:textId="77777777" w:rsidR="00D273FF" w:rsidRDefault="00D273FF" w:rsidP="009953B6">
      <w:pPr>
        <w:jc w:val="both"/>
        <w:rPr>
          <w:rFonts w:cstheme="minorHAnsi"/>
          <w:b/>
          <w:u w:val="single"/>
          <w:lang w:val="en-GB"/>
        </w:rPr>
      </w:pPr>
    </w:p>
    <w:p w14:paraId="05EC374F" w14:textId="3C7D78E6" w:rsidR="009953B6" w:rsidRPr="00D273FF" w:rsidRDefault="009953B6" w:rsidP="009953B6">
      <w:pPr>
        <w:jc w:val="both"/>
        <w:rPr>
          <w:rFonts w:cstheme="minorHAnsi"/>
          <w:lang w:val="en-GB"/>
        </w:rPr>
      </w:pPr>
      <w:r w:rsidRPr="00D273FF">
        <w:rPr>
          <w:rFonts w:cstheme="minorHAnsi"/>
          <w:b/>
          <w:u w:val="single"/>
          <w:lang w:val="en-GB"/>
        </w:rPr>
        <w:lastRenderedPageBreak/>
        <w:t>Component 2</w:t>
      </w:r>
      <w:r w:rsidRPr="00D273FF">
        <w:rPr>
          <w:rFonts w:cstheme="minorHAnsi"/>
          <w:lang w:val="en-GB"/>
        </w:rPr>
        <w:t xml:space="preserve">: </w:t>
      </w:r>
      <w:r w:rsidRPr="00D273FF">
        <w:rPr>
          <w:rFonts w:cstheme="minorHAnsi"/>
          <w:i/>
          <w:lang w:val="en-GB"/>
        </w:rPr>
        <w:t>Operationalization: Capacity building and implementation of GB, GIA or GAP tools;</w:t>
      </w:r>
    </w:p>
    <w:p w14:paraId="65D61C52" w14:textId="2CAAC527" w:rsidR="008462F0" w:rsidRPr="00D273FF" w:rsidRDefault="00D214FD" w:rsidP="009953B6">
      <w:pPr>
        <w:jc w:val="both"/>
        <w:rPr>
          <w:rFonts w:cstheme="minorHAnsi"/>
          <w:lang w:val="en-GB"/>
        </w:rPr>
      </w:pPr>
      <w:r w:rsidRPr="00D273FF">
        <w:rPr>
          <w:rFonts w:cstheme="minorHAnsi"/>
          <w:lang w:val="en-GB"/>
        </w:rPr>
        <w:t xml:space="preserve">Several field missions will be organised to provide </w:t>
      </w:r>
      <w:r w:rsidRPr="00D273FF">
        <w:rPr>
          <w:rFonts w:cstheme="minorHAnsi"/>
          <w:bCs/>
          <w:lang w:val="en-GB"/>
        </w:rPr>
        <w:t>tailored support</w:t>
      </w:r>
      <w:r w:rsidRPr="00D273FF">
        <w:rPr>
          <w:rFonts w:cstheme="minorHAnsi"/>
          <w:lang w:val="en-GB"/>
        </w:rPr>
        <w:t xml:space="preserve"> to</w:t>
      </w:r>
      <w:r w:rsidR="000A6A57" w:rsidRPr="00D273FF">
        <w:rPr>
          <w:rFonts w:cstheme="minorHAnsi"/>
          <w:lang w:val="en-GB"/>
        </w:rPr>
        <w:t xml:space="preserve"> the</w:t>
      </w:r>
      <w:r w:rsidRPr="00D273FF">
        <w:rPr>
          <w:rFonts w:cstheme="minorHAnsi"/>
          <w:lang w:val="en-GB"/>
        </w:rPr>
        <w:t xml:space="preserve"> </w:t>
      </w:r>
      <w:r w:rsidR="008462F0" w:rsidRPr="00D273FF">
        <w:rPr>
          <w:rFonts w:cstheme="minorHAnsi"/>
          <w:b/>
          <w:lang w:val="en-GB"/>
        </w:rPr>
        <w:t>three</w:t>
      </w:r>
      <w:r w:rsidR="008462F0" w:rsidRPr="00D273FF">
        <w:rPr>
          <w:rFonts w:cstheme="minorHAnsi"/>
          <w:lang w:val="en-GB"/>
        </w:rPr>
        <w:t xml:space="preserve"> beneficiary authorities</w:t>
      </w:r>
      <w:r w:rsidR="000A6A57" w:rsidRPr="00D273FF">
        <w:rPr>
          <w:rFonts w:cstheme="minorHAnsi"/>
          <w:lang w:val="en-GB"/>
        </w:rPr>
        <w:t xml:space="preserve"> of Cohort 2</w:t>
      </w:r>
      <w:r w:rsidR="008462F0" w:rsidRPr="00D273FF">
        <w:rPr>
          <w:rFonts w:cstheme="minorHAnsi"/>
          <w:lang w:val="en-GB"/>
        </w:rPr>
        <w:t xml:space="preserve">: </w:t>
      </w:r>
    </w:p>
    <w:p w14:paraId="32E938FB" w14:textId="1FAF3FF6" w:rsidR="00D214FD" w:rsidRPr="00D273FF" w:rsidRDefault="00D214FD" w:rsidP="009953B6">
      <w:pPr>
        <w:jc w:val="both"/>
        <w:rPr>
          <w:rFonts w:cstheme="minorHAnsi"/>
          <w:bCs/>
          <w:lang w:val="en-GB"/>
        </w:rPr>
      </w:pPr>
      <w:r w:rsidRPr="00D273FF">
        <w:rPr>
          <w:rFonts w:cstheme="minorHAnsi"/>
          <w:lang w:val="en-GB"/>
        </w:rPr>
        <w:t xml:space="preserve">The focus and activities will be guided by the Action Plan (output of A.1.4), which has been adapted to the national context and administrative specificities. The expert will work directly with public officials </w:t>
      </w:r>
      <w:r w:rsidRPr="00D273FF">
        <w:rPr>
          <w:rFonts w:cstheme="minorHAnsi"/>
          <w:bCs/>
          <w:lang w:val="en-GB"/>
        </w:rPr>
        <w:t xml:space="preserve">to address the obstacles and capacity-building needs identified during the in-depth analysis and validated with each </w:t>
      </w:r>
      <w:r w:rsidR="008462F0" w:rsidRPr="00D273FF">
        <w:rPr>
          <w:rFonts w:cstheme="minorHAnsi"/>
          <w:bCs/>
          <w:lang w:val="en-GB"/>
        </w:rPr>
        <w:t xml:space="preserve">beneficiary </w:t>
      </w:r>
      <w:r w:rsidRPr="00D273FF">
        <w:rPr>
          <w:rFonts w:cstheme="minorHAnsi"/>
          <w:bCs/>
          <w:lang w:val="en-GB"/>
        </w:rPr>
        <w:t>authority through the</w:t>
      </w:r>
      <w:r w:rsidR="008462F0" w:rsidRPr="00D273FF">
        <w:rPr>
          <w:rFonts w:cstheme="minorHAnsi"/>
          <w:bCs/>
          <w:lang w:val="en-GB"/>
        </w:rPr>
        <w:t>ir</w:t>
      </w:r>
      <w:r w:rsidRPr="00D273FF">
        <w:rPr>
          <w:rFonts w:cstheme="minorHAnsi"/>
          <w:bCs/>
          <w:lang w:val="en-GB"/>
        </w:rPr>
        <w:t xml:space="preserve"> Action Plan.</w:t>
      </w:r>
    </w:p>
    <w:p w14:paraId="659997DB" w14:textId="67360529" w:rsidR="00D214FD" w:rsidRPr="00D273FF" w:rsidRDefault="00D214FD" w:rsidP="009953B6">
      <w:pPr>
        <w:jc w:val="both"/>
        <w:rPr>
          <w:rFonts w:cstheme="minorHAnsi"/>
          <w:b/>
          <w:bCs/>
          <w:lang w:val="en-GB"/>
        </w:rPr>
      </w:pPr>
      <w:r w:rsidRPr="00D273FF">
        <w:rPr>
          <w:rFonts w:cstheme="minorHAnsi"/>
          <w:lang w:val="en-GB"/>
        </w:rPr>
        <w:t xml:space="preserve">This component will run for approximately six months, </w:t>
      </w:r>
      <w:r w:rsidRPr="00D273FF">
        <w:rPr>
          <w:rFonts w:cstheme="minorHAnsi"/>
          <w:b/>
          <w:bCs/>
          <w:lang w:val="en-GB"/>
        </w:rPr>
        <w:t>from January to July 2026.</w:t>
      </w:r>
    </w:p>
    <w:p w14:paraId="1E70E82A" w14:textId="77777777" w:rsidR="00D214FD" w:rsidRPr="00D273FF" w:rsidRDefault="00D214FD" w:rsidP="008462F0">
      <w:pPr>
        <w:pStyle w:val="Sansinterligne"/>
        <w:rPr>
          <w:rFonts w:cstheme="minorHAnsi"/>
          <w:lang w:val="en-US"/>
        </w:rPr>
      </w:pPr>
    </w:p>
    <w:p w14:paraId="575FD9A8" w14:textId="383BB4F3" w:rsidR="009953B6" w:rsidRPr="00D273FF" w:rsidRDefault="009953B6" w:rsidP="009953B6">
      <w:pPr>
        <w:jc w:val="both"/>
        <w:rPr>
          <w:rFonts w:cstheme="minorHAnsi"/>
          <w:i/>
          <w:lang w:val="en-US"/>
        </w:rPr>
      </w:pPr>
      <w:r w:rsidRPr="00D273FF">
        <w:rPr>
          <w:rFonts w:cstheme="minorHAnsi"/>
          <w:b/>
          <w:u w:val="single"/>
          <w:lang w:val="en-US"/>
        </w:rPr>
        <w:t>Component 3</w:t>
      </w:r>
      <w:r w:rsidRPr="00D273FF">
        <w:rPr>
          <w:rFonts w:cstheme="minorHAnsi"/>
          <w:lang w:val="en-US"/>
        </w:rPr>
        <w:t xml:space="preserve">: </w:t>
      </w:r>
      <w:r w:rsidRPr="00D273FF">
        <w:rPr>
          <w:rFonts w:cstheme="minorHAnsi"/>
          <w:i/>
          <w:lang w:val="en-US"/>
        </w:rPr>
        <w:t>Capitalisation: Embedding the new practices and enabling their duplication across institutions.</w:t>
      </w:r>
    </w:p>
    <w:p w14:paraId="5814E754" w14:textId="0FBDC3E1" w:rsidR="008462F0" w:rsidRPr="00D273FF" w:rsidRDefault="008462F0" w:rsidP="008462F0">
      <w:pPr>
        <w:spacing w:before="100" w:beforeAutospacing="1" w:after="100" w:afterAutospacing="1" w:line="240" w:lineRule="auto"/>
        <w:jc w:val="both"/>
        <w:rPr>
          <w:rFonts w:cstheme="minorHAnsi"/>
          <w:lang w:val="en-GB"/>
        </w:rPr>
      </w:pPr>
      <w:r w:rsidRPr="008462F0">
        <w:rPr>
          <w:rFonts w:cstheme="minorHAnsi"/>
          <w:lang w:val="en-GB"/>
        </w:rPr>
        <w:t xml:space="preserve">This component aims to ensure that the knowledge and practices developed throughout the project are captured and organised in a </w:t>
      </w:r>
      <w:r w:rsidRPr="00D273FF">
        <w:rPr>
          <w:rFonts w:cstheme="minorHAnsi"/>
          <w:lang w:val="en-GB"/>
        </w:rPr>
        <w:t>short, coherent</w:t>
      </w:r>
      <w:r w:rsidRPr="008462F0">
        <w:rPr>
          <w:rFonts w:cstheme="minorHAnsi"/>
          <w:lang w:val="en-GB"/>
        </w:rPr>
        <w:t xml:space="preserve"> and accessible format. </w:t>
      </w:r>
    </w:p>
    <w:p w14:paraId="49579A5A" w14:textId="6FA49611" w:rsidR="008462F0" w:rsidRPr="008462F0" w:rsidRDefault="00BE1C6A" w:rsidP="008462F0">
      <w:pPr>
        <w:spacing w:before="100" w:beforeAutospacing="1" w:after="100" w:afterAutospacing="1" w:line="240" w:lineRule="auto"/>
        <w:jc w:val="both"/>
        <w:rPr>
          <w:rFonts w:cstheme="minorHAnsi"/>
          <w:lang w:val="en-GB"/>
        </w:rPr>
      </w:pPr>
      <w:r w:rsidRPr="00D273FF">
        <w:rPr>
          <w:rFonts w:cstheme="minorHAnsi"/>
          <w:b/>
          <w:lang w:val="en-GB"/>
        </w:rPr>
        <w:t>For each Beneficiary Authority from Cohorts 1 and 2</w:t>
      </w:r>
      <w:r w:rsidRPr="00D273FF">
        <w:rPr>
          <w:rFonts w:cstheme="minorHAnsi"/>
          <w:lang w:val="en-GB"/>
        </w:rPr>
        <w:t xml:space="preserve"> </w:t>
      </w:r>
      <w:r w:rsidRPr="00D273FF">
        <w:rPr>
          <w:rFonts w:cstheme="minorHAnsi"/>
          <w:b/>
          <w:lang w:val="en-GB"/>
        </w:rPr>
        <w:t>that benefits from tailored technical assistance</w:t>
      </w:r>
      <w:r w:rsidRPr="00D273FF">
        <w:rPr>
          <w:rFonts w:cstheme="minorHAnsi"/>
          <w:lang w:val="en-GB"/>
        </w:rPr>
        <w:t xml:space="preserve">, the expert will prepare consolidated technical notes on good practices. These will document the approaches applied under Component 2 (GB, GIA and GAP), the methodologies tested and the main operational lessons identified. </w:t>
      </w:r>
      <w:r w:rsidR="00DF4EB2">
        <w:rPr>
          <w:rFonts w:cstheme="minorHAnsi"/>
          <w:lang w:val="en-GB"/>
        </w:rPr>
        <w:t>These n</w:t>
      </w:r>
      <w:r w:rsidR="008462F0" w:rsidRPr="008462F0">
        <w:rPr>
          <w:rFonts w:cstheme="minorHAnsi"/>
          <w:lang w:val="en-GB"/>
        </w:rPr>
        <w:t>otes will serve as practical reference materials that authorities may use to support internal dissemination and the voluntary continuation or repl</w:t>
      </w:r>
      <w:r w:rsidR="00DF4EB2">
        <w:rPr>
          <w:rFonts w:cstheme="minorHAnsi"/>
          <w:lang w:val="en-GB"/>
        </w:rPr>
        <w:t xml:space="preserve">ication of Gender Mainstreaming/Budgeting </w:t>
      </w:r>
      <w:r w:rsidR="008462F0" w:rsidRPr="008462F0">
        <w:rPr>
          <w:rFonts w:cstheme="minorHAnsi"/>
          <w:lang w:val="en-GB"/>
        </w:rPr>
        <w:t>practices.</w:t>
      </w:r>
    </w:p>
    <w:p w14:paraId="40C95CC4" w14:textId="7129918D" w:rsidR="008462F0" w:rsidRPr="008462F0" w:rsidRDefault="008462F0" w:rsidP="008462F0">
      <w:pPr>
        <w:spacing w:before="100" w:beforeAutospacing="1" w:after="100" w:afterAutospacing="1" w:line="240" w:lineRule="auto"/>
        <w:jc w:val="both"/>
        <w:rPr>
          <w:rFonts w:cstheme="minorHAnsi"/>
          <w:lang w:val="en-GB"/>
        </w:rPr>
      </w:pPr>
      <w:r w:rsidRPr="005558FF">
        <w:rPr>
          <w:rFonts w:cstheme="minorHAnsi"/>
          <w:b/>
          <w:lang w:val="en-GB"/>
        </w:rPr>
        <w:t xml:space="preserve">The expert will also support each BA </w:t>
      </w:r>
      <w:r w:rsidR="005558FF" w:rsidRPr="005558FF">
        <w:rPr>
          <w:rFonts w:cstheme="minorHAnsi"/>
          <w:b/>
          <w:lang w:val="en-GB"/>
        </w:rPr>
        <w:t xml:space="preserve">of Cohort 2 </w:t>
      </w:r>
      <w:r w:rsidRPr="005558FF">
        <w:rPr>
          <w:rFonts w:cstheme="minorHAnsi"/>
          <w:b/>
          <w:lang w:val="en-GB"/>
        </w:rPr>
        <w:t>in the endorsement and validation of these consolidated outputs</w:t>
      </w:r>
      <w:r w:rsidRPr="008462F0">
        <w:rPr>
          <w:rFonts w:cstheme="minorHAnsi"/>
          <w:lang w:val="en-GB"/>
        </w:rPr>
        <w:t xml:space="preserve">, ensuring that they accurately reflect the activities implemented and are aligned with institutional contexts. These deliverables will feed into the project’s closing-event outputs and contribute to the presentation of achievements at national or </w:t>
      </w:r>
      <w:r w:rsidR="00D273FF">
        <w:rPr>
          <w:rFonts w:cstheme="minorHAnsi"/>
          <w:lang w:val="en-GB"/>
        </w:rPr>
        <w:t xml:space="preserve">European </w:t>
      </w:r>
      <w:r w:rsidRPr="008462F0">
        <w:rPr>
          <w:rFonts w:cstheme="minorHAnsi"/>
          <w:lang w:val="en-GB"/>
        </w:rPr>
        <w:t>level.</w:t>
      </w:r>
    </w:p>
    <w:p w14:paraId="07F89E87" w14:textId="102F5821" w:rsidR="008462F0" w:rsidRPr="008462F0" w:rsidRDefault="008462F0" w:rsidP="008462F0">
      <w:pPr>
        <w:spacing w:before="100" w:beforeAutospacing="1" w:after="100" w:afterAutospacing="1" w:line="240" w:lineRule="auto"/>
        <w:jc w:val="both"/>
        <w:rPr>
          <w:rFonts w:cstheme="minorHAnsi"/>
          <w:lang w:val="en-GB"/>
        </w:rPr>
      </w:pPr>
      <w:r w:rsidRPr="008462F0">
        <w:rPr>
          <w:rFonts w:cstheme="minorHAnsi"/>
          <w:lang w:val="en-GB"/>
        </w:rPr>
        <w:t xml:space="preserve">Component 3 will be implemented in parallel with Component 2 over approximately </w:t>
      </w:r>
      <w:r w:rsidR="00BE1C6A" w:rsidRPr="00D273FF">
        <w:rPr>
          <w:rFonts w:cstheme="minorHAnsi"/>
          <w:lang w:val="en-GB"/>
        </w:rPr>
        <w:t xml:space="preserve">six months, </w:t>
      </w:r>
      <w:r w:rsidR="00BE1C6A" w:rsidRPr="00D273FF">
        <w:rPr>
          <w:rFonts w:cstheme="minorHAnsi"/>
          <w:b/>
          <w:bCs/>
          <w:lang w:val="en-GB"/>
        </w:rPr>
        <w:t xml:space="preserve">from January to July 2026, </w:t>
      </w:r>
      <w:r w:rsidRPr="008462F0">
        <w:rPr>
          <w:rFonts w:cstheme="minorHAnsi"/>
          <w:lang w:val="en-GB"/>
        </w:rPr>
        <w:t>with remote technical support provided as needed.</w:t>
      </w:r>
    </w:p>
    <w:p w14:paraId="09DF4E4E" w14:textId="77777777" w:rsidR="009953B6" w:rsidRPr="00D273FF" w:rsidRDefault="009953B6" w:rsidP="009953B6">
      <w:pPr>
        <w:jc w:val="both"/>
        <w:rPr>
          <w:rFonts w:cstheme="minorHAnsi"/>
          <w:b/>
          <w:lang w:val="en-US"/>
        </w:rPr>
      </w:pPr>
    </w:p>
    <w:p w14:paraId="56CBAFF5" w14:textId="77777777" w:rsidR="009953B6" w:rsidRPr="00065A98" w:rsidRDefault="009953B6" w:rsidP="009953B6">
      <w:pPr>
        <w:pBdr>
          <w:bottom w:val="single" w:sz="4" w:space="1" w:color="auto"/>
        </w:pBdr>
        <w:jc w:val="both"/>
        <w:rPr>
          <w:rFonts w:cstheme="minorHAnsi"/>
          <w:b/>
          <w:lang w:val="en-GB"/>
        </w:rPr>
      </w:pPr>
      <w:r w:rsidRPr="00065A98">
        <w:rPr>
          <w:rFonts w:cstheme="minorHAnsi"/>
          <w:b/>
          <w:lang w:val="en-GB"/>
        </w:rPr>
        <w:t>2.</w:t>
      </w:r>
      <w:r w:rsidRPr="00065A98">
        <w:rPr>
          <w:rFonts w:cstheme="minorHAnsi"/>
          <w:b/>
          <w:lang w:val="en-GB"/>
        </w:rPr>
        <w:tab/>
        <w:t xml:space="preserve">Description of the mission </w:t>
      </w:r>
    </w:p>
    <w:p w14:paraId="0730A18A" w14:textId="075CEC89" w:rsidR="00D214FD" w:rsidRDefault="00A467EB" w:rsidP="00BE1C6A">
      <w:pPr>
        <w:jc w:val="both"/>
        <w:rPr>
          <w:rFonts w:cstheme="minorHAnsi"/>
          <w:lang w:val="en-GB"/>
        </w:rPr>
      </w:pPr>
      <w:r>
        <w:rPr>
          <w:rFonts w:cstheme="minorHAnsi"/>
          <w:lang w:val="en-GB"/>
        </w:rPr>
        <w:t>The Gender Responsive Budgeting</w:t>
      </w:r>
      <w:r w:rsidR="009953B6" w:rsidRPr="00065A98">
        <w:rPr>
          <w:rFonts w:cstheme="minorHAnsi"/>
          <w:lang w:val="en-GB"/>
        </w:rPr>
        <w:t xml:space="preserve"> Expert will be mobilised to support the deployment of the project and provide technical support adapted to the specificities of each beneficiary</w:t>
      </w:r>
      <w:r w:rsidR="00BE1C6A">
        <w:rPr>
          <w:rFonts w:cstheme="minorHAnsi"/>
          <w:lang w:val="en-GB"/>
        </w:rPr>
        <w:t>.</w:t>
      </w:r>
    </w:p>
    <w:p w14:paraId="12EAFBF8" w14:textId="46C90BC4" w:rsidR="007A3983" w:rsidRPr="00D214FD" w:rsidRDefault="007A3983" w:rsidP="00BE1C6A">
      <w:pPr>
        <w:jc w:val="both"/>
        <w:rPr>
          <w:rFonts w:cstheme="minorHAnsi"/>
          <w:lang w:val="en-GB"/>
        </w:rPr>
      </w:pPr>
      <w:r>
        <w:rPr>
          <w:rFonts w:cstheme="minorHAnsi"/>
          <w:lang w:val="en-GB"/>
        </w:rPr>
        <w:t>The expected number of working days is 91</w:t>
      </w:r>
      <w:r w:rsidR="009233D2">
        <w:rPr>
          <w:rFonts w:cstheme="minorHAnsi"/>
          <w:lang w:val="en-GB"/>
        </w:rPr>
        <w:t xml:space="preserve"> until the </w:t>
      </w:r>
      <w:r w:rsidR="00F217AB">
        <w:rPr>
          <w:rFonts w:cstheme="minorHAnsi"/>
          <w:lang w:val="en-GB"/>
        </w:rPr>
        <w:t>deliverables are completed</w:t>
      </w:r>
      <w:r>
        <w:rPr>
          <w:rFonts w:cstheme="minorHAnsi"/>
          <w:lang w:val="en-GB"/>
        </w:rPr>
        <w:t xml:space="preserve">. </w:t>
      </w:r>
    </w:p>
    <w:p w14:paraId="70FC9C99" w14:textId="495CC64F" w:rsidR="009953B6" w:rsidRPr="00D214FD" w:rsidRDefault="009953B6" w:rsidP="00D214FD">
      <w:pPr>
        <w:rPr>
          <w:rFonts w:cstheme="minorHAnsi"/>
        </w:rPr>
      </w:pPr>
      <w:r w:rsidRPr="00D214FD">
        <w:rPr>
          <w:rFonts w:cstheme="minorHAnsi"/>
        </w:rPr>
        <w:t xml:space="preserve">Main tasks: </w:t>
      </w:r>
    </w:p>
    <w:p w14:paraId="261099F0" w14:textId="77777777" w:rsidR="00D84825" w:rsidRPr="00D84825" w:rsidRDefault="00D84825" w:rsidP="00D84825">
      <w:pPr>
        <w:pStyle w:val="Paragraphedeliste"/>
        <w:numPr>
          <w:ilvl w:val="0"/>
          <w:numId w:val="5"/>
        </w:numPr>
        <w:rPr>
          <w:rFonts w:asciiTheme="minorHAnsi" w:hAnsiTheme="minorHAnsi" w:cstheme="minorHAnsi"/>
          <w:sz w:val="22"/>
          <w:szCs w:val="22"/>
        </w:rPr>
      </w:pPr>
      <w:r w:rsidRPr="00D84825">
        <w:rPr>
          <w:rFonts w:asciiTheme="minorHAnsi" w:hAnsiTheme="minorHAnsi" w:cstheme="minorHAnsi"/>
          <w:sz w:val="22"/>
          <w:szCs w:val="22"/>
        </w:rPr>
        <w:t>Technical support with direct accompaniment to the beneficiaries;</w:t>
      </w:r>
    </w:p>
    <w:p w14:paraId="65EE4581" w14:textId="77777777" w:rsidR="00D84825" w:rsidRPr="00D84825" w:rsidRDefault="00D84825" w:rsidP="00D84825">
      <w:pPr>
        <w:pStyle w:val="Paragraphedeliste"/>
        <w:numPr>
          <w:ilvl w:val="0"/>
          <w:numId w:val="5"/>
        </w:numPr>
        <w:rPr>
          <w:rFonts w:asciiTheme="minorHAnsi" w:hAnsiTheme="minorHAnsi" w:cstheme="minorHAnsi"/>
          <w:sz w:val="22"/>
          <w:szCs w:val="22"/>
        </w:rPr>
      </w:pPr>
      <w:r w:rsidRPr="00D84825">
        <w:rPr>
          <w:rFonts w:asciiTheme="minorHAnsi" w:hAnsiTheme="minorHAnsi" w:cstheme="minorHAnsi"/>
          <w:sz w:val="22"/>
          <w:szCs w:val="22"/>
        </w:rPr>
        <w:t>Transversal support for the coordination and definition of the activities;</w:t>
      </w:r>
    </w:p>
    <w:p w14:paraId="00ED6459" w14:textId="54FE9C31" w:rsidR="00D84825" w:rsidRPr="00D84825" w:rsidRDefault="00D84825" w:rsidP="00D84825">
      <w:pPr>
        <w:pStyle w:val="Paragraphedeliste"/>
        <w:numPr>
          <w:ilvl w:val="0"/>
          <w:numId w:val="5"/>
        </w:numPr>
        <w:rPr>
          <w:rFonts w:asciiTheme="minorHAnsi" w:hAnsiTheme="minorHAnsi" w:cstheme="minorHAnsi"/>
          <w:sz w:val="22"/>
          <w:szCs w:val="22"/>
        </w:rPr>
      </w:pPr>
      <w:r w:rsidRPr="00D84825">
        <w:rPr>
          <w:rFonts w:asciiTheme="minorHAnsi" w:hAnsiTheme="minorHAnsi" w:cstheme="minorHAnsi"/>
          <w:sz w:val="22"/>
          <w:szCs w:val="22"/>
        </w:rPr>
        <w:t xml:space="preserve">Definition of the needs in terms of short term expertise </w:t>
      </w:r>
      <w:r w:rsidR="00036730">
        <w:rPr>
          <w:rFonts w:asciiTheme="minorHAnsi" w:hAnsiTheme="minorHAnsi" w:cstheme="minorHAnsi"/>
          <w:sz w:val="22"/>
          <w:szCs w:val="22"/>
        </w:rPr>
        <w:t xml:space="preserve">and support for the supervision, coordination and communication with </w:t>
      </w:r>
      <w:r w:rsidRPr="00D84825">
        <w:rPr>
          <w:rFonts w:asciiTheme="minorHAnsi" w:hAnsiTheme="minorHAnsi" w:cstheme="minorHAnsi"/>
          <w:sz w:val="22"/>
          <w:szCs w:val="22"/>
        </w:rPr>
        <w:t>the</w:t>
      </w:r>
      <w:r w:rsidR="002142E6">
        <w:rPr>
          <w:rFonts w:asciiTheme="minorHAnsi" w:hAnsiTheme="minorHAnsi" w:cstheme="minorHAnsi"/>
          <w:sz w:val="22"/>
          <w:szCs w:val="22"/>
        </w:rPr>
        <w:t xml:space="preserve"> local</w:t>
      </w:r>
      <w:r w:rsidRPr="00D84825">
        <w:rPr>
          <w:rFonts w:asciiTheme="minorHAnsi" w:hAnsiTheme="minorHAnsi" w:cstheme="minorHAnsi"/>
          <w:sz w:val="22"/>
          <w:szCs w:val="22"/>
        </w:rPr>
        <w:t xml:space="preserve"> experts</w:t>
      </w:r>
      <w:r w:rsidR="002142E6">
        <w:rPr>
          <w:rFonts w:asciiTheme="minorHAnsi" w:hAnsiTheme="minorHAnsi" w:cstheme="minorHAnsi"/>
          <w:sz w:val="22"/>
          <w:szCs w:val="22"/>
        </w:rPr>
        <w:t xml:space="preserve"> including their reporting</w:t>
      </w:r>
      <w:r w:rsidRPr="00D84825">
        <w:rPr>
          <w:rFonts w:asciiTheme="minorHAnsi" w:hAnsiTheme="minorHAnsi" w:cstheme="minorHAnsi"/>
          <w:sz w:val="22"/>
          <w:szCs w:val="22"/>
        </w:rPr>
        <w:t xml:space="preserve">; </w:t>
      </w:r>
    </w:p>
    <w:p w14:paraId="2E2F4ED3" w14:textId="4262E4A4" w:rsidR="00D84825" w:rsidRPr="00D84825" w:rsidRDefault="00D84825" w:rsidP="00D84825">
      <w:pPr>
        <w:pStyle w:val="Paragraphedeliste"/>
        <w:numPr>
          <w:ilvl w:val="0"/>
          <w:numId w:val="5"/>
        </w:numPr>
        <w:rPr>
          <w:rFonts w:asciiTheme="minorHAnsi" w:hAnsiTheme="minorHAnsi" w:cstheme="minorHAnsi"/>
          <w:sz w:val="22"/>
          <w:szCs w:val="22"/>
        </w:rPr>
      </w:pPr>
      <w:r w:rsidRPr="00D84825">
        <w:rPr>
          <w:rFonts w:asciiTheme="minorHAnsi" w:hAnsiTheme="minorHAnsi" w:cstheme="minorHAnsi"/>
          <w:sz w:val="22"/>
          <w:szCs w:val="22"/>
        </w:rPr>
        <w:t xml:space="preserve">Support for technical </w:t>
      </w:r>
      <w:r w:rsidR="002142E6">
        <w:rPr>
          <w:rFonts w:asciiTheme="minorHAnsi" w:hAnsiTheme="minorHAnsi" w:cstheme="minorHAnsi"/>
          <w:sz w:val="22"/>
          <w:szCs w:val="22"/>
        </w:rPr>
        <w:t xml:space="preserve">progress </w:t>
      </w:r>
      <w:r w:rsidRPr="00D84825">
        <w:rPr>
          <w:rFonts w:asciiTheme="minorHAnsi" w:hAnsiTheme="minorHAnsi" w:cstheme="minorHAnsi"/>
          <w:sz w:val="22"/>
          <w:szCs w:val="22"/>
        </w:rPr>
        <w:t>reporting</w:t>
      </w:r>
      <w:r w:rsidR="004B4C33">
        <w:rPr>
          <w:rFonts w:asciiTheme="minorHAnsi" w:hAnsiTheme="minorHAnsi" w:cstheme="minorHAnsi"/>
          <w:sz w:val="22"/>
          <w:szCs w:val="22"/>
        </w:rPr>
        <w:t xml:space="preserve"> – especially anticipation of the preparation of the final report </w:t>
      </w:r>
    </w:p>
    <w:p w14:paraId="674A094D" w14:textId="77777777" w:rsidR="00D273FF" w:rsidRDefault="00D273FF" w:rsidP="00D84825">
      <w:pPr>
        <w:jc w:val="both"/>
        <w:rPr>
          <w:rFonts w:cstheme="minorHAnsi"/>
          <w:u w:val="single"/>
          <w:lang w:val="en-GB"/>
        </w:rPr>
      </w:pPr>
    </w:p>
    <w:p w14:paraId="0EBE945A" w14:textId="77777777" w:rsidR="00D273FF" w:rsidRDefault="00D273FF" w:rsidP="00D84825">
      <w:pPr>
        <w:jc w:val="both"/>
        <w:rPr>
          <w:rFonts w:cstheme="minorHAnsi"/>
          <w:u w:val="single"/>
          <w:lang w:val="en-GB"/>
        </w:rPr>
      </w:pPr>
    </w:p>
    <w:p w14:paraId="67EFB9BC" w14:textId="1E53C523" w:rsidR="009953B6" w:rsidRPr="00065A98" w:rsidRDefault="009953B6" w:rsidP="00D84825">
      <w:pPr>
        <w:jc w:val="both"/>
        <w:rPr>
          <w:rFonts w:cstheme="minorHAnsi"/>
          <w:u w:val="single"/>
          <w:lang w:val="en-GB"/>
        </w:rPr>
      </w:pPr>
      <w:r w:rsidRPr="00065A98">
        <w:rPr>
          <w:rFonts w:cstheme="minorHAnsi"/>
          <w:u w:val="single"/>
          <w:lang w:val="en-GB"/>
        </w:rPr>
        <w:t>The expected deliverables are:</w:t>
      </w:r>
    </w:p>
    <w:tbl>
      <w:tblPr>
        <w:tblW w:w="0" w:type="auto"/>
        <w:tblInd w:w="562" w:type="dxa"/>
        <w:tblCellMar>
          <w:left w:w="0" w:type="dxa"/>
          <w:right w:w="0" w:type="dxa"/>
        </w:tblCellMar>
        <w:tblLook w:val="04A0" w:firstRow="1" w:lastRow="0" w:firstColumn="1" w:lastColumn="0" w:noHBand="0" w:noVBand="1"/>
      </w:tblPr>
      <w:tblGrid>
        <w:gridCol w:w="5121"/>
        <w:gridCol w:w="3369"/>
      </w:tblGrid>
      <w:tr w:rsidR="0048762E" w14:paraId="321B5C47" w14:textId="77777777" w:rsidTr="0048762E">
        <w:tc>
          <w:tcPr>
            <w:tcW w:w="84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558C4" w14:textId="77777777" w:rsidR="0048762E" w:rsidRDefault="0048762E">
            <w:pPr>
              <w:pStyle w:val="u"/>
              <w:numPr>
                <w:ilvl w:val="12"/>
                <w:numId w:val="0"/>
              </w:numPr>
              <w:spacing w:line="252" w:lineRule="auto"/>
              <w:rPr>
                <w:rFonts w:ascii="Calibri" w:hAnsi="Calibri" w:cs="Calibri"/>
                <w:b/>
                <w:bCs/>
                <w:sz w:val="20"/>
                <w:szCs w:val="20"/>
                <w:lang w:eastAsia="en-US"/>
              </w:rPr>
            </w:pPr>
            <w:r>
              <w:rPr>
                <w:rFonts w:ascii="Calibri" w:hAnsi="Calibri" w:cs="Calibri"/>
                <w:b/>
                <w:bCs/>
                <w:sz w:val="20"/>
                <w:szCs w:val="20"/>
                <w:lang w:eastAsia="en-US"/>
              </w:rPr>
              <w:t>Table of deliverables</w:t>
            </w:r>
          </w:p>
        </w:tc>
      </w:tr>
      <w:tr w:rsidR="0048762E" w14:paraId="6E178DCF"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FDA0C" w14:textId="77777777" w:rsidR="0048762E" w:rsidRDefault="0048762E">
            <w:pPr>
              <w:pStyle w:val="u"/>
              <w:numPr>
                <w:ilvl w:val="12"/>
                <w:numId w:val="0"/>
              </w:numPr>
              <w:spacing w:line="252" w:lineRule="auto"/>
              <w:rPr>
                <w:rFonts w:ascii="Calibri" w:hAnsi="Calibri" w:cs="Calibri"/>
                <w:sz w:val="20"/>
                <w:szCs w:val="20"/>
                <w:lang w:eastAsia="en-US"/>
              </w:rPr>
            </w:pPr>
            <w:r>
              <w:rPr>
                <w:rFonts w:ascii="Calibri" w:hAnsi="Calibri" w:cs="Calibri"/>
                <w:sz w:val="20"/>
                <w:szCs w:val="20"/>
                <w:lang w:eastAsia="en-US"/>
              </w:rPr>
              <w:t>Deliverables</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1B4CD86D" w14:textId="77777777" w:rsidR="0048762E" w:rsidRDefault="0048762E">
            <w:pPr>
              <w:pStyle w:val="u"/>
              <w:numPr>
                <w:ilvl w:val="12"/>
                <w:numId w:val="0"/>
              </w:numPr>
              <w:spacing w:line="252" w:lineRule="auto"/>
              <w:rPr>
                <w:rFonts w:ascii="Calibri" w:hAnsi="Calibri" w:cs="Calibri"/>
                <w:sz w:val="20"/>
                <w:szCs w:val="20"/>
                <w:lang w:eastAsia="en-US"/>
              </w:rPr>
            </w:pPr>
            <w:r>
              <w:rPr>
                <w:rFonts w:ascii="Calibri" w:hAnsi="Calibri" w:cs="Calibri"/>
                <w:sz w:val="20"/>
                <w:szCs w:val="20"/>
                <w:lang w:eastAsia="en-US"/>
              </w:rPr>
              <w:t>Delivery frequency</w:t>
            </w:r>
          </w:p>
        </w:tc>
      </w:tr>
      <w:tr w:rsidR="0048762E" w:rsidRPr="002142E6" w14:paraId="50CFDB71"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83197" w14:textId="1F03B5A2" w:rsidR="0048762E" w:rsidRPr="00BE1C6A" w:rsidRDefault="0048762E" w:rsidP="00BE1C6A">
            <w:pPr>
              <w:autoSpaceDE w:val="0"/>
              <w:autoSpaceDN w:val="0"/>
              <w:spacing w:line="240" w:lineRule="auto"/>
              <w:rPr>
                <w:rFonts w:ascii="Calibri" w:hAnsi="Calibri" w:cs="Calibri"/>
                <w:lang w:val="en-US"/>
              </w:rPr>
            </w:pPr>
            <w:r w:rsidRPr="00BE1C6A">
              <w:rPr>
                <w:rFonts w:ascii="Calibri" w:hAnsi="Calibri" w:cs="Calibri"/>
                <w:lang w:val="en-US"/>
              </w:rPr>
              <w:t xml:space="preserve">Mission reports after each expertise missions to </w:t>
            </w:r>
            <w:r w:rsidR="00BE1C6A" w:rsidRPr="00BE1C6A">
              <w:rPr>
                <w:rFonts w:ascii="Calibri" w:hAnsi="Calibri" w:cs="Calibri"/>
                <w:lang w:val="en-US"/>
              </w:rPr>
              <w:t xml:space="preserve">Cohort 2 </w:t>
            </w:r>
            <w:r w:rsidRPr="00BE1C6A">
              <w:rPr>
                <w:rFonts w:ascii="Calibri" w:hAnsi="Calibri" w:cs="Calibri"/>
                <w:lang w:val="en-US"/>
              </w:rPr>
              <w:t>beneficiary authorities; T0+ 2 weeks after coming</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07833D35" w14:textId="77777777" w:rsidR="0048762E" w:rsidRPr="00BE1C6A" w:rsidRDefault="0048762E" w:rsidP="00BE1C6A">
            <w:pPr>
              <w:autoSpaceDE w:val="0"/>
              <w:autoSpaceDN w:val="0"/>
              <w:spacing w:line="240" w:lineRule="auto"/>
              <w:rPr>
                <w:rFonts w:ascii="Calibri" w:hAnsi="Calibri" w:cs="Calibri"/>
                <w:lang w:val="en-US"/>
              </w:rPr>
            </w:pPr>
            <w:r w:rsidRPr="00BE1C6A">
              <w:rPr>
                <w:rFonts w:ascii="Calibri" w:hAnsi="Calibri" w:cs="Calibri"/>
                <w:lang w:val="en-US"/>
              </w:rPr>
              <w:t>Mission reports after each expertise missions to beneficiary authorities; T0+ 2 weeks after coming</w:t>
            </w:r>
          </w:p>
        </w:tc>
      </w:tr>
      <w:tr w:rsidR="00B60169" w:rsidRPr="002142E6" w14:paraId="5E16FB90"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D03839" w14:textId="704F84B5" w:rsidR="00B60169" w:rsidRPr="00BE1C6A" w:rsidRDefault="00B60169" w:rsidP="00BE1C6A">
            <w:pPr>
              <w:autoSpaceDE w:val="0"/>
              <w:autoSpaceDN w:val="0"/>
              <w:spacing w:line="240" w:lineRule="auto"/>
              <w:rPr>
                <w:rFonts w:ascii="Calibri" w:hAnsi="Calibri" w:cs="Calibri"/>
                <w:lang w:val="en-US"/>
              </w:rPr>
            </w:pPr>
            <w:r>
              <w:rPr>
                <w:rFonts w:ascii="Calibri" w:hAnsi="Calibri" w:cs="Calibri"/>
                <w:lang w:val="en-US"/>
              </w:rPr>
              <w:t>Working plan for upcoming missions</w:t>
            </w:r>
          </w:p>
        </w:tc>
        <w:tc>
          <w:tcPr>
            <w:tcW w:w="3369" w:type="dxa"/>
            <w:tcBorders>
              <w:top w:val="nil"/>
              <w:left w:val="nil"/>
              <w:bottom w:val="single" w:sz="8" w:space="0" w:color="auto"/>
              <w:right w:val="single" w:sz="8" w:space="0" w:color="auto"/>
            </w:tcBorders>
            <w:tcMar>
              <w:top w:w="0" w:type="dxa"/>
              <w:left w:w="108" w:type="dxa"/>
              <w:bottom w:w="0" w:type="dxa"/>
              <w:right w:w="108" w:type="dxa"/>
            </w:tcMar>
          </w:tcPr>
          <w:p w14:paraId="4709CD54" w14:textId="0C529C00" w:rsidR="00B60169" w:rsidRPr="00BE1C6A" w:rsidRDefault="00B60169" w:rsidP="00BE1C6A">
            <w:pPr>
              <w:autoSpaceDE w:val="0"/>
              <w:autoSpaceDN w:val="0"/>
              <w:spacing w:line="240" w:lineRule="auto"/>
              <w:rPr>
                <w:rFonts w:ascii="Calibri" w:hAnsi="Calibri" w:cs="Calibri"/>
                <w:lang w:val="en-US"/>
              </w:rPr>
            </w:pPr>
            <w:r>
              <w:rPr>
                <w:rFonts w:ascii="Calibri" w:hAnsi="Calibri" w:cs="Calibri"/>
                <w:lang w:val="en-US"/>
              </w:rPr>
              <w:t>1 month before the activity</w:t>
            </w:r>
          </w:p>
        </w:tc>
      </w:tr>
      <w:tr w:rsidR="0048762E" w:rsidRPr="00D273FF" w14:paraId="73A4AD5B"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258F0" w14:textId="754F071B" w:rsidR="0048762E" w:rsidRPr="00D273FF" w:rsidRDefault="0048762E">
            <w:pPr>
              <w:autoSpaceDE w:val="0"/>
              <w:autoSpaceDN w:val="0"/>
              <w:spacing w:line="240" w:lineRule="auto"/>
              <w:rPr>
                <w:rFonts w:ascii="Calibri" w:hAnsi="Calibri" w:cs="Calibri"/>
                <w:lang w:val="en-US"/>
              </w:rPr>
            </w:pPr>
            <w:r w:rsidRPr="00D273FF">
              <w:rPr>
                <w:rFonts w:ascii="Calibri" w:hAnsi="Calibri" w:cs="Calibri"/>
                <w:lang w:val="en-US"/>
              </w:rPr>
              <w:t>An analytical report with recommendations and reporting the progress made in each</w:t>
            </w:r>
            <w:r w:rsidR="00BE1C6A" w:rsidRPr="00D273FF">
              <w:rPr>
                <w:rFonts w:ascii="Calibri" w:hAnsi="Calibri" w:cs="Calibri"/>
                <w:lang w:val="en-US"/>
              </w:rPr>
              <w:t xml:space="preserve"> Cohort 2</w:t>
            </w:r>
            <w:r w:rsidRPr="00D273FF">
              <w:rPr>
                <w:rFonts w:ascii="Calibri" w:hAnsi="Calibri" w:cs="Calibri"/>
                <w:lang w:val="en-US"/>
              </w:rPr>
              <w:t xml:space="preserve"> beneficiary country</w:t>
            </w:r>
            <w:r w:rsidR="00B60169">
              <w:rPr>
                <w:rFonts w:ascii="Calibri" w:hAnsi="Calibri" w:cs="Calibri"/>
                <w:lang w:val="en-US"/>
              </w:rPr>
              <w:t xml:space="preserve"> (including local work compilation)</w:t>
            </w:r>
            <w:r w:rsidRPr="00D273FF">
              <w:rPr>
                <w:rFonts w:ascii="Calibri" w:hAnsi="Calibri" w:cs="Calibri"/>
                <w:lang w:val="en-US"/>
              </w:rPr>
              <w:t>. This report aims to support local experts in implementing Action Plans</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2DBAD5B1" w14:textId="5BCA1BAB" w:rsidR="0048762E" w:rsidRPr="00D273FF" w:rsidRDefault="0048762E">
            <w:pPr>
              <w:pStyle w:val="u"/>
              <w:numPr>
                <w:ilvl w:val="12"/>
                <w:numId w:val="0"/>
              </w:numPr>
              <w:spacing w:line="252" w:lineRule="auto"/>
              <w:rPr>
                <w:rFonts w:ascii="Calibri" w:hAnsi="Calibri" w:cs="Calibri"/>
                <w:lang w:eastAsia="en-US"/>
              </w:rPr>
            </w:pPr>
            <w:r w:rsidRPr="00D273FF">
              <w:rPr>
                <w:rFonts w:ascii="Calibri" w:hAnsi="Calibri" w:cs="Calibri"/>
                <w:lang w:eastAsia="en-US"/>
              </w:rPr>
              <w:t>Trimestr</w:t>
            </w:r>
            <w:r w:rsidR="002142E6">
              <w:rPr>
                <w:rFonts w:ascii="Calibri" w:hAnsi="Calibri" w:cs="Calibri"/>
                <w:lang w:eastAsia="en-US"/>
              </w:rPr>
              <w:t>i</w:t>
            </w:r>
            <w:r w:rsidRPr="00D273FF">
              <w:rPr>
                <w:rFonts w:ascii="Calibri" w:hAnsi="Calibri" w:cs="Calibri"/>
                <w:lang w:eastAsia="en-US"/>
              </w:rPr>
              <w:t>al report</w:t>
            </w:r>
          </w:p>
        </w:tc>
      </w:tr>
      <w:tr w:rsidR="0048762E" w:rsidRPr="002142E6" w14:paraId="49482B84"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B75E5" w14:textId="6A14B962" w:rsidR="0048762E" w:rsidRDefault="00156800">
            <w:pPr>
              <w:autoSpaceDE w:val="0"/>
              <w:autoSpaceDN w:val="0"/>
              <w:spacing w:line="240" w:lineRule="auto"/>
              <w:rPr>
                <w:rFonts w:ascii="Calibri" w:hAnsi="Calibri" w:cs="Calibri"/>
                <w:sz w:val="20"/>
                <w:szCs w:val="20"/>
                <w:lang w:val="en-US"/>
              </w:rPr>
            </w:pPr>
            <w:bookmarkStart w:id="0" w:name="_GoBack"/>
            <w:bookmarkEnd w:id="0"/>
            <w:r w:rsidRPr="00156800">
              <w:rPr>
                <w:rFonts w:ascii="Calibri" w:hAnsi="Calibri" w:cs="Calibri"/>
                <w:lang w:val="en-US"/>
              </w:rPr>
              <w:t>Review and input to the production for each Cohort 2 beneficiary autho</w:t>
            </w:r>
            <w:r>
              <w:rPr>
                <w:rFonts w:ascii="Calibri" w:hAnsi="Calibri" w:cs="Calibri"/>
                <w:lang w:val="en-US"/>
              </w:rPr>
              <w:t>rity of GRB tools and trainings</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5A069327" w14:textId="77777777" w:rsidR="0048762E" w:rsidRDefault="0048762E">
            <w:pPr>
              <w:autoSpaceDE w:val="0"/>
              <w:autoSpaceDN w:val="0"/>
              <w:spacing w:line="240" w:lineRule="auto"/>
              <w:rPr>
                <w:rFonts w:ascii="Calibri" w:hAnsi="Calibri" w:cs="Calibri"/>
                <w:lang w:val="en-US" w:eastAsia="fr-FR"/>
              </w:rPr>
            </w:pPr>
            <w:r>
              <w:rPr>
                <w:rFonts w:ascii="Calibri" w:hAnsi="Calibri" w:cs="Calibri"/>
                <w:lang w:val="en-US"/>
              </w:rPr>
              <w:t>Through the total duration of the project</w:t>
            </w:r>
          </w:p>
        </w:tc>
      </w:tr>
      <w:tr w:rsidR="00A3781C" w:rsidRPr="002142E6" w14:paraId="7B66AAB8"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A3374" w14:textId="1F8475EF" w:rsidR="0048762E" w:rsidRPr="00A3781C" w:rsidRDefault="0048762E">
            <w:pPr>
              <w:autoSpaceDE w:val="0"/>
              <w:autoSpaceDN w:val="0"/>
              <w:spacing w:line="240" w:lineRule="auto"/>
              <w:rPr>
                <w:rFonts w:ascii="Calibri" w:hAnsi="Calibri" w:cs="Calibri"/>
                <w:b/>
                <w:bCs/>
                <w:lang w:val="en-US"/>
              </w:rPr>
            </w:pPr>
            <w:r w:rsidRPr="00A3781C">
              <w:rPr>
                <w:rStyle w:val="lev"/>
                <w:b w:val="0"/>
                <w:bCs w:val="0"/>
                <w:lang w:val="en-US"/>
              </w:rPr>
              <w:t>Review and Input to Good Practice Case Studies for the capitalization phase</w:t>
            </w:r>
            <w:r w:rsidR="00BE1C6A">
              <w:rPr>
                <w:rStyle w:val="lev"/>
                <w:b w:val="0"/>
                <w:bCs w:val="0"/>
                <w:lang w:val="en-US"/>
              </w:rPr>
              <w:t xml:space="preserve"> (Cohorts 1 and 2)</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3254D470" w14:textId="77777777" w:rsidR="0048762E" w:rsidRPr="00A3781C" w:rsidRDefault="0048762E">
            <w:pPr>
              <w:autoSpaceDE w:val="0"/>
              <w:autoSpaceDN w:val="0"/>
              <w:spacing w:line="240" w:lineRule="auto"/>
              <w:rPr>
                <w:rFonts w:ascii="Calibri" w:hAnsi="Calibri" w:cs="Calibri"/>
                <w:sz w:val="20"/>
                <w:szCs w:val="20"/>
                <w:lang w:val="en-US"/>
              </w:rPr>
            </w:pPr>
            <w:r w:rsidRPr="00A3781C">
              <w:rPr>
                <w:rFonts w:ascii="Calibri" w:hAnsi="Calibri" w:cs="Calibri"/>
                <w:lang w:val="en-US"/>
              </w:rPr>
              <w:t>Through the total duration of the project</w:t>
            </w:r>
          </w:p>
        </w:tc>
      </w:tr>
      <w:tr w:rsidR="00A3781C" w:rsidRPr="002142E6" w14:paraId="3F443F55"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05379" w14:textId="6AFA6178" w:rsidR="0048762E" w:rsidRPr="00A3781C" w:rsidRDefault="0048762E">
            <w:pPr>
              <w:autoSpaceDE w:val="0"/>
              <w:autoSpaceDN w:val="0"/>
              <w:spacing w:line="240" w:lineRule="auto"/>
              <w:rPr>
                <w:rStyle w:val="lev"/>
                <w:rFonts w:ascii="Arial" w:hAnsi="Arial" w:cs="Arial"/>
                <w:lang w:val="en-US"/>
              </w:rPr>
            </w:pPr>
            <w:r w:rsidRPr="00A3781C">
              <w:rPr>
                <w:lang w:val="en-US"/>
              </w:rPr>
              <w:t>Preparation of Consolidated Technical Notes on Good Practices, Endorsement and Closing-Event Outputs for each BA</w:t>
            </w:r>
            <w:r w:rsidR="00BE1C6A">
              <w:rPr>
                <w:lang w:val="en-US"/>
              </w:rPr>
              <w:t xml:space="preserve"> (Cohorts 1 and 2)</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037F21E7" w14:textId="77777777" w:rsidR="0048762E" w:rsidRPr="00A3781C" w:rsidRDefault="0048762E">
            <w:pPr>
              <w:autoSpaceDE w:val="0"/>
              <w:autoSpaceDN w:val="0"/>
              <w:spacing w:line="240" w:lineRule="auto"/>
              <w:rPr>
                <w:lang w:val="en-US"/>
              </w:rPr>
            </w:pPr>
            <w:r w:rsidRPr="00A3781C">
              <w:rPr>
                <w:rFonts w:ascii="Calibri" w:hAnsi="Calibri" w:cs="Calibri"/>
                <w:lang w:val="en-US"/>
              </w:rPr>
              <w:t>Through the total duration of the project</w:t>
            </w:r>
          </w:p>
        </w:tc>
      </w:tr>
      <w:tr w:rsidR="0048762E" w:rsidRPr="00BE1C6A" w14:paraId="3215B2D1"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E845C" w14:textId="48BDDD6B" w:rsidR="0048762E" w:rsidRPr="00BE1C6A" w:rsidRDefault="0048762E" w:rsidP="00BE1C6A">
            <w:pPr>
              <w:autoSpaceDE w:val="0"/>
              <w:autoSpaceDN w:val="0"/>
              <w:spacing w:line="240" w:lineRule="auto"/>
              <w:rPr>
                <w:lang w:val="en-US"/>
              </w:rPr>
            </w:pPr>
            <w:r w:rsidRPr="00BE1C6A">
              <w:rPr>
                <w:lang w:val="en-US"/>
              </w:rPr>
              <w:t xml:space="preserve">Contribution to donor progress report </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51688727" w14:textId="77777777" w:rsidR="0048762E" w:rsidRPr="00BE1C6A" w:rsidRDefault="0048762E" w:rsidP="00BE1C6A">
            <w:pPr>
              <w:autoSpaceDE w:val="0"/>
              <w:autoSpaceDN w:val="0"/>
              <w:spacing w:line="240" w:lineRule="auto"/>
              <w:rPr>
                <w:lang w:val="en-US"/>
              </w:rPr>
            </w:pPr>
            <w:r w:rsidRPr="00BE1C6A">
              <w:rPr>
                <w:lang w:val="en-US"/>
              </w:rPr>
              <w:t>Semestrial basis</w:t>
            </w:r>
          </w:p>
        </w:tc>
      </w:tr>
      <w:tr w:rsidR="0048762E" w:rsidRPr="002142E6" w14:paraId="6C5EE110" w14:textId="77777777" w:rsidTr="0048762E">
        <w:tc>
          <w:tcPr>
            <w:tcW w:w="51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9D8FE" w14:textId="55F54635" w:rsidR="0048762E" w:rsidRPr="00BE1C6A" w:rsidRDefault="0048762E" w:rsidP="00385D8D">
            <w:pPr>
              <w:autoSpaceDE w:val="0"/>
              <w:autoSpaceDN w:val="0"/>
              <w:spacing w:line="240" w:lineRule="auto"/>
              <w:rPr>
                <w:lang w:val="en-US"/>
              </w:rPr>
            </w:pPr>
            <w:r w:rsidRPr="00BE1C6A">
              <w:rPr>
                <w:lang w:val="en-US"/>
              </w:rPr>
              <w:t xml:space="preserve">Contribution to </w:t>
            </w:r>
            <w:r w:rsidR="00BE1C6A">
              <w:rPr>
                <w:lang w:val="en-US"/>
              </w:rPr>
              <w:t xml:space="preserve">overall </w:t>
            </w:r>
            <w:r w:rsidRPr="00BE1C6A">
              <w:rPr>
                <w:lang w:val="en-US"/>
              </w:rPr>
              <w:t>final report</w:t>
            </w:r>
            <w:r w:rsidR="00BE1C6A">
              <w:rPr>
                <w:lang w:val="en-US"/>
              </w:rPr>
              <w:t xml:space="preserve"> </w:t>
            </w:r>
            <w:r w:rsidR="00385D8D">
              <w:rPr>
                <w:lang w:val="en-US"/>
              </w:rPr>
              <w:t>of the project</w:t>
            </w:r>
            <w:r w:rsidR="00B55104">
              <w:rPr>
                <w:lang w:val="en-US"/>
              </w:rPr>
              <w:t xml:space="preserve"> until approval </w:t>
            </w:r>
          </w:p>
        </w:tc>
        <w:tc>
          <w:tcPr>
            <w:tcW w:w="3369" w:type="dxa"/>
            <w:tcBorders>
              <w:top w:val="nil"/>
              <w:left w:val="nil"/>
              <w:bottom w:val="single" w:sz="8" w:space="0" w:color="auto"/>
              <w:right w:val="single" w:sz="8" w:space="0" w:color="auto"/>
            </w:tcBorders>
            <w:tcMar>
              <w:top w:w="0" w:type="dxa"/>
              <w:left w:w="108" w:type="dxa"/>
              <w:bottom w:w="0" w:type="dxa"/>
              <w:right w:w="108" w:type="dxa"/>
            </w:tcMar>
            <w:hideMark/>
          </w:tcPr>
          <w:p w14:paraId="2E862C51" w14:textId="63C5779F" w:rsidR="0048762E" w:rsidRPr="00BE1C6A" w:rsidRDefault="00E92439" w:rsidP="00BE1C6A">
            <w:pPr>
              <w:autoSpaceDE w:val="0"/>
              <w:autoSpaceDN w:val="0"/>
              <w:spacing w:line="240" w:lineRule="auto"/>
              <w:rPr>
                <w:lang w:val="en-US"/>
              </w:rPr>
            </w:pPr>
            <w:r>
              <w:rPr>
                <w:lang w:val="en-US"/>
              </w:rPr>
              <w:t xml:space="preserve">Starting 2 months before the end of the project – to </w:t>
            </w:r>
            <w:r w:rsidR="0048762E" w:rsidRPr="00BE1C6A">
              <w:rPr>
                <w:lang w:val="en-US"/>
              </w:rPr>
              <w:t xml:space="preserve">1 month after the end of the project </w:t>
            </w:r>
          </w:p>
        </w:tc>
      </w:tr>
    </w:tbl>
    <w:p w14:paraId="0EED0127" w14:textId="77777777" w:rsidR="009953B6" w:rsidRPr="0048762E" w:rsidRDefault="009953B6" w:rsidP="009953B6">
      <w:pPr>
        <w:pStyle w:val="Paragraphedeliste"/>
        <w:spacing w:before="240"/>
        <w:rPr>
          <w:rFonts w:asciiTheme="minorHAnsi" w:hAnsiTheme="minorHAnsi" w:cstheme="minorHAnsi"/>
          <w:sz w:val="22"/>
          <w:szCs w:val="22"/>
          <w:lang w:val="en-US"/>
        </w:rPr>
      </w:pPr>
    </w:p>
    <w:p w14:paraId="3551DCA8" w14:textId="77777777" w:rsidR="009953B6" w:rsidRPr="00065A98" w:rsidRDefault="009953B6" w:rsidP="009953B6">
      <w:pPr>
        <w:pBdr>
          <w:bottom w:val="single" w:sz="4" w:space="1" w:color="auto"/>
        </w:pBdr>
        <w:jc w:val="both"/>
        <w:rPr>
          <w:rFonts w:cstheme="minorHAnsi"/>
          <w:b/>
          <w:lang w:val="en-GB"/>
        </w:rPr>
      </w:pPr>
      <w:r w:rsidRPr="00065A98">
        <w:rPr>
          <w:rFonts w:cstheme="minorHAnsi"/>
          <w:b/>
          <w:lang w:val="en-GB"/>
        </w:rPr>
        <w:t>3.</w:t>
      </w:r>
      <w:r w:rsidRPr="00065A98">
        <w:rPr>
          <w:rFonts w:cstheme="minorHAnsi"/>
          <w:b/>
          <w:lang w:val="en-GB"/>
        </w:rPr>
        <w:tab/>
        <w:t>Expected profile</w:t>
      </w:r>
    </w:p>
    <w:p w14:paraId="208AE84F"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Master's degree or equivalent in political science, economics, international cooperation or equivalent;</w:t>
      </w:r>
    </w:p>
    <w:p w14:paraId="0BFED8EC"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 xml:space="preserve">Excellent knowledge of </w:t>
      </w:r>
      <w:r w:rsidR="006345E0">
        <w:rPr>
          <w:rFonts w:asciiTheme="minorHAnsi" w:hAnsiTheme="minorHAnsi" w:cstheme="minorHAnsi"/>
          <w:sz w:val="22"/>
          <w:szCs w:val="22"/>
        </w:rPr>
        <w:t>Gender Responsive budgeting</w:t>
      </w:r>
      <w:r w:rsidRPr="00065A98">
        <w:rPr>
          <w:rFonts w:asciiTheme="minorHAnsi" w:hAnsiTheme="minorHAnsi" w:cstheme="minorHAnsi"/>
          <w:sz w:val="22"/>
          <w:szCs w:val="22"/>
        </w:rPr>
        <w:t>;</w:t>
      </w:r>
    </w:p>
    <w:p w14:paraId="4AD48E61" w14:textId="77777777" w:rsidR="009953B6" w:rsidRPr="00065A98" w:rsidRDefault="009953B6" w:rsidP="009953B6">
      <w:pPr>
        <w:pStyle w:val="Paragraphedeliste"/>
        <w:numPr>
          <w:ilvl w:val="0"/>
          <w:numId w:val="1"/>
        </w:numPr>
        <w:rPr>
          <w:rFonts w:asciiTheme="minorHAnsi" w:hAnsiTheme="minorHAnsi" w:cstheme="minorHAnsi"/>
          <w:sz w:val="22"/>
          <w:szCs w:val="22"/>
        </w:rPr>
      </w:pPr>
      <w:r>
        <w:rPr>
          <w:rFonts w:asciiTheme="minorHAnsi" w:hAnsiTheme="minorHAnsi" w:cstheme="minorHAnsi"/>
          <w:sz w:val="22"/>
          <w:szCs w:val="22"/>
        </w:rPr>
        <w:t>Excellent knowledge on gender equality, gender mainstreaming tools</w:t>
      </w:r>
      <w:r w:rsidRPr="00065A98">
        <w:rPr>
          <w:rFonts w:asciiTheme="minorHAnsi" w:hAnsiTheme="minorHAnsi" w:cstheme="minorHAnsi"/>
          <w:sz w:val="22"/>
          <w:szCs w:val="22"/>
        </w:rPr>
        <w:t>;</w:t>
      </w:r>
    </w:p>
    <w:p w14:paraId="5767055D" w14:textId="77777777" w:rsidR="009953B6" w:rsidRDefault="006345E0" w:rsidP="009953B6">
      <w:pPr>
        <w:pStyle w:val="Paragraphedeliste"/>
        <w:numPr>
          <w:ilvl w:val="0"/>
          <w:numId w:val="1"/>
        </w:numPr>
        <w:rPr>
          <w:rFonts w:asciiTheme="minorHAnsi" w:hAnsiTheme="minorHAnsi" w:cstheme="minorHAnsi"/>
          <w:sz w:val="22"/>
          <w:szCs w:val="22"/>
        </w:rPr>
      </w:pPr>
      <w:r>
        <w:rPr>
          <w:rFonts w:asciiTheme="minorHAnsi" w:hAnsiTheme="minorHAnsi" w:cstheme="minorHAnsi"/>
          <w:sz w:val="22"/>
          <w:szCs w:val="22"/>
        </w:rPr>
        <w:t>Several</w:t>
      </w:r>
      <w:r w:rsidR="009953B6" w:rsidRPr="00065A98">
        <w:rPr>
          <w:rFonts w:asciiTheme="minorHAnsi" w:hAnsiTheme="minorHAnsi" w:cstheme="minorHAnsi"/>
          <w:sz w:val="22"/>
          <w:szCs w:val="22"/>
        </w:rPr>
        <w:t xml:space="preserve"> experience in technical support to public institutions; </w:t>
      </w:r>
    </w:p>
    <w:p w14:paraId="2645B0BB" w14:textId="77777777" w:rsidR="009953B6" w:rsidRPr="00065A98" w:rsidRDefault="009953B6" w:rsidP="009953B6">
      <w:pPr>
        <w:pStyle w:val="Paragraphedeliste"/>
        <w:numPr>
          <w:ilvl w:val="0"/>
          <w:numId w:val="1"/>
        </w:numPr>
        <w:rPr>
          <w:rFonts w:asciiTheme="minorHAnsi" w:hAnsiTheme="minorHAnsi" w:cstheme="minorHAnsi"/>
          <w:sz w:val="22"/>
          <w:szCs w:val="22"/>
        </w:rPr>
      </w:pPr>
      <w:r>
        <w:rPr>
          <w:rFonts w:asciiTheme="minorHAnsi" w:hAnsiTheme="minorHAnsi" w:cstheme="minorHAnsi"/>
          <w:sz w:val="22"/>
          <w:szCs w:val="22"/>
        </w:rPr>
        <w:t>Experience in organizing training sessions</w:t>
      </w:r>
    </w:p>
    <w:p w14:paraId="5A99B7A5"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Excellent ability to work in English (oral and written);</w:t>
      </w:r>
    </w:p>
    <w:p w14:paraId="56271A3E"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Excellent command of the language of the country of assignment (oral and written);</w:t>
      </w:r>
    </w:p>
    <w:p w14:paraId="3526AC8B"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Writing and synthesis skills;</w:t>
      </w:r>
    </w:p>
    <w:p w14:paraId="27B6192E"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Good knowledge of office software (Pack Office, Outlook, Internet), particularly Excel;</w:t>
      </w:r>
    </w:p>
    <w:p w14:paraId="0FF0B488"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Sense of organisation and rigour;</w:t>
      </w:r>
    </w:p>
    <w:p w14:paraId="204A8F70"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Sense of diplomacy and ability to adapt;</w:t>
      </w:r>
    </w:p>
    <w:p w14:paraId="676D80D8" w14:textId="77777777" w:rsidR="009953B6" w:rsidRPr="00065A98"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Reactivity, autonomy</w:t>
      </w:r>
      <w:r>
        <w:rPr>
          <w:rFonts w:asciiTheme="minorHAnsi" w:hAnsiTheme="minorHAnsi" w:cstheme="minorHAnsi"/>
          <w:sz w:val="22"/>
          <w:szCs w:val="22"/>
        </w:rPr>
        <w:t>;</w:t>
      </w:r>
    </w:p>
    <w:p w14:paraId="6EF4D168" w14:textId="77777777" w:rsidR="009953B6" w:rsidRDefault="009953B6" w:rsidP="009953B6">
      <w:pPr>
        <w:pStyle w:val="Paragraphedeliste"/>
        <w:numPr>
          <w:ilvl w:val="0"/>
          <w:numId w:val="1"/>
        </w:numPr>
        <w:rPr>
          <w:rFonts w:asciiTheme="minorHAnsi" w:hAnsiTheme="minorHAnsi" w:cstheme="minorHAnsi"/>
          <w:sz w:val="22"/>
          <w:szCs w:val="22"/>
        </w:rPr>
      </w:pPr>
      <w:r w:rsidRPr="00065A98">
        <w:rPr>
          <w:rFonts w:asciiTheme="minorHAnsi" w:hAnsiTheme="minorHAnsi" w:cstheme="minorHAnsi"/>
          <w:sz w:val="22"/>
          <w:szCs w:val="22"/>
        </w:rPr>
        <w:t>Ability to work in a team.</w:t>
      </w:r>
    </w:p>
    <w:p w14:paraId="7C212758" w14:textId="77777777" w:rsidR="009953B6" w:rsidRPr="0057034E" w:rsidRDefault="009953B6" w:rsidP="009953B6">
      <w:pPr>
        <w:rPr>
          <w:rFonts w:cstheme="minorHAnsi"/>
          <w:lang w:val="en-US"/>
        </w:rPr>
      </w:pPr>
    </w:p>
    <w:p w14:paraId="1EEF60F1" w14:textId="77777777" w:rsidR="00106C53" w:rsidRPr="0057034E" w:rsidRDefault="00106C53">
      <w:pPr>
        <w:rPr>
          <w:lang w:val="en-US"/>
        </w:rPr>
      </w:pPr>
    </w:p>
    <w:sectPr w:rsidR="00106C53" w:rsidRPr="005703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795D1" w14:textId="77777777" w:rsidR="000B5E39" w:rsidRDefault="000B5E39" w:rsidP="0057034E">
      <w:pPr>
        <w:spacing w:after="0" w:line="240" w:lineRule="auto"/>
      </w:pPr>
      <w:r>
        <w:separator/>
      </w:r>
    </w:p>
  </w:endnote>
  <w:endnote w:type="continuationSeparator" w:id="0">
    <w:p w14:paraId="40B9304F" w14:textId="77777777" w:rsidR="000B5E39" w:rsidRDefault="000B5E39" w:rsidP="0057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E0720" w14:textId="77777777" w:rsidR="000B5E39" w:rsidRDefault="000B5E39" w:rsidP="0057034E">
      <w:pPr>
        <w:spacing w:after="0" w:line="240" w:lineRule="auto"/>
      </w:pPr>
      <w:r>
        <w:separator/>
      </w:r>
    </w:p>
  </w:footnote>
  <w:footnote w:type="continuationSeparator" w:id="0">
    <w:p w14:paraId="54D0A3F2" w14:textId="77777777" w:rsidR="000B5E39" w:rsidRDefault="000B5E39" w:rsidP="00570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920"/>
    <w:multiLevelType w:val="hybridMultilevel"/>
    <w:tmpl w:val="8E54C772"/>
    <w:lvl w:ilvl="0" w:tplc="8FE8410A">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4E473F"/>
    <w:multiLevelType w:val="hybridMultilevel"/>
    <w:tmpl w:val="E8AE0168"/>
    <w:lvl w:ilvl="0" w:tplc="B34E3A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54F8C"/>
    <w:multiLevelType w:val="hybridMultilevel"/>
    <w:tmpl w:val="4856625A"/>
    <w:lvl w:ilvl="0" w:tplc="66C4CAB6">
      <w:start w:val="1"/>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DD485C"/>
    <w:multiLevelType w:val="hybridMultilevel"/>
    <w:tmpl w:val="5E18140E"/>
    <w:lvl w:ilvl="0" w:tplc="D93434C2">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140017"/>
    <w:multiLevelType w:val="hybridMultilevel"/>
    <w:tmpl w:val="6674F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7E57C9"/>
    <w:multiLevelType w:val="hybridMultilevel"/>
    <w:tmpl w:val="EDDEECD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FC1095B"/>
    <w:multiLevelType w:val="hybridMultilevel"/>
    <w:tmpl w:val="DC683E5E"/>
    <w:lvl w:ilvl="0" w:tplc="8D1295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AB5C36"/>
    <w:multiLevelType w:val="hybridMultilevel"/>
    <w:tmpl w:val="09B8162C"/>
    <w:lvl w:ilvl="0" w:tplc="78249A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E846FC"/>
    <w:multiLevelType w:val="multilevel"/>
    <w:tmpl w:val="DDB2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05F5E"/>
    <w:multiLevelType w:val="hybridMultilevel"/>
    <w:tmpl w:val="86B40E60"/>
    <w:lvl w:ilvl="0" w:tplc="D93434C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A9A1B97"/>
    <w:multiLevelType w:val="hybridMultilevel"/>
    <w:tmpl w:val="9A12176A"/>
    <w:lvl w:ilvl="0" w:tplc="7B7CA7A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869627E"/>
    <w:multiLevelType w:val="hybridMultilevel"/>
    <w:tmpl w:val="22C0A1BC"/>
    <w:lvl w:ilvl="0" w:tplc="379244EA">
      <w:start w:val="1"/>
      <w:numFmt w:val="bullet"/>
      <w:lvlText w:val=""/>
      <w:lvlJc w:val="left"/>
      <w:pPr>
        <w:ind w:left="720" w:hanging="360"/>
      </w:pPr>
      <w:rPr>
        <w:rFonts w:ascii="Wingdings" w:hAnsi="Wingdings" w:hint="default"/>
        <w:color w:val="404040" w:themeColor="text1" w:themeTint="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049695D"/>
    <w:multiLevelType w:val="hybridMultilevel"/>
    <w:tmpl w:val="49106890"/>
    <w:lvl w:ilvl="0" w:tplc="A834439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3C038F0"/>
    <w:multiLevelType w:val="hybridMultilevel"/>
    <w:tmpl w:val="27344572"/>
    <w:lvl w:ilvl="0" w:tplc="66C4CAB6">
      <w:start w:val="1"/>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B64682"/>
    <w:multiLevelType w:val="hybridMultilevel"/>
    <w:tmpl w:val="6CAA53C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5DDC1202"/>
    <w:multiLevelType w:val="hybridMultilevel"/>
    <w:tmpl w:val="C34E2A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CD6E55"/>
    <w:multiLevelType w:val="hybridMultilevel"/>
    <w:tmpl w:val="05E8D722"/>
    <w:lvl w:ilvl="0" w:tplc="D93434C2">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0639FC"/>
    <w:multiLevelType w:val="hybridMultilevel"/>
    <w:tmpl w:val="A4583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D46B78"/>
    <w:multiLevelType w:val="hybridMultilevel"/>
    <w:tmpl w:val="75E8AA7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83F6442"/>
    <w:multiLevelType w:val="hybridMultilevel"/>
    <w:tmpl w:val="ECCCED02"/>
    <w:lvl w:ilvl="0" w:tplc="3B626B34">
      <w:start w:val="1"/>
      <w:numFmt w:val="bullet"/>
      <w:lvlText w:val=""/>
      <w:lvlJc w:val="left"/>
      <w:pPr>
        <w:ind w:left="720" w:hanging="360"/>
      </w:pPr>
      <w:rPr>
        <w:rFonts w:ascii="Wingdings" w:eastAsiaTheme="minorHAnsi" w:hAnsi="Wingding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18"/>
  </w:num>
  <w:num w:numId="4">
    <w:abstractNumId w:val="11"/>
  </w:num>
  <w:num w:numId="5">
    <w:abstractNumId w:val="4"/>
  </w:num>
  <w:num w:numId="6">
    <w:abstractNumId w:val="12"/>
  </w:num>
  <w:num w:numId="7">
    <w:abstractNumId w:val="15"/>
  </w:num>
  <w:num w:numId="8">
    <w:abstractNumId w:val="10"/>
  </w:num>
  <w:num w:numId="9">
    <w:abstractNumId w:val="17"/>
  </w:num>
  <w:num w:numId="10">
    <w:abstractNumId w:val="8"/>
  </w:num>
  <w:num w:numId="11">
    <w:abstractNumId w:val="9"/>
  </w:num>
  <w:num w:numId="12">
    <w:abstractNumId w:val="2"/>
  </w:num>
  <w:num w:numId="13">
    <w:abstractNumId w:val="13"/>
  </w:num>
  <w:num w:numId="14">
    <w:abstractNumId w:val="7"/>
  </w:num>
  <w:num w:numId="15">
    <w:abstractNumId w:val="1"/>
  </w:num>
  <w:num w:numId="16">
    <w:abstractNumId w:val="3"/>
  </w:num>
  <w:num w:numId="17">
    <w:abstractNumId w:val="16"/>
  </w:num>
  <w:num w:numId="18">
    <w:abstractNumId w:val="5"/>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B6"/>
    <w:rsid w:val="00036730"/>
    <w:rsid w:val="000A6A57"/>
    <w:rsid w:val="000B5E39"/>
    <w:rsid w:val="00106C53"/>
    <w:rsid w:val="00152FEF"/>
    <w:rsid w:val="00156800"/>
    <w:rsid w:val="002142E6"/>
    <w:rsid w:val="0036245F"/>
    <w:rsid w:val="00385D8D"/>
    <w:rsid w:val="0048762E"/>
    <w:rsid w:val="004A52B2"/>
    <w:rsid w:val="004A66AE"/>
    <w:rsid w:val="004B4C33"/>
    <w:rsid w:val="004C21E1"/>
    <w:rsid w:val="00543F5F"/>
    <w:rsid w:val="005558FF"/>
    <w:rsid w:val="0057034E"/>
    <w:rsid w:val="00627C0B"/>
    <w:rsid w:val="006345E0"/>
    <w:rsid w:val="006A19E9"/>
    <w:rsid w:val="006E46E8"/>
    <w:rsid w:val="006F7F69"/>
    <w:rsid w:val="007301A3"/>
    <w:rsid w:val="00766770"/>
    <w:rsid w:val="007A3983"/>
    <w:rsid w:val="008330D0"/>
    <w:rsid w:val="008462F0"/>
    <w:rsid w:val="008D10C7"/>
    <w:rsid w:val="009233D2"/>
    <w:rsid w:val="009953B6"/>
    <w:rsid w:val="00A244BB"/>
    <w:rsid w:val="00A3781C"/>
    <w:rsid w:val="00A467EB"/>
    <w:rsid w:val="00B55104"/>
    <w:rsid w:val="00B60169"/>
    <w:rsid w:val="00B84642"/>
    <w:rsid w:val="00BE1C6A"/>
    <w:rsid w:val="00C25844"/>
    <w:rsid w:val="00C75B57"/>
    <w:rsid w:val="00D214FD"/>
    <w:rsid w:val="00D273FF"/>
    <w:rsid w:val="00D84825"/>
    <w:rsid w:val="00DF4EB2"/>
    <w:rsid w:val="00E92439"/>
    <w:rsid w:val="00E96819"/>
    <w:rsid w:val="00F217AB"/>
    <w:rsid w:val="00F560CB"/>
    <w:rsid w:val="00FA6270"/>
    <w:rsid w:val="00FF38D4"/>
    <w:rsid w:val="00FF5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2D1BCE"/>
  <w15:chartTrackingRefBased/>
  <w15:docId w15:val="{92A5F92E-724F-41E7-AE32-09BF468E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B6"/>
  </w:style>
  <w:style w:type="paragraph" w:styleId="Titre2">
    <w:name w:val="heading 2"/>
    <w:basedOn w:val="Normal"/>
    <w:link w:val="Titre2Car"/>
    <w:uiPriority w:val="9"/>
    <w:semiHidden/>
    <w:unhideWhenUsed/>
    <w:qFormat/>
    <w:rsid w:val="004C21E1"/>
    <w:pPr>
      <w:keepNext/>
      <w:spacing w:after="0" w:line="300" w:lineRule="atLeast"/>
      <w:outlineLvl w:val="1"/>
    </w:pPr>
    <w:rPr>
      <w:rFonts w:ascii="Arial" w:hAnsi="Arial" w:cs="Arial"/>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2,bk paragraph,Bullet List,FooterText,numbered,List Paragraph1,Paragraphe de liste1,Bulletr List Paragraph,列出段落,列出段落1,Use Case List Paragraph,Page Titles,List Paragraph2,List Paragraph21,Listeafsnit1,Parágrafo da Lista1,Bullets"/>
    <w:basedOn w:val="Normal"/>
    <w:link w:val="ParagraphedelisteCar"/>
    <w:uiPriority w:val="34"/>
    <w:qFormat/>
    <w:rsid w:val="009953B6"/>
    <w:pPr>
      <w:tabs>
        <w:tab w:val="right" w:leader="dot" w:pos="9923"/>
      </w:tabs>
      <w:spacing w:after="240" w:line="276" w:lineRule="auto"/>
      <w:ind w:left="720"/>
      <w:contextualSpacing/>
      <w:jc w:val="both"/>
    </w:pPr>
    <w:rPr>
      <w:rFonts w:ascii="Arial" w:eastAsiaTheme="minorEastAsia" w:hAnsi="Arial" w:cs="Arial"/>
      <w:bCs/>
      <w:iCs/>
      <w:spacing w:val="2"/>
      <w:sz w:val="20"/>
      <w:szCs w:val="20"/>
      <w:lang w:val="en-GB" w:eastAsia="ja-JP"/>
    </w:rPr>
  </w:style>
  <w:style w:type="character" w:customStyle="1" w:styleId="ParagraphedelisteCar">
    <w:name w:val="Paragraphe de liste Car"/>
    <w:aliases w:val="puce 2 Car,bk paragraph Car,Bullet List Car,FooterText Car,numbered Car,List Paragraph1 Car,Paragraphe de liste1 Car,Bulletr List Paragraph Car,列出段落 Car,列出段落1 Car,Use Case List Paragraph Car,Page Titles Car,List Paragraph2 Car"/>
    <w:basedOn w:val="Policepardfaut"/>
    <w:link w:val="Paragraphedeliste"/>
    <w:uiPriority w:val="34"/>
    <w:rsid w:val="009953B6"/>
    <w:rPr>
      <w:rFonts w:ascii="Arial" w:eastAsiaTheme="minorEastAsia" w:hAnsi="Arial" w:cs="Arial"/>
      <w:bCs/>
      <w:iCs/>
      <w:spacing w:val="2"/>
      <w:sz w:val="20"/>
      <w:szCs w:val="20"/>
      <w:lang w:val="en-GB" w:eastAsia="ja-JP"/>
    </w:rPr>
  </w:style>
  <w:style w:type="paragraph" w:styleId="En-tte">
    <w:name w:val="header"/>
    <w:basedOn w:val="Normal"/>
    <w:link w:val="En-tteCar"/>
    <w:uiPriority w:val="99"/>
    <w:unhideWhenUsed/>
    <w:rsid w:val="0057034E"/>
    <w:pPr>
      <w:tabs>
        <w:tab w:val="center" w:pos="4536"/>
        <w:tab w:val="right" w:pos="9072"/>
      </w:tabs>
      <w:spacing w:after="0" w:line="240" w:lineRule="auto"/>
    </w:pPr>
  </w:style>
  <w:style w:type="character" w:customStyle="1" w:styleId="En-tteCar">
    <w:name w:val="En-tête Car"/>
    <w:basedOn w:val="Policepardfaut"/>
    <w:link w:val="En-tte"/>
    <w:uiPriority w:val="99"/>
    <w:rsid w:val="0057034E"/>
  </w:style>
  <w:style w:type="paragraph" w:styleId="Pieddepage">
    <w:name w:val="footer"/>
    <w:basedOn w:val="Normal"/>
    <w:link w:val="PieddepageCar"/>
    <w:uiPriority w:val="99"/>
    <w:unhideWhenUsed/>
    <w:rsid w:val="005703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034E"/>
  </w:style>
  <w:style w:type="character" w:customStyle="1" w:styleId="Titre2Car">
    <w:name w:val="Titre 2 Car"/>
    <w:basedOn w:val="Policepardfaut"/>
    <w:link w:val="Titre2"/>
    <w:uiPriority w:val="9"/>
    <w:semiHidden/>
    <w:rsid w:val="004C21E1"/>
    <w:rPr>
      <w:rFonts w:ascii="Arial" w:hAnsi="Arial" w:cs="Arial"/>
      <w:b/>
      <w:bCs/>
      <w:sz w:val="18"/>
      <w:szCs w:val="18"/>
      <w:lang w:eastAsia="fr-FR"/>
    </w:rPr>
  </w:style>
  <w:style w:type="paragraph" w:customStyle="1" w:styleId="u">
    <w:name w:val="u"/>
    <w:basedOn w:val="Normal"/>
    <w:rsid w:val="004C21E1"/>
    <w:pPr>
      <w:overflowPunct w:val="0"/>
      <w:autoSpaceDE w:val="0"/>
      <w:autoSpaceDN w:val="0"/>
      <w:spacing w:after="0" w:line="240" w:lineRule="auto"/>
      <w:ind w:left="562"/>
      <w:jc w:val="both"/>
    </w:pPr>
    <w:rPr>
      <w:rFonts w:ascii="Arial" w:hAnsi="Arial" w:cs="Arial"/>
      <w:lang w:eastAsia="fr-FR"/>
    </w:rPr>
  </w:style>
  <w:style w:type="paragraph" w:customStyle="1" w:styleId="Default">
    <w:name w:val="Default"/>
    <w:rsid w:val="00A244B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258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5844"/>
    <w:rPr>
      <w:b/>
      <w:bCs/>
    </w:rPr>
  </w:style>
  <w:style w:type="character" w:styleId="Marquedecommentaire">
    <w:name w:val="annotation reference"/>
    <w:basedOn w:val="Policepardfaut"/>
    <w:uiPriority w:val="99"/>
    <w:semiHidden/>
    <w:unhideWhenUsed/>
    <w:rsid w:val="008330D0"/>
    <w:rPr>
      <w:sz w:val="16"/>
      <w:szCs w:val="16"/>
    </w:rPr>
  </w:style>
  <w:style w:type="paragraph" w:styleId="Commentaire">
    <w:name w:val="annotation text"/>
    <w:basedOn w:val="Normal"/>
    <w:link w:val="CommentaireCar"/>
    <w:uiPriority w:val="99"/>
    <w:semiHidden/>
    <w:unhideWhenUsed/>
    <w:rsid w:val="008330D0"/>
    <w:pPr>
      <w:spacing w:line="240" w:lineRule="auto"/>
    </w:pPr>
    <w:rPr>
      <w:sz w:val="20"/>
      <w:szCs w:val="20"/>
    </w:rPr>
  </w:style>
  <w:style w:type="character" w:customStyle="1" w:styleId="CommentaireCar">
    <w:name w:val="Commentaire Car"/>
    <w:basedOn w:val="Policepardfaut"/>
    <w:link w:val="Commentaire"/>
    <w:uiPriority w:val="99"/>
    <w:semiHidden/>
    <w:rsid w:val="008330D0"/>
    <w:rPr>
      <w:sz w:val="20"/>
      <w:szCs w:val="20"/>
    </w:rPr>
  </w:style>
  <w:style w:type="paragraph" w:styleId="Objetducommentaire">
    <w:name w:val="annotation subject"/>
    <w:basedOn w:val="Commentaire"/>
    <w:next w:val="Commentaire"/>
    <w:link w:val="ObjetducommentaireCar"/>
    <w:uiPriority w:val="99"/>
    <w:semiHidden/>
    <w:unhideWhenUsed/>
    <w:rsid w:val="008330D0"/>
    <w:rPr>
      <w:b/>
      <w:bCs/>
    </w:rPr>
  </w:style>
  <w:style w:type="character" w:customStyle="1" w:styleId="ObjetducommentaireCar">
    <w:name w:val="Objet du commentaire Car"/>
    <w:basedOn w:val="CommentaireCar"/>
    <w:link w:val="Objetducommentaire"/>
    <w:uiPriority w:val="99"/>
    <w:semiHidden/>
    <w:rsid w:val="008330D0"/>
    <w:rPr>
      <w:b/>
      <w:bCs/>
      <w:sz w:val="20"/>
      <w:szCs w:val="20"/>
    </w:rPr>
  </w:style>
  <w:style w:type="paragraph" w:styleId="Textedebulles">
    <w:name w:val="Balloon Text"/>
    <w:basedOn w:val="Normal"/>
    <w:link w:val="TextedebullesCar"/>
    <w:uiPriority w:val="99"/>
    <w:semiHidden/>
    <w:unhideWhenUsed/>
    <w:rsid w:val="00833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30D0"/>
    <w:rPr>
      <w:rFonts w:ascii="Segoe UI" w:hAnsi="Segoe UI" w:cs="Segoe UI"/>
      <w:sz w:val="18"/>
      <w:szCs w:val="18"/>
    </w:rPr>
  </w:style>
  <w:style w:type="paragraph" w:styleId="Sansinterligne">
    <w:name w:val="No Spacing"/>
    <w:uiPriority w:val="1"/>
    <w:qFormat/>
    <w:rsid w:val="00846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93033">
      <w:bodyDiv w:val="1"/>
      <w:marLeft w:val="0"/>
      <w:marRight w:val="0"/>
      <w:marTop w:val="0"/>
      <w:marBottom w:val="0"/>
      <w:divBdr>
        <w:top w:val="none" w:sz="0" w:space="0" w:color="auto"/>
        <w:left w:val="none" w:sz="0" w:space="0" w:color="auto"/>
        <w:bottom w:val="none" w:sz="0" w:space="0" w:color="auto"/>
        <w:right w:val="none" w:sz="0" w:space="0" w:color="auto"/>
      </w:divBdr>
    </w:div>
    <w:div w:id="736631954">
      <w:bodyDiv w:val="1"/>
      <w:marLeft w:val="0"/>
      <w:marRight w:val="0"/>
      <w:marTop w:val="0"/>
      <w:marBottom w:val="0"/>
      <w:divBdr>
        <w:top w:val="none" w:sz="0" w:space="0" w:color="auto"/>
        <w:left w:val="none" w:sz="0" w:space="0" w:color="auto"/>
        <w:bottom w:val="none" w:sz="0" w:space="0" w:color="auto"/>
        <w:right w:val="none" w:sz="0" w:space="0" w:color="auto"/>
      </w:divBdr>
    </w:div>
    <w:div w:id="906259856">
      <w:bodyDiv w:val="1"/>
      <w:marLeft w:val="0"/>
      <w:marRight w:val="0"/>
      <w:marTop w:val="0"/>
      <w:marBottom w:val="0"/>
      <w:divBdr>
        <w:top w:val="none" w:sz="0" w:space="0" w:color="auto"/>
        <w:left w:val="none" w:sz="0" w:space="0" w:color="auto"/>
        <w:bottom w:val="none" w:sz="0" w:space="0" w:color="auto"/>
        <w:right w:val="none" w:sz="0" w:space="0" w:color="auto"/>
      </w:divBdr>
    </w:div>
    <w:div w:id="1020470981">
      <w:bodyDiv w:val="1"/>
      <w:marLeft w:val="0"/>
      <w:marRight w:val="0"/>
      <w:marTop w:val="0"/>
      <w:marBottom w:val="0"/>
      <w:divBdr>
        <w:top w:val="none" w:sz="0" w:space="0" w:color="auto"/>
        <w:left w:val="none" w:sz="0" w:space="0" w:color="auto"/>
        <w:bottom w:val="none" w:sz="0" w:space="0" w:color="auto"/>
        <w:right w:val="none" w:sz="0" w:space="0" w:color="auto"/>
      </w:divBdr>
    </w:div>
    <w:div w:id="1369720557">
      <w:bodyDiv w:val="1"/>
      <w:marLeft w:val="0"/>
      <w:marRight w:val="0"/>
      <w:marTop w:val="0"/>
      <w:marBottom w:val="0"/>
      <w:divBdr>
        <w:top w:val="none" w:sz="0" w:space="0" w:color="auto"/>
        <w:left w:val="none" w:sz="0" w:space="0" w:color="auto"/>
        <w:bottom w:val="none" w:sz="0" w:space="0" w:color="auto"/>
        <w:right w:val="none" w:sz="0" w:space="0" w:color="auto"/>
      </w:divBdr>
    </w:div>
    <w:div w:id="14099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CF6B-7D43-411C-9C11-62D061B9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1085</Words>
  <Characters>5968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GROPPO</dc:creator>
  <cp:keywords/>
  <dc:description/>
  <cp:lastModifiedBy>Viktoriia PEREDERII</cp:lastModifiedBy>
  <cp:revision>18</cp:revision>
  <dcterms:created xsi:type="dcterms:W3CDTF">2025-12-11T09:26:00Z</dcterms:created>
  <dcterms:modified xsi:type="dcterms:W3CDTF">2025-12-12T09:34:00Z</dcterms:modified>
</cp:coreProperties>
</file>