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D029" w14:textId="2D1BE6A4" w:rsidR="00C85939" w:rsidRPr="00282BCD" w:rsidRDefault="00DB0880" w:rsidP="00DB08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rPr>
      </w:pPr>
      <w:r w:rsidRPr="00282BCD">
        <w:rPr>
          <w:rFonts w:asciiTheme="minorHAnsi" w:hAnsiTheme="minorHAnsi" w:cstheme="minorHAnsi"/>
          <w:b/>
          <w:bCs/>
          <w:caps/>
          <w:sz w:val="36"/>
          <w:szCs w:val="32"/>
        </w:rPr>
        <w:t xml:space="preserve">Terms of reference </w:t>
      </w:r>
      <w:r w:rsidR="00AF1C79" w:rsidRPr="00282BCD">
        <w:rPr>
          <w:rFonts w:asciiTheme="minorHAnsi" w:hAnsiTheme="minorHAnsi" w:cstheme="minorHAnsi"/>
          <w:b/>
          <w:bCs/>
          <w:caps/>
          <w:sz w:val="36"/>
          <w:szCs w:val="32"/>
        </w:rPr>
        <w:br/>
        <w:t xml:space="preserve">and </w:t>
      </w:r>
      <w:r w:rsidR="00A475DB" w:rsidRPr="00282BCD">
        <w:rPr>
          <w:rFonts w:asciiTheme="minorHAnsi" w:hAnsiTheme="minorHAnsi" w:cstheme="minorHAnsi"/>
          <w:b/>
          <w:bCs/>
          <w:caps/>
          <w:sz w:val="36"/>
          <w:szCs w:val="32"/>
        </w:rPr>
        <w:t xml:space="preserve">technical </w:t>
      </w:r>
      <w:r w:rsidR="000942EE" w:rsidRPr="00282BCD">
        <w:rPr>
          <w:rFonts w:asciiTheme="minorHAnsi" w:hAnsiTheme="minorHAnsi" w:cstheme="minorHAnsi"/>
          <w:b/>
          <w:bCs/>
          <w:caps/>
          <w:sz w:val="36"/>
          <w:szCs w:val="32"/>
        </w:rPr>
        <w:t>S</w:t>
      </w:r>
      <w:r w:rsidRPr="00282BCD">
        <w:rPr>
          <w:rFonts w:asciiTheme="minorHAnsi" w:hAnsiTheme="minorHAnsi" w:cstheme="minorHAnsi"/>
          <w:b/>
          <w:bCs/>
          <w:caps/>
          <w:sz w:val="36"/>
          <w:szCs w:val="32"/>
        </w:rPr>
        <w:t>pecifications</w:t>
      </w:r>
    </w:p>
    <w:p w14:paraId="466ABD86" w14:textId="77777777" w:rsidR="007F1763" w:rsidRPr="00282BCD" w:rsidRDefault="007F1763" w:rsidP="00CE2850">
      <w:pPr>
        <w:spacing w:before="60"/>
        <w:jc w:val="both"/>
        <w:outlineLvl w:val="0"/>
        <w:rPr>
          <w:rFonts w:asciiTheme="minorHAnsi" w:hAnsiTheme="minorHAnsi" w:cstheme="minorHAnsi"/>
          <w:sz w:val="22"/>
          <w:szCs w:val="22"/>
        </w:rPr>
      </w:pPr>
    </w:p>
    <w:p w14:paraId="07F58E75" w14:textId="77777777" w:rsidR="007F1763" w:rsidRPr="00282BCD" w:rsidRDefault="007F1763" w:rsidP="007F5618">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General information</w:t>
      </w:r>
    </w:p>
    <w:p w14:paraId="7266CAA2" w14:textId="77777777" w:rsidR="007F1763" w:rsidRPr="00282BCD" w:rsidRDefault="007F1763" w:rsidP="00CE2850">
      <w:pPr>
        <w:spacing w:before="60"/>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rsidRPr="00282BCD" w14:paraId="78E5B9B4"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Pr="00282BCD" w:rsidRDefault="00EC3375" w:rsidP="001E5EB8">
            <w:pPr>
              <w:spacing w:before="60"/>
              <w:outlineLvl w:val="0"/>
              <w:rPr>
                <w:rFonts w:asciiTheme="minorHAnsi" w:hAnsiTheme="minorHAnsi" w:cstheme="minorHAnsi"/>
                <w:sz w:val="22"/>
                <w:szCs w:val="22"/>
              </w:rPr>
            </w:pPr>
            <w:r w:rsidRPr="00282BCD">
              <w:rPr>
                <w:rFonts w:asciiTheme="minorHAnsi" w:hAnsiTheme="minorHAnsi" w:cstheme="minorHAnsi"/>
                <w:sz w:val="22"/>
                <w:szCs w:val="22"/>
              </w:rPr>
              <w:t>Assignment name</w:t>
            </w:r>
          </w:p>
        </w:tc>
        <w:tc>
          <w:tcPr>
            <w:tcW w:w="6169" w:type="dxa"/>
            <w:tcBorders>
              <w:top w:val="single" w:sz="4" w:space="0" w:color="auto"/>
              <w:left w:val="single" w:sz="2" w:space="0" w:color="000000"/>
              <w:bottom w:val="dashSmallGap" w:sz="4" w:space="0" w:color="auto"/>
            </w:tcBorders>
          </w:tcPr>
          <w:p w14:paraId="6BE630A9" w14:textId="5FC5F885" w:rsidR="00EC3375" w:rsidRPr="00282BCD" w:rsidRDefault="009C0F46" w:rsidP="009C0F46">
            <w:pPr>
              <w:spacing w:before="60"/>
              <w:jc w:val="center"/>
              <w:outlineLvl w:val="0"/>
              <w:rPr>
                <w:rFonts w:asciiTheme="minorHAnsi" w:hAnsiTheme="minorHAnsi" w:cstheme="minorHAnsi"/>
                <w:sz w:val="22"/>
                <w:szCs w:val="22"/>
              </w:rPr>
            </w:pPr>
            <w:r w:rsidRPr="009C0F46">
              <w:rPr>
                <w:rFonts w:asciiTheme="minorHAnsi" w:hAnsiTheme="minorHAnsi" w:cstheme="minorHAnsi"/>
                <w:sz w:val="22"/>
                <w:szCs w:val="22"/>
              </w:rPr>
              <w:t xml:space="preserve">Support the </w:t>
            </w:r>
            <w:r w:rsidR="00270C39">
              <w:rPr>
                <w:rFonts w:asciiTheme="minorHAnsi" w:hAnsiTheme="minorHAnsi" w:cstheme="minorHAnsi"/>
                <w:sz w:val="22"/>
                <w:szCs w:val="22"/>
              </w:rPr>
              <w:t>Ministry of Technical and Vocational Education</w:t>
            </w:r>
            <w:r w:rsidRPr="009C0F46">
              <w:rPr>
                <w:rFonts w:asciiTheme="minorHAnsi" w:hAnsiTheme="minorHAnsi" w:cstheme="minorHAnsi"/>
                <w:sz w:val="22"/>
                <w:szCs w:val="22"/>
              </w:rPr>
              <w:t xml:space="preserve"> </w:t>
            </w:r>
            <w:r w:rsidR="00270C39">
              <w:rPr>
                <w:rFonts w:asciiTheme="minorHAnsi" w:hAnsiTheme="minorHAnsi" w:cstheme="minorHAnsi"/>
                <w:sz w:val="22"/>
                <w:szCs w:val="22"/>
              </w:rPr>
              <w:t>(MoTVE)</w:t>
            </w:r>
            <w:r w:rsidR="0002793D">
              <w:rPr>
                <w:rFonts w:asciiTheme="minorHAnsi" w:hAnsiTheme="minorHAnsi" w:cstheme="minorHAnsi"/>
                <w:sz w:val="22"/>
                <w:szCs w:val="22"/>
              </w:rPr>
              <w:t xml:space="preserve"> and the Ministry of Labour and Rehabilitation (MoL)</w:t>
            </w:r>
            <w:r w:rsidR="00270C39">
              <w:rPr>
                <w:rFonts w:asciiTheme="minorHAnsi" w:hAnsiTheme="minorHAnsi" w:cstheme="minorHAnsi"/>
                <w:sz w:val="22"/>
                <w:szCs w:val="22"/>
              </w:rPr>
              <w:t xml:space="preserve"> </w:t>
            </w:r>
            <w:r w:rsidR="0002793D">
              <w:rPr>
                <w:rFonts w:asciiTheme="minorHAnsi" w:hAnsiTheme="minorHAnsi" w:cstheme="minorHAnsi"/>
                <w:sz w:val="22"/>
                <w:szCs w:val="22"/>
              </w:rPr>
              <w:t>to</w:t>
            </w:r>
            <w:r w:rsidRPr="009C0F46">
              <w:rPr>
                <w:rFonts w:asciiTheme="minorHAnsi" w:hAnsiTheme="minorHAnsi" w:cstheme="minorHAnsi"/>
                <w:sz w:val="22"/>
                <w:szCs w:val="22"/>
              </w:rPr>
              <w:t xml:space="preserve"> design a </w:t>
            </w:r>
            <w:r w:rsidR="00270C39">
              <w:rPr>
                <w:rFonts w:asciiTheme="minorHAnsi" w:hAnsiTheme="minorHAnsi" w:cstheme="minorHAnsi"/>
                <w:sz w:val="22"/>
                <w:szCs w:val="22"/>
              </w:rPr>
              <w:t>TV</w:t>
            </w:r>
            <w:r w:rsidR="00877D7A">
              <w:rPr>
                <w:rFonts w:asciiTheme="minorHAnsi" w:hAnsiTheme="minorHAnsi" w:cstheme="minorHAnsi"/>
                <w:sz w:val="22"/>
                <w:szCs w:val="22"/>
              </w:rPr>
              <w:t>E</w:t>
            </w:r>
            <w:r w:rsidR="00270C39">
              <w:rPr>
                <w:rFonts w:asciiTheme="minorHAnsi" w:hAnsiTheme="minorHAnsi" w:cstheme="minorHAnsi"/>
                <w:sz w:val="22"/>
                <w:szCs w:val="22"/>
              </w:rPr>
              <w:t>T</w:t>
            </w:r>
            <w:r w:rsidRPr="009C0F46">
              <w:rPr>
                <w:rFonts w:asciiTheme="minorHAnsi" w:hAnsiTheme="minorHAnsi" w:cstheme="minorHAnsi"/>
                <w:sz w:val="22"/>
                <w:szCs w:val="22"/>
              </w:rPr>
              <w:t xml:space="preserve"> Education Employability Strategy</w:t>
            </w:r>
          </w:p>
        </w:tc>
      </w:tr>
      <w:tr w:rsidR="00EC3375" w:rsidRPr="00282BCD" w14:paraId="44A8582A"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Pr="00282BCD" w:rsidRDefault="00EC3375" w:rsidP="001E5EB8">
            <w:pPr>
              <w:spacing w:before="60"/>
              <w:outlineLvl w:val="0"/>
              <w:rPr>
                <w:rFonts w:asciiTheme="minorHAnsi" w:hAnsiTheme="minorHAnsi" w:cstheme="minorHAnsi"/>
                <w:sz w:val="22"/>
                <w:szCs w:val="22"/>
              </w:rPr>
            </w:pPr>
            <w:r w:rsidRPr="00282BCD">
              <w:rPr>
                <w:rFonts w:asciiTheme="minorHAnsi" w:hAnsiTheme="minorHAnsi" w:cstheme="minorHAnsi"/>
                <w:sz w:val="22"/>
                <w:szCs w:val="22"/>
              </w:rPr>
              <w:t>Beneficiary</w:t>
            </w:r>
          </w:p>
        </w:tc>
        <w:tc>
          <w:tcPr>
            <w:tcW w:w="6169" w:type="dxa"/>
            <w:tcBorders>
              <w:top w:val="dashSmallGap" w:sz="4" w:space="0" w:color="auto"/>
              <w:left w:val="single" w:sz="2" w:space="0" w:color="000000"/>
              <w:bottom w:val="dashSmallGap" w:sz="4" w:space="0" w:color="auto"/>
            </w:tcBorders>
            <w:shd w:val="clear" w:color="auto" w:fill="auto"/>
          </w:tcPr>
          <w:p w14:paraId="1E447E27" w14:textId="292380FB" w:rsidR="00EC3375" w:rsidRPr="00282BCD" w:rsidRDefault="00270C39" w:rsidP="009649DE">
            <w:pPr>
              <w:spacing w:before="60"/>
              <w:jc w:val="center"/>
              <w:outlineLvl w:val="0"/>
              <w:rPr>
                <w:rFonts w:asciiTheme="minorHAnsi" w:hAnsiTheme="minorHAnsi" w:cstheme="minorHAnsi"/>
                <w:sz w:val="22"/>
                <w:szCs w:val="22"/>
              </w:rPr>
            </w:pPr>
            <w:r>
              <w:rPr>
                <w:rFonts w:asciiTheme="minorHAnsi" w:hAnsiTheme="minorHAnsi" w:cstheme="minorHAnsi"/>
                <w:sz w:val="22"/>
                <w:szCs w:val="22"/>
              </w:rPr>
              <w:t>Ministry of Technical and Vocational Education</w:t>
            </w:r>
            <w:r w:rsidR="0002793D">
              <w:rPr>
                <w:rFonts w:asciiTheme="minorHAnsi" w:hAnsiTheme="minorHAnsi" w:cstheme="minorHAnsi"/>
                <w:sz w:val="22"/>
                <w:szCs w:val="22"/>
              </w:rPr>
              <w:t xml:space="preserve"> and the Ministry of Labour and Rehabilitation</w:t>
            </w:r>
          </w:p>
        </w:tc>
      </w:tr>
      <w:tr w:rsidR="00EC3375" w:rsidRPr="00282BCD" w14:paraId="532DFD76" w14:textId="77777777" w:rsidTr="001927C4">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Pr="00282BCD" w:rsidRDefault="00EC3375" w:rsidP="001E5EB8">
            <w:pPr>
              <w:spacing w:before="60"/>
              <w:outlineLvl w:val="0"/>
              <w:rPr>
                <w:rFonts w:asciiTheme="minorHAnsi" w:hAnsiTheme="minorHAnsi" w:cstheme="minorHAnsi"/>
                <w:sz w:val="22"/>
                <w:szCs w:val="22"/>
              </w:rPr>
            </w:pPr>
            <w:r w:rsidRPr="00282BCD">
              <w:rPr>
                <w:rFonts w:asciiTheme="minorHAnsi" w:hAnsiTheme="minorHAnsi" w:cstheme="minorHAnsi"/>
                <w:sz w:val="22"/>
                <w:szCs w:val="22"/>
              </w:rPr>
              <w:t>Country</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3E3B4BC5" w:rsidR="00EC3375" w:rsidRPr="00282BCD" w:rsidRDefault="00282BCD" w:rsidP="0017140E">
            <w:pPr>
              <w:jc w:val="center"/>
              <w:rPr>
                <w:rFonts w:asciiTheme="minorHAnsi" w:hAnsiTheme="minorHAnsi" w:cstheme="minorHAnsi"/>
              </w:rPr>
            </w:pPr>
            <w:r>
              <w:rPr>
                <w:rFonts w:asciiTheme="minorHAnsi" w:hAnsiTheme="minorHAnsi" w:cstheme="minorHAnsi"/>
              </w:rPr>
              <w:t>Libya</w:t>
            </w:r>
          </w:p>
        </w:tc>
      </w:tr>
      <w:tr w:rsidR="000972A8" w:rsidRPr="00282BCD" w14:paraId="5FD02A78"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77777777" w:rsidR="000972A8" w:rsidRPr="00282BCD" w:rsidRDefault="000972A8" w:rsidP="001E5EB8">
            <w:pPr>
              <w:spacing w:before="60"/>
              <w:outlineLvl w:val="0"/>
              <w:rPr>
                <w:rFonts w:asciiTheme="minorHAnsi" w:hAnsiTheme="minorHAnsi" w:cstheme="minorHAnsi"/>
                <w:sz w:val="22"/>
                <w:szCs w:val="22"/>
              </w:rPr>
            </w:pPr>
            <w:r w:rsidRPr="00282BCD">
              <w:rPr>
                <w:rFonts w:asciiTheme="minorHAnsi" w:hAnsiTheme="minorHAnsi" w:cstheme="minorHAnsi"/>
                <w:sz w:val="22"/>
                <w:szCs w:val="22"/>
              </w:rPr>
              <w:t>Total estimated number of days</w:t>
            </w:r>
          </w:p>
        </w:tc>
        <w:tc>
          <w:tcPr>
            <w:tcW w:w="6169" w:type="dxa"/>
            <w:tcBorders>
              <w:top w:val="dashSmallGap" w:sz="4" w:space="0" w:color="auto"/>
              <w:left w:val="single" w:sz="2" w:space="0" w:color="000000"/>
              <w:bottom w:val="dashSmallGap" w:sz="4" w:space="0" w:color="auto"/>
            </w:tcBorders>
          </w:tcPr>
          <w:p w14:paraId="585213D8" w14:textId="6F4D6214" w:rsidR="000972A8" w:rsidRPr="00282BCD" w:rsidRDefault="000B01CF" w:rsidP="000942EE">
            <w:pPr>
              <w:spacing w:before="60"/>
              <w:outlineLvl w:val="0"/>
              <w:rPr>
                <w:rFonts w:asciiTheme="minorHAnsi" w:hAnsiTheme="minorHAnsi" w:cstheme="minorHAnsi"/>
                <w:sz w:val="22"/>
                <w:szCs w:val="22"/>
              </w:rPr>
            </w:pPr>
            <w:r>
              <w:rPr>
                <w:rFonts w:asciiTheme="minorHAnsi" w:hAnsiTheme="minorHAnsi" w:cstheme="minorHAnsi"/>
                <w:sz w:val="22"/>
                <w:szCs w:val="22"/>
              </w:rPr>
              <w:t>70</w:t>
            </w:r>
          </w:p>
        </w:tc>
      </w:tr>
    </w:tbl>
    <w:p w14:paraId="5639991B" w14:textId="77777777" w:rsidR="00671483" w:rsidRPr="00282BCD" w:rsidRDefault="00671483" w:rsidP="00CE2850">
      <w:pPr>
        <w:spacing w:before="60"/>
        <w:jc w:val="both"/>
        <w:outlineLvl w:val="0"/>
        <w:rPr>
          <w:rFonts w:asciiTheme="minorHAnsi" w:hAnsiTheme="minorHAnsi" w:cstheme="minorHAnsi"/>
          <w:sz w:val="22"/>
          <w:szCs w:val="22"/>
        </w:rPr>
      </w:pPr>
    </w:p>
    <w:p w14:paraId="7AB3782C" w14:textId="0A174CD8" w:rsidR="001D27F6" w:rsidRPr="00282BCD" w:rsidRDefault="000942EE" w:rsidP="007F5618">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Context and justification of the need</w:t>
      </w:r>
    </w:p>
    <w:p w14:paraId="5216283E" w14:textId="77777777" w:rsidR="001441C8" w:rsidRPr="00282BCD" w:rsidRDefault="001441C8" w:rsidP="001D27F6">
      <w:pPr>
        <w:rPr>
          <w:rFonts w:asciiTheme="minorHAnsi" w:hAnsiTheme="minorHAnsi" w:cstheme="minorHAnsi"/>
          <w:sz w:val="22"/>
          <w:szCs w:val="22"/>
        </w:rPr>
      </w:pPr>
    </w:p>
    <w:p w14:paraId="6F4029BC" w14:textId="30251CFC" w:rsidR="004373AA" w:rsidRPr="00D46DCF" w:rsidRDefault="004373AA" w:rsidP="004373AA">
      <w:pPr>
        <w:pStyle w:val="Paragraphedeliste2"/>
        <w:spacing w:after="200" w:line="276" w:lineRule="auto"/>
        <w:ind w:left="0"/>
        <w:contextualSpacing/>
        <w:jc w:val="both"/>
        <w:rPr>
          <w:rFonts w:asciiTheme="minorHAnsi" w:hAnsiTheme="minorHAnsi" w:cstheme="minorHAnsi"/>
          <w:sz w:val="22"/>
          <w:szCs w:val="22"/>
        </w:rPr>
      </w:pPr>
      <w:r w:rsidRPr="00D46DCF">
        <w:rPr>
          <w:rFonts w:asciiTheme="minorHAnsi" w:hAnsiTheme="minorHAnsi" w:cstheme="minorHAnsi"/>
          <w:sz w:val="22"/>
          <w:szCs w:val="22"/>
        </w:rPr>
        <w:t>The EU4Skills project is designed to tackle the pressing issue of unemployment in Libya, addressing the urgent need for a comprehensive approach to employability. As of 2020, Libya faced an unemployment rate of 19.6%, disproportionately impacting women and youth. The barriers to accessing quality employment opportunities are multi</w:t>
      </w:r>
      <w:r w:rsidR="0002793D">
        <w:rPr>
          <w:rFonts w:asciiTheme="minorHAnsi" w:hAnsiTheme="minorHAnsi" w:cstheme="minorHAnsi"/>
          <w:sz w:val="22"/>
          <w:szCs w:val="22"/>
        </w:rPr>
        <w:t>dimensional</w:t>
      </w:r>
      <w:r w:rsidRPr="00D46DCF">
        <w:rPr>
          <w:rFonts w:asciiTheme="minorHAnsi" w:hAnsiTheme="minorHAnsi" w:cstheme="minorHAnsi"/>
          <w:sz w:val="22"/>
          <w:szCs w:val="22"/>
        </w:rPr>
        <w:t>, necessitating a strategic and integrated response.</w:t>
      </w:r>
    </w:p>
    <w:p w14:paraId="5BDC986F" w14:textId="3E1CC156" w:rsidR="00CB7AA1" w:rsidRPr="004373AA" w:rsidRDefault="004373AA" w:rsidP="00295424">
      <w:pPr>
        <w:pStyle w:val="Paragraphedeliste2"/>
        <w:spacing w:after="200" w:line="276" w:lineRule="auto"/>
        <w:ind w:left="0"/>
        <w:contextualSpacing/>
        <w:jc w:val="both"/>
        <w:rPr>
          <w:rFonts w:asciiTheme="minorHAnsi" w:hAnsiTheme="minorHAnsi" w:cstheme="minorHAnsi"/>
          <w:sz w:val="22"/>
          <w:szCs w:val="22"/>
        </w:rPr>
      </w:pPr>
      <w:r w:rsidRPr="00D46DCF">
        <w:rPr>
          <w:rFonts w:asciiTheme="minorHAnsi" w:hAnsiTheme="minorHAnsi" w:cstheme="minorHAnsi"/>
          <w:sz w:val="22"/>
          <w:szCs w:val="22"/>
        </w:rPr>
        <w:t xml:space="preserve">Libya’s economy is heavily reliant on oil and gas, which, despite being a primary source of national income, employs only 2% of the workforce. This highlights a significant mismatch between job opportunities and available employment. Although Libya has a high enrolment rate in higher education, with a ratio of 60.5% for both genders, the quality of education is lacking, as evidenced by its ranking of 102 out of 144 countries in quality performance and 133rd out of 144 in labour market efficiency. </w:t>
      </w:r>
      <w:r w:rsidR="009C0F46">
        <w:rPr>
          <w:rFonts w:asciiTheme="minorHAnsi" w:hAnsiTheme="minorHAnsi" w:cstheme="minorHAnsi"/>
          <w:sz w:val="22"/>
          <w:szCs w:val="22"/>
        </w:rPr>
        <w:t xml:space="preserve">As part of </w:t>
      </w:r>
      <w:r w:rsidR="009C0F46" w:rsidRPr="009C0F46">
        <w:rPr>
          <w:rFonts w:asciiTheme="minorHAnsi" w:hAnsiTheme="minorHAnsi" w:cstheme="minorHAnsi"/>
          <w:sz w:val="22"/>
          <w:szCs w:val="22"/>
        </w:rPr>
        <w:t xml:space="preserve">the EU4Skills project, it </w:t>
      </w:r>
      <w:r w:rsidR="009C0F46">
        <w:rPr>
          <w:rFonts w:asciiTheme="minorHAnsi" w:hAnsiTheme="minorHAnsi" w:cstheme="minorHAnsi"/>
          <w:sz w:val="22"/>
          <w:szCs w:val="22"/>
        </w:rPr>
        <w:t>supports</w:t>
      </w:r>
      <w:r w:rsidR="009C0F46" w:rsidRPr="009C0F46">
        <w:rPr>
          <w:rFonts w:asciiTheme="minorHAnsi" w:hAnsiTheme="minorHAnsi" w:cstheme="minorHAnsi"/>
          <w:sz w:val="22"/>
          <w:szCs w:val="22"/>
        </w:rPr>
        <w:t xml:space="preserve"> the </w:t>
      </w:r>
      <w:r w:rsidR="008D75B1">
        <w:rPr>
          <w:rFonts w:asciiTheme="minorHAnsi" w:hAnsiTheme="minorHAnsi" w:cstheme="minorHAnsi"/>
          <w:sz w:val="22"/>
          <w:szCs w:val="22"/>
        </w:rPr>
        <w:t>MoTVE</w:t>
      </w:r>
      <w:r w:rsidR="0002793D">
        <w:rPr>
          <w:rFonts w:asciiTheme="minorHAnsi" w:hAnsiTheme="minorHAnsi" w:cstheme="minorHAnsi"/>
          <w:sz w:val="22"/>
          <w:szCs w:val="22"/>
        </w:rPr>
        <w:t xml:space="preserve"> and MoL</w:t>
      </w:r>
      <w:r w:rsidR="008D75B1">
        <w:rPr>
          <w:rFonts w:asciiTheme="minorHAnsi" w:hAnsiTheme="minorHAnsi" w:cstheme="minorHAnsi"/>
          <w:sz w:val="22"/>
          <w:szCs w:val="22"/>
        </w:rPr>
        <w:t xml:space="preserve"> </w:t>
      </w:r>
      <w:r w:rsidR="009C0F46" w:rsidRPr="009C0F46">
        <w:rPr>
          <w:rFonts w:asciiTheme="minorHAnsi" w:hAnsiTheme="minorHAnsi" w:cstheme="minorHAnsi"/>
          <w:sz w:val="22"/>
          <w:szCs w:val="22"/>
        </w:rPr>
        <w:t xml:space="preserve">to develop a comprehensive employability strategy. Libya’s high youth unemployment and the limited integration of practical and labour market-aligned content into </w:t>
      </w:r>
      <w:r w:rsidR="008D75B1">
        <w:rPr>
          <w:rFonts w:asciiTheme="minorHAnsi" w:hAnsiTheme="minorHAnsi" w:cstheme="minorHAnsi"/>
          <w:sz w:val="22"/>
          <w:szCs w:val="22"/>
        </w:rPr>
        <w:t>TVET</w:t>
      </w:r>
      <w:r w:rsidR="009C0F46" w:rsidRPr="009C0F46">
        <w:rPr>
          <w:rFonts w:asciiTheme="minorHAnsi" w:hAnsiTheme="minorHAnsi" w:cstheme="minorHAnsi"/>
          <w:sz w:val="22"/>
          <w:szCs w:val="22"/>
        </w:rPr>
        <w:t xml:space="preserve"> curricula underscore the urgency for reform. </w:t>
      </w:r>
      <w:r w:rsidR="00295424" w:rsidRPr="00295424">
        <w:rPr>
          <w:rFonts w:asciiTheme="minorHAnsi" w:hAnsiTheme="minorHAnsi" w:cstheme="minorHAnsi"/>
          <w:sz w:val="22"/>
          <w:szCs w:val="22"/>
        </w:rPr>
        <w:t>The employability strategy will provide a roadmap to embed labour market relevance into technical and vocational education institutions, with a particular focus on internships, apprenticeships, dual education systems, and the responsiveness of vocational training institutions to labour market needs.</w:t>
      </w:r>
    </w:p>
    <w:p w14:paraId="38D0CCF7" w14:textId="77777777" w:rsidR="001D27F6" w:rsidRPr="00282BCD" w:rsidRDefault="00965444" w:rsidP="007F5618">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Objectives and desired results</w:t>
      </w:r>
    </w:p>
    <w:p w14:paraId="3D53F620" w14:textId="77777777" w:rsidR="001D27F6" w:rsidRPr="00282BCD" w:rsidRDefault="001D27F6" w:rsidP="00C85939">
      <w:pPr>
        <w:jc w:val="both"/>
        <w:rPr>
          <w:rFonts w:asciiTheme="minorHAnsi" w:hAnsiTheme="minorHAnsi" w:cstheme="minorHAnsi"/>
          <w:sz w:val="22"/>
          <w:szCs w:val="22"/>
        </w:rPr>
      </w:pPr>
    </w:p>
    <w:p w14:paraId="5915EDA9" w14:textId="3AEBBDC1" w:rsidR="00475709" w:rsidRPr="00282BCD" w:rsidRDefault="001D27F6" w:rsidP="007F5618">
      <w:pPr>
        <w:numPr>
          <w:ilvl w:val="1"/>
          <w:numId w:val="2"/>
        </w:numPr>
        <w:tabs>
          <w:tab w:val="clear" w:pos="1440"/>
          <w:tab w:val="num" w:pos="900"/>
        </w:tabs>
        <w:ind w:left="900"/>
        <w:jc w:val="both"/>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 xml:space="preserve">General objective </w:t>
      </w:r>
    </w:p>
    <w:p w14:paraId="394B4389" w14:textId="77777777" w:rsidR="009236DE" w:rsidRPr="00282BCD" w:rsidRDefault="009236DE" w:rsidP="009236DE">
      <w:pPr>
        <w:jc w:val="both"/>
        <w:rPr>
          <w:rFonts w:asciiTheme="minorHAnsi" w:hAnsiTheme="minorHAnsi" w:cstheme="minorHAnsi"/>
          <w:sz w:val="22"/>
          <w:szCs w:val="22"/>
        </w:rPr>
      </w:pPr>
    </w:p>
    <w:p w14:paraId="07C9AF65" w14:textId="06A140C1" w:rsidR="00160227" w:rsidRPr="00160227" w:rsidRDefault="00877D7A" w:rsidP="00877D7A">
      <w:pPr>
        <w:jc w:val="both"/>
        <w:rPr>
          <w:rFonts w:asciiTheme="minorHAnsi" w:hAnsiTheme="minorHAnsi" w:cstheme="minorHAnsi"/>
          <w:sz w:val="22"/>
          <w:szCs w:val="22"/>
        </w:rPr>
      </w:pPr>
      <w:r w:rsidRPr="00877D7A">
        <w:rPr>
          <w:rFonts w:asciiTheme="minorHAnsi" w:hAnsiTheme="minorHAnsi" w:cstheme="minorHAnsi"/>
          <w:sz w:val="22"/>
          <w:szCs w:val="22"/>
        </w:rPr>
        <w:t xml:space="preserve">The objective of the assignment is to support the MoTVE </w:t>
      </w:r>
      <w:r w:rsidR="0002793D">
        <w:rPr>
          <w:rFonts w:asciiTheme="minorHAnsi" w:hAnsiTheme="minorHAnsi" w:cstheme="minorHAnsi"/>
          <w:sz w:val="22"/>
          <w:szCs w:val="22"/>
        </w:rPr>
        <w:t xml:space="preserve">and MoL </w:t>
      </w:r>
      <w:r w:rsidRPr="00877D7A">
        <w:rPr>
          <w:rFonts w:asciiTheme="minorHAnsi" w:hAnsiTheme="minorHAnsi" w:cstheme="minorHAnsi"/>
          <w:sz w:val="22"/>
          <w:szCs w:val="22"/>
        </w:rPr>
        <w:t>in designing a holistic employability strategy that better prepares technical and vocational education learners for the labour market</w:t>
      </w:r>
      <w:r w:rsidR="00160227" w:rsidRPr="00160227">
        <w:rPr>
          <w:rFonts w:asciiTheme="minorHAnsi" w:hAnsiTheme="minorHAnsi" w:cstheme="minorHAnsi"/>
          <w:sz w:val="22"/>
          <w:szCs w:val="22"/>
        </w:rPr>
        <w:t>:</w:t>
      </w:r>
    </w:p>
    <w:p w14:paraId="0A204A9F" w14:textId="18C2A106" w:rsidR="0013667A" w:rsidRDefault="0013667A">
      <w:pPr>
        <w:numPr>
          <w:ilvl w:val="0"/>
          <w:numId w:val="7"/>
        </w:numPr>
        <w:jc w:val="both"/>
        <w:rPr>
          <w:rFonts w:asciiTheme="minorHAnsi" w:hAnsiTheme="minorHAnsi" w:cstheme="minorHAnsi"/>
          <w:sz w:val="22"/>
          <w:szCs w:val="22"/>
        </w:rPr>
      </w:pPr>
      <w:r>
        <w:rPr>
          <w:rFonts w:asciiTheme="minorHAnsi" w:hAnsiTheme="minorHAnsi" w:cstheme="minorHAnsi"/>
          <w:sz w:val="22"/>
          <w:szCs w:val="22"/>
        </w:rPr>
        <w:t>Provide technical support for the technical teams to analyse the current legislation related to employment and labour, and propose reforms to improve the employability of TVET graduates.</w:t>
      </w:r>
    </w:p>
    <w:p w14:paraId="4A7F8D64" w14:textId="1C1FC6F4" w:rsidR="00877D7A" w:rsidRDefault="00877D7A">
      <w:pPr>
        <w:numPr>
          <w:ilvl w:val="0"/>
          <w:numId w:val="7"/>
        </w:numPr>
        <w:jc w:val="both"/>
        <w:rPr>
          <w:rFonts w:asciiTheme="minorHAnsi" w:hAnsiTheme="minorHAnsi" w:cstheme="minorHAnsi"/>
          <w:sz w:val="22"/>
          <w:szCs w:val="22"/>
        </w:rPr>
      </w:pPr>
      <w:r w:rsidRPr="00877D7A">
        <w:rPr>
          <w:rFonts w:asciiTheme="minorHAnsi" w:hAnsiTheme="minorHAnsi" w:cstheme="minorHAnsi"/>
          <w:sz w:val="22"/>
          <w:szCs w:val="22"/>
        </w:rPr>
        <w:lastRenderedPageBreak/>
        <w:t>Support the design of frameworks to promote internships, apprenticeships, and dual education systems within the TVE sector.</w:t>
      </w:r>
    </w:p>
    <w:p w14:paraId="2A30EBEA" w14:textId="291FF826" w:rsidR="00160227" w:rsidRDefault="00160227">
      <w:pPr>
        <w:numPr>
          <w:ilvl w:val="0"/>
          <w:numId w:val="7"/>
        </w:numPr>
        <w:jc w:val="both"/>
        <w:rPr>
          <w:rFonts w:asciiTheme="minorHAnsi" w:hAnsiTheme="minorHAnsi" w:cstheme="minorHAnsi"/>
          <w:sz w:val="22"/>
          <w:szCs w:val="22"/>
        </w:rPr>
      </w:pPr>
      <w:r w:rsidRPr="00877D7A">
        <w:rPr>
          <w:rFonts w:asciiTheme="minorHAnsi" w:hAnsiTheme="minorHAnsi" w:cstheme="minorHAnsi"/>
          <w:sz w:val="22"/>
          <w:szCs w:val="22"/>
        </w:rPr>
        <w:t>Designing a framework for training and internships that connects students with the labour market before graduation.</w:t>
      </w:r>
    </w:p>
    <w:p w14:paraId="65C4DD16" w14:textId="6D5786BC" w:rsidR="00877D7A" w:rsidRPr="00877D7A" w:rsidRDefault="00877D7A" w:rsidP="00877D7A">
      <w:pPr>
        <w:numPr>
          <w:ilvl w:val="0"/>
          <w:numId w:val="7"/>
        </w:numPr>
        <w:jc w:val="both"/>
        <w:rPr>
          <w:rFonts w:asciiTheme="minorHAnsi" w:hAnsiTheme="minorHAnsi" w:cstheme="minorHAnsi"/>
          <w:sz w:val="22"/>
          <w:szCs w:val="22"/>
        </w:rPr>
      </w:pPr>
      <w:r w:rsidRPr="00877D7A">
        <w:rPr>
          <w:rFonts w:asciiTheme="minorHAnsi" w:hAnsiTheme="minorHAnsi" w:cstheme="minorHAnsi"/>
          <w:sz w:val="22"/>
          <w:szCs w:val="22"/>
        </w:rPr>
        <w:t>Provide guidance on aligning vocational training curricula with labour market needs.</w:t>
      </w:r>
    </w:p>
    <w:p w14:paraId="62BCE978" w14:textId="4BB7CD64" w:rsidR="00160227" w:rsidRPr="001D25A3" w:rsidRDefault="00160227" w:rsidP="007F5618">
      <w:pPr>
        <w:numPr>
          <w:ilvl w:val="0"/>
          <w:numId w:val="7"/>
        </w:numPr>
        <w:jc w:val="both"/>
        <w:rPr>
          <w:rFonts w:asciiTheme="minorHAnsi" w:hAnsiTheme="minorHAnsi" w:cstheme="minorHAnsi"/>
          <w:sz w:val="22"/>
          <w:szCs w:val="22"/>
        </w:rPr>
      </w:pPr>
      <w:r w:rsidRPr="001D25A3">
        <w:rPr>
          <w:rFonts w:asciiTheme="minorHAnsi" w:hAnsiTheme="minorHAnsi" w:cstheme="minorHAnsi"/>
          <w:sz w:val="22"/>
          <w:szCs w:val="22"/>
        </w:rPr>
        <w:t xml:space="preserve">Creating </w:t>
      </w:r>
      <w:r w:rsidR="0013667A" w:rsidRPr="001D25A3">
        <w:rPr>
          <w:rFonts w:asciiTheme="minorHAnsi" w:hAnsiTheme="minorHAnsi" w:cstheme="minorHAnsi"/>
          <w:sz w:val="22"/>
          <w:szCs w:val="22"/>
        </w:rPr>
        <w:t>a</w:t>
      </w:r>
      <w:r w:rsidR="001D25A3" w:rsidRPr="001D25A3">
        <w:rPr>
          <w:rFonts w:asciiTheme="minorHAnsi" w:hAnsiTheme="minorHAnsi" w:cstheme="minorHAnsi"/>
          <w:sz w:val="22"/>
          <w:szCs w:val="22"/>
        </w:rPr>
        <w:t xml:space="preserve"> proactive and</w:t>
      </w:r>
      <w:r w:rsidR="0038720C" w:rsidRPr="001D25A3">
        <w:rPr>
          <w:rFonts w:asciiTheme="minorHAnsi" w:hAnsiTheme="minorHAnsi" w:cstheme="minorHAnsi"/>
          <w:sz w:val="22"/>
          <w:szCs w:val="22"/>
        </w:rPr>
        <w:t xml:space="preserve"> interactive</w:t>
      </w:r>
      <w:r w:rsidRPr="001D25A3">
        <w:rPr>
          <w:rFonts w:asciiTheme="minorHAnsi" w:hAnsiTheme="minorHAnsi" w:cstheme="minorHAnsi"/>
          <w:sz w:val="22"/>
          <w:szCs w:val="22"/>
        </w:rPr>
        <w:t xml:space="preserve"> communication and feedback framework that fosters continuous dialogue between </w:t>
      </w:r>
      <w:r w:rsidR="001D25A3" w:rsidRPr="001D25A3">
        <w:rPr>
          <w:rFonts w:asciiTheme="minorHAnsi" w:hAnsiTheme="minorHAnsi" w:cstheme="minorHAnsi"/>
          <w:sz w:val="22"/>
          <w:szCs w:val="22"/>
        </w:rPr>
        <w:t xml:space="preserve">TVET </w:t>
      </w:r>
      <w:r w:rsidRPr="001D25A3">
        <w:rPr>
          <w:rFonts w:asciiTheme="minorHAnsi" w:hAnsiTheme="minorHAnsi" w:cstheme="minorHAnsi"/>
          <w:sz w:val="22"/>
          <w:szCs w:val="22"/>
        </w:rPr>
        <w:t>institutions and employers.</w:t>
      </w:r>
    </w:p>
    <w:p w14:paraId="176AC221" w14:textId="04559470" w:rsidR="0019451A" w:rsidRPr="00282BCD" w:rsidRDefault="0019451A" w:rsidP="00160227">
      <w:pPr>
        <w:jc w:val="both"/>
        <w:rPr>
          <w:rFonts w:asciiTheme="minorHAnsi" w:hAnsiTheme="minorHAnsi" w:cstheme="minorHAnsi"/>
          <w:sz w:val="22"/>
          <w:szCs w:val="22"/>
        </w:rPr>
      </w:pPr>
    </w:p>
    <w:p w14:paraId="75A619EB" w14:textId="77777777" w:rsidR="00475709" w:rsidRPr="00282BCD" w:rsidRDefault="00475709" w:rsidP="00C85939">
      <w:pPr>
        <w:tabs>
          <w:tab w:val="num" w:pos="900"/>
        </w:tabs>
        <w:ind w:left="900" w:hanging="360"/>
        <w:jc w:val="both"/>
        <w:rPr>
          <w:rFonts w:asciiTheme="minorHAnsi" w:hAnsiTheme="minorHAnsi" w:cstheme="minorHAnsi"/>
          <w:sz w:val="22"/>
          <w:szCs w:val="22"/>
        </w:rPr>
      </w:pPr>
    </w:p>
    <w:p w14:paraId="003D337A" w14:textId="77777777" w:rsidR="001D27F6" w:rsidRPr="00282BCD" w:rsidRDefault="001D27F6" w:rsidP="007F5618">
      <w:pPr>
        <w:numPr>
          <w:ilvl w:val="1"/>
          <w:numId w:val="2"/>
        </w:numPr>
        <w:tabs>
          <w:tab w:val="clear" w:pos="1440"/>
          <w:tab w:val="num" w:pos="900"/>
        </w:tabs>
        <w:ind w:left="900"/>
        <w:jc w:val="both"/>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Specific objectives</w:t>
      </w:r>
    </w:p>
    <w:p w14:paraId="46EC8066" w14:textId="77777777" w:rsidR="00CB7AA1" w:rsidRPr="00282BCD" w:rsidRDefault="00CB7AA1" w:rsidP="00C85939">
      <w:pPr>
        <w:jc w:val="both"/>
        <w:rPr>
          <w:rFonts w:asciiTheme="minorHAnsi" w:hAnsiTheme="minorHAnsi" w:cstheme="minorHAnsi"/>
        </w:rPr>
      </w:pPr>
    </w:p>
    <w:p w14:paraId="4741DD03" w14:textId="0AC5882A" w:rsidR="00160227" w:rsidRPr="00160227" w:rsidRDefault="00160227" w:rsidP="007F5618">
      <w:pPr>
        <w:pStyle w:val="Paragraphedeliste"/>
        <w:numPr>
          <w:ilvl w:val="0"/>
          <w:numId w:val="8"/>
        </w:numPr>
        <w:jc w:val="both"/>
        <w:rPr>
          <w:rFonts w:asciiTheme="minorHAnsi" w:hAnsiTheme="minorHAnsi" w:cstheme="minorHAnsi"/>
          <w:sz w:val="22"/>
          <w:szCs w:val="22"/>
        </w:rPr>
      </w:pPr>
      <w:r w:rsidRPr="00160227">
        <w:rPr>
          <w:rFonts w:asciiTheme="minorHAnsi" w:hAnsiTheme="minorHAnsi" w:cstheme="minorHAnsi"/>
          <w:sz w:val="22"/>
          <w:szCs w:val="22"/>
        </w:rPr>
        <w:t>Deliver workshops on strategy design and implementation.</w:t>
      </w:r>
    </w:p>
    <w:p w14:paraId="5BCE186B" w14:textId="53E221D2" w:rsidR="00160227" w:rsidRDefault="00160227" w:rsidP="007F5618">
      <w:pPr>
        <w:pStyle w:val="Paragraphedeliste"/>
        <w:numPr>
          <w:ilvl w:val="0"/>
          <w:numId w:val="8"/>
        </w:numPr>
        <w:jc w:val="both"/>
        <w:rPr>
          <w:rFonts w:asciiTheme="minorHAnsi" w:hAnsiTheme="minorHAnsi" w:cstheme="minorHAnsi"/>
          <w:sz w:val="22"/>
          <w:szCs w:val="22"/>
        </w:rPr>
      </w:pPr>
      <w:r w:rsidRPr="00160227">
        <w:rPr>
          <w:rFonts w:asciiTheme="minorHAnsi" w:hAnsiTheme="minorHAnsi" w:cstheme="minorHAnsi"/>
          <w:sz w:val="22"/>
          <w:szCs w:val="22"/>
        </w:rPr>
        <w:t xml:space="preserve">Present best practices and case studies on national and international </w:t>
      </w:r>
      <w:r w:rsidR="00877D7A">
        <w:rPr>
          <w:rFonts w:asciiTheme="minorHAnsi" w:hAnsiTheme="minorHAnsi" w:cstheme="minorHAnsi"/>
          <w:sz w:val="22"/>
          <w:szCs w:val="22"/>
        </w:rPr>
        <w:t xml:space="preserve">TVET </w:t>
      </w:r>
      <w:r w:rsidRPr="00160227">
        <w:rPr>
          <w:rFonts w:asciiTheme="minorHAnsi" w:hAnsiTheme="minorHAnsi" w:cstheme="minorHAnsi"/>
          <w:sz w:val="22"/>
          <w:szCs w:val="22"/>
        </w:rPr>
        <w:t>employability strategies.</w:t>
      </w:r>
    </w:p>
    <w:p w14:paraId="79895521" w14:textId="657959D5" w:rsidR="00160227" w:rsidRPr="00160227" w:rsidRDefault="00160227" w:rsidP="007F5618">
      <w:pPr>
        <w:pStyle w:val="Paragraphedeliste"/>
        <w:numPr>
          <w:ilvl w:val="0"/>
          <w:numId w:val="8"/>
        </w:numPr>
        <w:jc w:val="both"/>
        <w:rPr>
          <w:rFonts w:asciiTheme="minorHAnsi" w:hAnsiTheme="minorHAnsi" w:cstheme="minorHAnsi"/>
          <w:sz w:val="22"/>
          <w:szCs w:val="22"/>
        </w:rPr>
      </w:pPr>
      <w:r w:rsidRPr="00160227">
        <w:rPr>
          <w:rFonts w:asciiTheme="minorHAnsi" w:hAnsiTheme="minorHAnsi" w:cstheme="minorHAnsi"/>
          <w:sz w:val="22"/>
          <w:szCs w:val="22"/>
        </w:rPr>
        <w:t>Support the technical team</w:t>
      </w:r>
      <w:r w:rsidR="001D25A3">
        <w:rPr>
          <w:rFonts w:asciiTheme="minorHAnsi" w:hAnsiTheme="minorHAnsi" w:cstheme="minorHAnsi"/>
          <w:sz w:val="22"/>
          <w:szCs w:val="22"/>
        </w:rPr>
        <w:t>s</w:t>
      </w:r>
      <w:r w:rsidRPr="00160227">
        <w:rPr>
          <w:rFonts w:asciiTheme="minorHAnsi" w:hAnsiTheme="minorHAnsi" w:cstheme="minorHAnsi"/>
          <w:sz w:val="22"/>
          <w:szCs w:val="22"/>
        </w:rPr>
        <w:t xml:space="preserve"> in drafting the </w:t>
      </w:r>
      <w:r w:rsidR="00877D7A">
        <w:rPr>
          <w:rFonts w:asciiTheme="minorHAnsi" w:hAnsiTheme="minorHAnsi" w:cstheme="minorHAnsi"/>
          <w:sz w:val="22"/>
          <w:szCs w:val="22"/>
        </w:rPr>
        <w:t xml:space="preserve">TVET </w:t>
      </w:r>
      <w:r w:rsidRPr="00160227">
        <w:rPr>
          <w:rFonts w:asciiTheme="minorHAnsi" w:hAnsiTheme="minorHAnsi" w:cstheme="minorHAnsi"/>
          <w:sz w:val="22"/>
          <w:szCs w:val="22"/>
        </w:rPr>
        <w:t>employability strategy.</w:t>
      </w:r>
    </w:p>
    <w:p w14:paraId="0C8BB3D1" w14:textId="159CB4A0" w:rsidR="00160227" w:rsidRPr="00160227" w:rsidRDefault="00160227" w:rsidP="007F5618">
      <w:pPr>
        <w:pStyle w:val="Paragraphedeliste"/>
        <w:numPr>
          <w:ilvl w:val="0"/>
          <w:numId w:val="8"/>
        </w:numPr>
        <w:jc w:val="both"/>
        <w:rPr>
          <w:rFonts w:asciiTheme="minorHAnsi" w:hAnsiTheme="minorHAnsi" w:cstheme="minorHAnsi"/>
          <w:sz w:val="22"/>
          <w:szCs w:val="22"/>
        </w:rPr>
      </w:pPr>
      <w:r w:rsidRPr="00160227">
        <w:rPr>
          <w:rFonts w:asciiTheme="minorHAnsi" w:hAnsiTheme="minorHAnsi" w:cstheme="minorHAnsi"/>
          <w:sz w:val="22"/>
          <w:szCs w:val="22"/>
        </w:rPr>
        <w:t xml:space="preserve">Provide guidance on aligning </w:t>
      </w:r>
      <w:r w:rsidR="003607E4">
        <w:rPr>
          <w:rFonts w:asciiTheme="minorHAnsi" w:hAnsiTheme="minorHAnsi" w:cstheme="minorHAnsi"/>
          <w:sz w:val="22"/>
          <w:szCs w:val="22"/>
        </w:rPr>
        <w:t>TVET</w:t>
      </w:r>
      <w:r w:rsidRPr="00160227">
        <w:rPr>
          <w:rFonts w:asciiTheme="minorHAnsi" w:hAnsiTheme="minorHAnsi" w:cstheme="minorHAnsi"/>
          <w:sz w:val="22"/>
          <w:szCs w:val="22"/>
        </w:rPr>
        <w:t xml:space="preserve"> curricula with labour market demands.</w:t>
      </w:r>
    </w:p>
    <w:p w14:paraId="667DFE76" w14:textId="2E6BF777" w:rsidR="00160227" w:rsidRPr="00160227" w:rsidRDefault="00160227" w:rsidP="007F5618">
      <w:pPr>
        <w:pStyle w:val="Paragraphedeliste"/>
        <w:numPr>
          <w:ilvl w:val="0"/>
          <w:numId w:val="8"/>
        </w:numPr>
        <w:jc w:val="both"/>
        <w:rPr>
          <w:rFonts w:asciiTheme="minorHAnsi" w:hAnsiTheme="minorHAnsi" w:cstheme="minorHAnsi"/>
          <w:sz w:val="22"/>
          <w:szCs w:val="22"/>
        </w:rPr>
      </w:pPr>
      <w:r w:rsidRPr="00160227">
        <w:rPr>
          <w:rFonts w:asciiTheme="minorHAnsi" w:hAnsiTheme="minorHAnsi" w:cstheme="minorHAnsi"/>
          <w:sz w:val="22"/>
          <w:szCs w:val="22"/>
        </w:rPr>
        <w:t>Support the development of internship</w:t>
      </w:r>
      <w:r w:rsidR="003607E4">
        <w:rPr>
          <w:rFonts w:asciiTheme="minorHAnsi" w:hAnsiTheme="minorHAnsi" w:cstheme="minorHAnsi"/>
          <w:sz w:val="22"/>
          <w:szCs w:val="22"/>
        </w:rPr>
        <w:t>, apprenticeship, and dual education system</w:t>
      </w:r>
      <w:r w:rsidRPr="00160227">
        <w:rPr>
          <w:rFonts w:asciiTheme="minorHAnsi" w:hAnsiTheme="minorHAnsi" w:cstheme="minorHAnsi"/>
          <w:sz w:val="22"/>
          <w:szCs w:val="22"/>
        </w:rPr>
        <w:t xml:space="preserve"> </w:t>
      </w:r>
      <w:r w:rsidR="003535FF">
        <w:rPr>
          <w:rFonts w:asciiTheme="minorHAnsi" w:hAnsiTheme="minorHAnsi" w:cstheme="minorHAnsi"/>
          <w:sz w:val="22"/>
          <w:szCs w:val="22"/>
        </w:rPr>
        <w:t>regulations</w:t>
      </w:r>
      <w:r w:rsidRPr="00160227">
        <w:rPr>
          <w:rFonts w:asciiTheme="minorHAnsi" w:hAnsiTheme="minorHAnsi" w:cstheme="minorHAnsi"/>
          <w:sz w:val="22"/>
          <w:szCs w:val="22"/>
        </w:rPr>
        <w:t>.</w:t>
      </w:r>
    </w:p>
    <w:p w14:paraId="76EE8E3F" w14:textId="52D42CC4" w:rsidR="00152A9E" w:rsidRDefault="00152A9E" w:rsidP="00152A9E">
      <w:pPr>
        <w:pStyle w:val="Paragraphedeliste"/>
        <w:numPr>
          <w:ilvl w:val="0"/>
          <w:numId w:val="8"/>
        </w:numPr>
        <w:jc w:val="both"/>
        <w:rPr>
          <w:rFonts w:asciiTheme="minorHAnsi" w:hAnsiTheme="minorHAnsi" w:cstheme="minorHAnsi"/>
          <w:sz w:val="22"/>
          <w:szCs w:val="22"/>
        </w:rPr>
      </w:pPr>
      <w:r w:rsidRPr="00152A9E">
        <w:rPr>
          <w:rFonts w:asciiTheme="minorHAnsi" w:hAnsiTheme="minorHAnsi" w:cstheme="minorHAnsi"/>
          <w:sz w:val="22"/>
          <w:szCs w:val="22"/>
        </w:rPr>
        <w:t xml:space="preserve">Support the design of frameworks to strengthen </w:t>
      </w:r>
      <w:r w:rsidRPr="001D25A3">
        <w:rPr>
          <w:rFonts w:asciiTheme="minorHAnsi" w:hAnsiTheme="minorHAnsi" w:cstheme="minorHAnsi"/>
          <w:sz w:val="22"/>
          <w:szCs w:val="22"/>
        </w:rPr>
        <w:t>linkages between vocational training centres and employers.</w:t>
      </w:r>
    </w:p>
    <w:p w14:paraId="02A46516" w14:textId="3E55A6D8" w:rsidR="00160227" w:rsidRPr="00160227" w:rsidRDefault="00160227" w:rsidP="00152A9E">
      <w:pPr>
        <w:pStyle w:val="Paragraphedeliste"/>
        <w:numPr>
          <w:ilvl w:val="0"/>
          <w:numId w:val="8"/>
        </w:numPr>
        <w:jc w:val="both"/>
        <w:rPr>
          <w:rFonts w:asciiTheme="minorHAnsi" w:hAnsiTheme="minorHAnsi" w:cstheme="minorHAnsi"/>
          <w:sz w:val="22"/>
          <w:szCs w:val="22"/>
        </w:rPr>
      </w:pPr>
      <w:r>
        <w:rPr>
          <w:rFonts w:asciiTheme="minorHAnsi" w:hAnsiTheme="minorHAnsi" w:cstheme="minorHAnsi"/>
          <w:sz w:val="22"/>
          <w:szCs w:val="22"/>
        </w:rPr>
        <w:t>Support d</w:t>
      </w:r>
      <w:r w:rsidRPr="00160227">
        <w:rPr>
          <w:rFonts w:asciiTheme="minorHAnsi" w:hAnsiTheme="minorHAnsi" w:cstheme="minorHAnsi"/>
          <w:sz w:val="22"/>
          <w:szCs w:val="22"/>
        </w:rPr>
        <w:t>evelop</w:t>
      </w:r>
      <w:r>
        <w:rPr>
          <w:rFonts w:asciiTheme="minorHAnsi" w:hAnsiTheme="minorHAnsi" w:cstheme="minorHAnsi"/>
          <w:sz w:val="22"/>
          <w:szCs w:val="22"/>
        </w:rPr>
        <w:t>ing</w:t>
      </w:r>
      <w:r w:rsidRPr="00160227">
        <w:rPr>
          <w:rFonts w:asciiTheme="minorHAnsi" w:hAnsiTheme="minorHAnsi" w:cstheme="minorHAnsi"/>
          <w:sz w:val="22"/>
          <w:szCs w:val="22"/>
        </w:rPr>
        <w:t xml:space="preserve"> a</w:t>
      </w:r>
      <w:r>
        <w:rPr>
          <w:rFonts w:asciiTheme="minorHAnsi" w:hAnsiTheme="minorHAnsi" w:cstheme="minorHAnsi"/>
          <w:sz w:val="22"/>
          <w:szCs w:val="22"/>
        </w:rPr>
        <w:t>n action plan and</w:t>
      </w:r>
      <w:r w:rsidRPr="00160227">
        <w:rPr>
          <w:rFonts w:asciiTheme="minorHAnsi" w:hAnsiTheme="minorHAnsi" w:cstheme="minorHAnsi"/>
          <w:sz w:val="22"/>
          <w:szCs w:val="22"/>
        </w:rPr>
        <w:t xml:space="preserve"> roadmap for </w:t>
      </w:r>
      <w:r w:rsidR="003535FF">
        <w:rPr>
          <w:rFonts w:asciiTheme="minorHAnsi" w:hAnsiTheme="minorHAnsi" w:cstheme="minorHAnsi"/>
          <w:sz w:val="22"/>
          <w:szCs w:val="22"/>
        </w:rPr>
        <w:t xml:space="preserve">the </w:t>
      </w:r>
      <w:r w:rsidRPr="00160227">
        <w:rPr>
          <w:rFonts w:asciiTheme="minorHAnsi" w:hAnsiTheme="minorHAnsi" w:cstheme="minorHAnsi"/>
          <w:sz w:val="22"/>
          <w:szCs w:val="22"/>
        </w:rPr>
        <w:t xml:space="preserve">strategy </w:t>
      </w:r>
      <w:r w:rsidR="003535FF">
        <w:rPr>
          <w:rFonts w:asciiTheme="minorHAnsi" w:hAnsiTheme="minorHAnsi" w:cstheme="minorHAnsi"/>
          <w:sz w:val="22"/>
          <w:szCs w:val="22"/>
        </w:rPr>
        <w:t>implementation.</w:t>
      </w:r>
    </w:p>
    <w:p w14:paraId="70428A63" w14:textId="77777777" w:rsidR="00475709" w:rsidRPr="00282BCD" w:rsidRDefault="00475709" w:rsidP="00C85939">
      <w:pPr>
        <w:jc w:val="both"/>
        <w:rPr>
          <w:rFonts w:asciiTheme="minorHAnsi" w:hAnsiTheme="minorHAnsi" w:cstheme="minorHAnsi"/>
          <w:sz w:val="22"/>
          <w:szCs w:val="22"/>
        </w:rPr>
      </w:pPr>
    </w:p>
    <w:p w14:paraId="43C3EFA0" w14:textId="77777777" w:rsidR="00965444" w:rsidRPr="00282BCD" w:rsidRDefault="00965444" w:rsidP="007F5618">
      <w:pPr>
        <w:numPr>
          <w:ilvl w:val="1"/>
          <w:numId w:val="2"/>
        </w:numPr>
        <w:tabs>
          <w:tab w:val="clear" w:pos="1440"/>
          <w:tab w:val="num" w:pos="900"/>
        </w:tabs>
        <w:ind w:left="900"/>
        <w:jc w:val="both"/>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Anticipated results</w:t>
      </w:r>
    </w:p>
    <w:p w14:paraId="4ECCAA1C" w14:textId="77777777" w:rsidR="00965444" w:rsidRPr="00282BCD" w:rsidRDefault="00965444" w:rsidP="00C85939">
      <w:pPr>
        <w:jc w:val="both"/>
        <w:rPr>
          <w:rFonts w:asciiTheme="minorHAnsi" w:hAnsiTheme="minorHAnsi" w:cstheme="minorHAnsi"/>
          <w:sz w:val="22"/>
          <w:szCs w:val="22"/>
        </w:rPr>
      </w:pPr>
    </w:p>
    <w:p w14:paraId="1C5730BD" w14:textId="59967012" w:rsidR="00BF13D5" w:rsidRPr="00BF13D5" w:rsidRDefault="002548E3" w:rsidP="007F5618">
      <w:pPr>
        <w:pStyle w:val="Paragraphedeliste"/>
        <w:numPr>
          <w:ilvl w:val="0"/>
          <w:numId w:val="9"/>
        </w:numPr>
        <w:jc w:val="both"/>
        <w:rPr>
          <w:rFonts w:asciiTheme="minorHAnsi" w:hAnsiTheme="minorHAnsi" w:cstheme="minorHAnsi"/>
          <w:sz w:val="22"/>
          <w:szCs w:val="22"/>
        </w:rPr>
      </w:pPr>
      <w:r>
        <w:rPr>
          <w:rFonts w:asciiTheme="minorHAnsi" w:hAnsiTheme="minorHAnsi" w:cstheme="minorHAnsi"/>
          <w:sz w:val="22"/>
          <w:szCs w:val="22"/>
        </w:rPr>
        <w:t>MoTVE</w:t>
      </w:r>
      <w:r w:rsidR="00BF13D5" w:rsidRPr="00BF13D5">
        <w:rPr>
          <w:rFonts w:asciiTheme="minorHAnsi" w:hAnsiTheme="minorHAnsi" w:cstheme="minorHAnsi"/>
          <w:sz w:val="22"/>
          <w:szCs w:val="22"/>
        </w:rPr>
        <w:t xml:space="preserve"> </w:t>
      </w:r>
      <w:r w:rsidR="00BF13D5">
        <w:rPr>
          <w:rFonts w:asciiTheme="minorHAnsi" w:hAnsiTheme="minorHAnsi" w:cstheme="minorHAnsi"/>
          <w:sz w:val="22"/>
          <w:szCs w:val="22"/>
        </w:rPr>
        <w:t xml:space="preserve">technical </w:t>
      </w:r>
      <w:r w:rsidR="00BF13D5" w:rsidRPr="00BF13D5">
        <w:rPr>
          <w:rFonts w:asciiTheme="minorHAnsi" w:hAnsiTheme="minorHAnsi" w:cstheme="minorHAnsi"/>
          <w:sz w:val="22"/>
          <w:szCs w:val="22"/>
        </w:rPr>
        <w:t>teams are trained in strategic planning and labour market engagement.</w:t>
      </w:r>
    </w:p>
    <w:p w14:paraId="42DEACA4" w14:textId="30A2A14B" w:rsidR="00BF13D5" w:rsidRDefault="00BF13D5" w:rsidP="007F5618">
      <w:pPr>
        <w:pStyle w:val="Paragraphedeliste"/>
        <w:numPr>
          <w:ilvl w:val="0"/>
          <w:numId w:val="9"/>
        </w:numPr>
        <w:jc w:val="both"/>
        <w:rPr>
          <w:rFonts w:asciiTheme="minorHAnsi" w:hAnsiTheme="minorHAnsi" w:cstheme="minorHAnsi"/>
          <w:sz w:val="22"/>
          <w:szCs w:val="22"/>
        </w:rPr>
      </w:pPr>
      <w:r>
        <w:rPr>
          <w:rFonts w:asciiTheme="minorHAnsi" w:hAnsiTheme="minorHAnsi" w:cstheme="minorHAnsi"/>
          <w:sz w:val="22"/>
          <w:szCs w:val="22"/>
        </w:rPr>
        <w:t>Reforms for the current</w:t>
      </w:r>
      <w:r w:rsidR="002548E3">
        <w:rPr>
          <w:rFonts w:asciiTheme="minorHAnsi" w:hAnsiTheme="minorHAnsi" w:cstheme="minorHAnsi"/>
          <w:sz w:val="22"/>
          <w:szCs w:val="22"/>
        </w:rPr>
        <w:t xml:space="preserve"> TVET</w:t>
      </w:r>
      <w:r>
        <w:rPr>
          <w:rFonts w:asciiTheme="minorHAnsi" w:hAnsiTheme="minorHAnsi" w:cstheme="minorHAnsi"/>
          <w:sz w:val="22"/>
          <w:szCs w:val="22"/>
        </w:rPr>
        <w:t xml:space="preserve"> regulations are proposed.</w:t>
      </w:r>
    </w:p>
    <w:p w14:paraId="03063D3F" w14:textId="1A53E3C1" w:rsidR="00BF13D5" w:rsidRDefault="00BF13D5" w:rsidP="007F5618">
      <w:pPr>
        <w:pStyle w:val="Paragraphedeliste"/>
        <w:numPr>
          <w:ilvl w:val="0"/>
          <w:numId w:val="9"/>
        </w:numPr>
        <w:jc w:val="both"/>
        <w:rPr>
          <w:rFonts w:asciiTheme="minorHAnsi" w:hAnsiTheme="minorHAnsi" w:cstheme="minorHAnsi"/>
          <w:sz w:val="22"/>
          <w:szCs w:val="22"/>
        </w:rPr>
      </w:pPr>
      <w:r w:rsidRPr="00BF13D5">
        <w:rPr>
          <w:rFonts w:asciiTheme="minorHAnsi" w:hAnsiTheme="minorHAnsi" w:cstheme="minorHAnsi"/>
          <w:sz w:val="22"/>
          <w:szCs w:val="22"/>
        </w:rPr>
        <w:t xml:space="preserve">A national </w:t>
      </w:r>
      <w:r w:rsidR="002548E3">
        <w:rPr>
          <w:rFonts w:asciiTheme="minorHAnsi" w:hAnsiTheme="minorHAnsi" w:cstheme="minorHAnsi"/>
          <w:sz w:val="22"/>
          <w:szCs w:val="22"/>
        </w:rPr>
        <w:t xml:space="preserve">framework is proposed for </w:t>
      </w:r>
      <w:r w:rsidR="001D25A3">
        <w:rPr>
          <w:rFonts w:asciiTheme="minorHAnsi" w:hAnsiTheme="minorHAnsi" w:cstheme="minorHAnsi"/>
          <w:sz w:val="22"/>
          <w:szCs w:val="22"/>
        </w:rPr>
        <w:t>internships</w:t>
      </w:r>
      <w:r w:rsidR="00152A9E">
        <w:rPr>
          <w:rFonts w:asciiTheme="minorHAnsi" w:hAnsiTheme="minorHAnsi" w:cstheme="minorHAnsi"/>
          <w:sz w:val="22"/>
          <w:szCs w:val="22"/>
        </w:rPr>
        <w:t xml:space="preserve">, </w:t>
      </w:r>
      <w:r w:rsidR="00DC4589" w:rsidRPr="00DC4589">
        <w:rPr>
          <w:rFonts w:asciiTheme="minorHAnsi" w:hAnsiTheme="minorHAnsi" w:cstheme="minorHAnsi"/>
          <w:sz w:val="22"/>
          <w:szCs w:val="22"/>
        </w:rPr>
        <w:t>apprenticeships</w:t>
      </w:r>
      <w:r w:rsidR="00152A9E">
        <w:rPr>
          <w:rFonts w:asciiTheme="minorHAnsi" w:hAnsiTheme="minorHAnsi" w:cstheme="minorHAnsi"/>
          <w:sz w:val="22"/>
          <w:szCs w:val="22"/>
        </w:rPr>
        <w:t xml:space="preserve">, and </w:t>
      </w:r>
      <w:r w:rsidR="001D25A3">
        <w:rPr>
          <w:rFonts w:asciiTheme="minorHAnsi" w:hAnsiTheme="minorHAnsi" w:cstheme="minorHAnsi"/>
          <w:sz w:val="22"/>
          <w:szCs w:val="22"/>
        </w:rPr>
        <w:t>dual education</w:t>
      </w:r>
      <w:r w:rsidR="002548E3">
        <w:rPr>
          <w:rFonts w:asciiTheme="minorHAnsi" w:hAnsiTheme="minorHAnsi" w:cstheme="minorHAnsi"/>
          <w:sz w:val="22"/>
          <w:szCs w:val="22"/>
        </w:rPr>
        <w:t xml:space="preserve"> within </w:t>
      </w:r>
      <w:r w:rsidR="001D25A3">
        <w:rPr>
          <w:rFonts w:asciiTheme="minorHAnsi" w:hAnsiTheme="minorHAnsi" w:cstheme="minorHAnsi"/>
          <w:sz w:val="22"/>
          <w:szCs w:val="22"/>
        </w:rPr>
        <w:t xml:space="preserve">the </w:t>
      </w:r>
      <w:r w:rsidR="002548E3">
        <w:rPr>
          <w:rFonts w:asciiTheme="minorHAnsi" w:hAnsiTheme="minorHAnsi" w:cstheme="minorHAnsi"/>
          <w:sz w:val="22"/>
          <w:szCs w:val="22"/>
        </w:rPr>
        <w:t>TVET</w:t>
      </w:r>
      <w:r w:rsidR="00152A9E">
        <w:rPr>
          <w:rFonts w:asciiTheme="minorHAnsi" w:hAnsiTheme="minorHAnsi" w:cstheme="minorHAnsi"/>
          <w:sz w:val="22"/>
          <w:szCs w:val="22"/>
        </w:rPr>
        <w:t xml:space="preserve"> s</w:t>
      </w:r>
      <w:r w:rsidR="002548E3">
        <w:rPr>
          <w:rFonts w:asciiTheme="minorHAnsi" w:hAnsiTheme="minorHAnsi" w:cstheme="minorHAnsi"/>
          <w:sz w:val="22"/>
          <w:szCs w:val="22"/>
        </w:rPr>
        <w:t>ector.</w:t>
      </w:r>
    </w:p>
    <w:p w14:paraId="4BB9366A" w14:textId="048E1091" w:rsidR="00BF13D5" w:rsidRPr="00BF13D5" w:rsidRDefault="007F60F3" w:rsidP="007F5618">
      <w:pPr>
        <w:pStyle w:val="Paragraphedeliste"/>
        <w:numPr>
          <w:ilvl w:val="0"/>
          <w:numId w:val="9"/>
        </w:numPr>
        <w:jc w:val="both"/>
        <w:rPr>
          <w:rFonts w:asciiTheme="minorHAnsi" w:hAnsiTheme="minorHAnsi" w:cstheme="minorHAnsi"/>
          <w:sz w:val="22"/>
          <w:szCs w:val="22"/>
        </w:rPr>
      </w:pPr>
      <w:r>
        <w:rPr>
          <w:rFonts w:asciiTheme="minorHAnsi" w:hAnsiTheme="minorHAnsi" w:cstheme="minorHAnsi"/>
          <w:sz w:val="22"/>
          <w:szCs w:val="22"/>
        </w:rPr>
        <w:t>Institutional models for employer engagement and industry partnerships are designed.</w:t>
      </w:r>
    </w:p>
    <w:p w14:paraId="3A63EF57" w14:textId="3833202B" w:rsidR="00BF13D5" w:rsidRDefault="00AF2678" w:rsidP="007F5618">
      <w:pPr>
        <w:pStyle w:val="Paragraphedeliste"/>
        <w:numPr>
          <w:ilvl w:val="0"/>
          <w:numId w:val="9"/>
        </w:numPr>
        <w:jc w:val="both"/>
        <w:rPr>
          <w:rFonts w:asciiTheme="minorHAnsi" w:hAnsiTheme="minorHAnsi" w:cstheme="minorHAnsi"/>
          <w:sz w:val="22"/>
          <w:szCs w:val="22"/>
        </w:rPr>
      </w:pPr>
      <w:r>
        <w:rPr>
          <w:rFonts w:asciiTheme="minorHAnsi" w:hAnsiTheme="minorHAnsi" w:cstheme="minorHAnsi"/>
          <w:sz w:val="22"/>
          <w:szCs w:val="22"/>
        </w:rPr>
        <w:t>Interactive c</w:t>
      </w:r>
      <w:r w:rsidR="00BF13D5" w:rsidRPr="00BF13D5">
        <w:rPr>
          <w:rFonts w:asciiTheme="minorHAnsi" w:hAnsiTheme="minorHAnsi" w:cstheme="minorHAnsi"/>
          <w:sz w:val="22"/>
          <w:szCs w:val="22"/>
        </w:rPr>
        <w:t xml:space="preserve">ommunication and feedback </w:t>
      </w:r>
      <w:r w:rsidR="0031649A">
        <w:rPr>
          <w:rFonts w:asciiTheme="minorHAnsi" w:hAnsiTheme="minorHAnsi" w:cstheme="minorHAnsi"/>
          <w:sz w:val="22"/>
          <w:szCs w:val="22"/>
        </w:rPr>
        <w:t>frameworks</w:t>
      </w:r>
      <w:r w:rsidR="00BF13D5" w:rsidRPr="00BF13D5">
        <w:rPr>
          <w:rFonts w:asciiTheme="minorHAnsi" w:hAnsiTheme="minorHAnsi" w:cstheme="minorHAnsi"/>
          <w:sz w:val="22"/>
          <w:szCs w:val="22"/>
        </w:rPr>
        <w:t xml:space="preserve"> are defined to strengthen collaboration between </w:t>
      </w:r>
      <w:r w:rsidR="00DC4589">
        <w:rPr>
          <w:rFonts w:asciiTheme="minorHAnsi" w:hAnsiTheme="minorHAnsi" w:cstheme="minorHAnsi"/>
          <w:sz w:val="22"/>
          <w:szCs w:val="22"/>
        </w:rPr>
        <w:t>TVET</w:t>
      </w:r>
      <w:r w:rsidR="00BF13D5" w:rsidRPr="00BF13D5">
        <w:rPr>
          <w:rFonts w:asciiTheme="minorHAnsi" w:hAnsiTheme="minorHAnsi" w:cstheme="minorHAnsi"/>
          <w:sz w:val="22"/>
          <w:szCs w:val="22"/>
        </w:rPr>
        <w:t xml:space="preserve"> and employers.</w:t>
      </w:r>
    </w:p>
    <w:p w14:paraId="655954D9" w14:textId="775D25A5" w:rsidR="00AF63C1" w:rsidRPr="00DC4589" w:rsidRDefault="00DC4589" w:rsidP="00DC4589">
      <w:pPr>
        <w:pStyle w:val="NormalWeb"/>
        <w:numPr>
          <w:ilvl w:val="0"/>
          <w:numId w:val="9"/>
        </w:numPr>
        <w:rPr>
          <w:rFonts w:asciiTheme="minorHAnsi" w:hAnsiTheme="minorHAnsi" w:cstheme="minorHAnsi"/>
          <w:sz w:val="22"/>
          <w:szCs w:val="22"/>
          <w:lang w:eastAsia="fr-FR"/>
        </w:rPr>
      </w:pPr>
      <w:r w:rsidRPr="00DC4589">
        <w:rPr>
          <w:rFonts w:asciiTheme="minorHAnsi" w:hAnsiTheme="minorHAnsi" w:cstheme="minorHAnsi"/>
          <w:sz w:val="22"/>
          <w:szCs w:val="22"/>
          <w:lang w:eastAsia="fr-FR"/>
        </w:rPr>
        <w:t>Support developing an action plan and roadmap for the strategy implementation.</w:t>
      </w:r>
    </w:p>
    <w:p w14:paraId="2F18E5D2" w14:textId="77777777" w:rsidR="00965444" w:rsidRPr="00282BCD" w:rsidRDefault="00965444" w:rsidP="007F5618">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Description of the assignment</w:t>
      </w:r>
    </w:p>
    <w:p w14:paraId="69356CB9" w14:textId="77777777" w:rsidR="00965444" w:rsidRPr="00282BCD" w:rsidRDefault="00965444" w:rsidP="00C85939">
      <w:pPr>
        <w:jc w:val="both"/>
        <w:rPr>
          <w:rFonts w:asciiTheme="minorHAnsi" w:hAnsiTheme="minorHAnsi" w:cstheme="minorHAnsi"/>
          <w:sz w:val="22"/>
          <w:szCs w:val="22"/>
        </w:rPr>
      </w:pPr>
    </w:p>
    <w:p w14:paraId="4198E154" w14:textId="77777777" w:rsidR="001D27F6" w:rsidRPr="00282BCD" w:rsidRDefault="00965444" w:rsidP="007F5618">
      <w:pPr>
        <w:numPr>
          <w:ilvl w:val="1"/>
          <w:numId w:val="2"/>
        </w:numPr>
        <w:tabs>
          <w:tab w:val="clear" w:pos="1440"/>
          <w:tab w:val="num" w:pos="900"/>
        </w:tabs>
        <w:ind w:left="900"/>
        <w:jc w:val="both"/>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Planned activities</w:t>
      </w:r>
    </w:p>
    <w:p w14:paraId="2109317A" w14:textId="77777777" w:rsidR="00475709" w:rsidRPr="00282BCD" w:rsidRDefault="00475709" w:rsidP="00C85939">
      <w:pPr>
        <w:tabs>
          <w:tab w:val="num" w:pos="900"/>
        </w:tabs>
        <w:ind w:left="900" w:hanging="360"/>
        <w:jc w:val="both"/>
        <w:rPr>
          <w:rFonts w:asciiTheme="minorHAnsi" w:hAnsiTheme="minorHAnsi" w:cstheme="minorHAnsi"/>
          <w:sz w:val="22"/>
          <w:szCs w:val="22"/>
        </w:rPr>
      </w:pPr>
    </w:p>
    <w:p w14:paraId="02307189" w14:textId="4B957532" w:rsidR="009236DE" w:rsidRDefault="00957B58" w:rsidP="00957B58">
      <w:pPr>
        <w:jc w:val="both"/>
        <w:rPr>
          <w:rFonts w:asciiTheme="minorHAnsi" w:hAnsiTheme="minorHAnsi" w:cstheme="minorHAnsi"/>
          <w:sz w:val="22"/>
          <w:szCs w:val="22"/>
        </w:rPr>
      </w:pPr>
      <w:r w:rsidRPr="00957B58">
        <w:rPr>
          <w:rFonts w:asciiTheme="minorHAnsi" w:hAnsiTheme="minorHAnsi" w:cstheme="minorHAnsi"/>
          <w:sz w:val="22"/>
          <w:szCs w:val="22"/>
        </w:rPr>
        <w:t xml:space="preserve">The expert must support the </w:t>
      </w:r>
      <w:r w:rsidR="00DC4589">
        <w:rPr>
          <w:rFonts w:asciiTheme="minorHAnsi" w:hAnsiTheme="minorHAnsi" w:cstheme="minorHAnsi"/>
          <w:sz w:val="22"/>
          <w:szCs w:val="22"/>
        </w:rPr>
        <w:t>MoTVE</w:t>
      </w:r>
      <w:r w:rsidRPr="00957B58">
        <w:rPr>
          <w:rFonts w:asciiTheme="minorHAnsi" w:hAnsiTheme="minorHAnsi" w:cstheme="minorHAnsi"/>
          <w:sz w:val="22"/>
          <w:szCs w:val="22"/>
        </w:rPr>
        <w:t xml:space="preserve"> </w:t>
      </w:r>
      <w:r w:rsidR="001D25A3">
        <w:rPr>
          <w:rFonts w:asciiTheme="minorHAnsi" w:hAnsiTheme="minorHAnsi" w:cstheme="minorHAnsi"/>
          <w:sz w:val="22"/>
          <w:szCs w:val="22"/>
        </w:rPr>
        <w:t xml:space="preserve">and the MoL </w:t>
      </w:r>
      <w:r w:rsidRPr="00957B58">
        <w:rPr>
          <w:rFonts w:asciiTheme="minorHAnsi" w:hAnsiTheme="minorHAnsi" w:cstheme="minorHAnsi"/>
          <w:sz w:val="22"/>
          <w:szCs w:val="22"/>
        </w:rPr>
        <w:t>in line with the overarching goals of Component One of the EU4SKILLS project, which aims to build institutional capacity to design and implement a comprehensive employability strategy. This includes the development of an action plan to align curricula with labour market needs, fostering systemic collaboration between education institutions and employers.</w:t>
      </w:r>
    </w:p>
    <w:p w14:paraId="61A450CB" w14:textId="3FA52CE1" w:rsidR="00DC4589" w:rsidRDefault="00DC4589">
      <w:pPr>
        <w:rPr>
          <w:rFonts w:asciiTheme="minorHAnsi" w:hAnsiTheme="minorHAnsi" w:cstheme="minorHAnsi"/>
          <w:sz w:val="22"/>
          <w:szCs w:val="22"/>
        </w:rPr>
      </w:pPr>
      <w:r>
        <w:rPr>
          <w:rFonts w:asciiTheme="minorHAnsi" w:hAnsiTheme="minorHAnsi" w:cstheme="minorHAnsi"/>
          <w:sz w:val="22"/>
          <w:szCs w:val="22"/>
        </w:rPr>
        <w:br w:type="page"/>
      </w:r>
    </w:p>
    <w:p w14:paraId="1780384A" w14:textId="77777777" w:rsidR="007221B0" w:rsidRPr="00282BCD" w:rsidRDefault="007221B0" w:rsidP="00BF1DCD">
      <w:pPr>
        <w:jc w:val="both"/>
        <w:rPr>
          <w:rFonts w:asciiTheme="minorHAnsi" w:hAnsiTheme="minorHAnsi" w:cstheme="minorHAnsi"/>
          <w:sz w:val="22"/>
          <w:szCs w:val="22"/>
          <w:u w:val="single"/>
        </w:rPr>
      </w:pPr>
      <w:r w:rsidRPr="00282BCD">
        <w:rPr>
          <w:rFonts w:asciiTheme="minorHAnsi" w:hAnsiTheme="minorHAnsi" w:cstheme="minorHAnsi"/>
          <w:sz w:val="22"/>
          <w:szCs w:val="22"/>
          <w:u w:val="single"/>
        </w:rPr>
        <w:t xml:space="preserve">Assignment preparation </w:t>
      </w:r>
    </w:p>
    <w:p w14:paraId="2CFC261C" w14:textId="77777777" w:rsidR="007221B0" w:rsidRPr="00282BCD" w:rsidRDefault="007221B0" w:rsidP="00BF1DCD">
      <w:pPr>
        <w:jc w:val="both"/>
        <w:rPr>
          <w:rFonts w:asciiTheme="minorHAnsi" w:hAnsiTheme="minorHAnsi" w:cstheme="minorHAnsi"/>
          <w:sz w:val="22"/>
          <w:szCs w:val="22"/>
        </w:rPr>
      </w:pPr>
    </w:p>
    <w:p w14:paraId="56E09984" w14:textId="43112CA0" w:rsidR="00A36719" w:rsidRDefault="00A36719" w:rsidP="007F5618">
      <w:pPr>
        <w:pStyle w:val="Paragraphedeliste"/>
        <w:numPr>
          <w:ilvl w:val="0"/>
          <w:numId w:val="10"/>
        </w:numPr>
        <w:jc w:val="both"/>
        <w:rPr>
          <w:rFonts w:asciiTheme="minorHAnsi" w:hAnsiTheme="minorHAnsi" w:cstheme="minorHAnsi"/>
          <w:sz w:val="22"/>
          <w:szCs w:val="22"/>
        </w:rPr>
      </w:pPr>
      <w:r w:rsidRPr="00A36719">
        <w:rPr>
          <w:rFonts w:asciiTheme="minorHAnsi" w:hAnsiTheme="minorHAnsi" w:cstheme="minorHAnsi"/>
          <w:sz w:val="22"/>
          <w:szCs w:val="22"/>
        </w:rPr>
        <w:t xml:space="preserve">Engage in consultation meetings with key stakeholders </w:t>
      </w:r>
      <w:r>
        <w:rPr>
          <w:rFonts w:asciiTheme="minorHAnsi" w:hAnsiTheme="minorHAnsi" w:cstheme="minorHAnsi"/>
          <w:sz w:val="22"/>
          <w:szCs w:val="22"/>
        </w:rPr>
        <w:t>and the Expertise France team</w:t>
      </w:r>
      <w:r w:rsidRPr="00A36719">
        <w:rPr>
          <w:rFonts w:asciiTheme="minorHAnsi" w:hAnsiTheme="minorHAnsi" w:cstheme="minorHAnsi"/>
          <w:sz w:val="22"/>
          <w:szCs w:val="22"/>
        </w:rPr>
        <w:t xml:space="preserve"> to clarify expectations and finalise the assignment roadmap.</w:t>
      </w:r>
    </w:p>
    <w:p w14:paraId="5EAC8754" w14:textId="77777777" w:rsidR="00A36719" w:rsidRDefault="00A36719" w:rsidP="007F5618">
      <w:pPr>
        <w:pStyle w:val="Paragraphedeliste"/>
        <w:numPr>
          <w:ilvl w:val="0"/>
          <w:numId w:val="10"/>
        </w:numPr>
        <w:jc w:val="both"/>
        <w:rPr>
          <w:rFonts w:asciiTheme="minorHAnsi" w:hAnsiTheme="minorHAnsi" w:cstheme="minorHAnsi"/>
          <w:sz w:val="22"/>
          <w:szCs w:val="22"/>
        </w:rPr>
      </w:pPr>
      <w:r w:rsidRPr="00A36719">
        <w:rPr>
          <w:rFonts w:asciiTheme="minorHAnsi" w:hAnsiTheme="minorHAnsi" w:cstheme="minorHAnsi"/>
          <w:sz w:val="22"/>
          <w:szCs w:val="22"/>
        </w:rPr>
        <w:t>Develop a detailed inception report, including the workplan, capacity-building schedule, and deliverable calendar.</w:t>
      </w:r>
    </w:p>
    <w:p w14:paraId="760FCDD0" w14:textId="70754A33" w:rsidR="00A36719" w:rsidRPr="00A36719" w:rsidRDefault="00A36719" w:rsidP="007F5618">
      <w:pPr>
        <w:pStyle w:val="Paragraphedeliste"/>
        <w:numPr>
          <w:ilvl w:val="0"/>
          <w:numId w:val="10"/>
        </w:numPr>
        <w:jc w:val="both"/>
        <w:rPr>
          <w:rFonts w:asciiTheme="minorHAnsi" w:hAnsiTheme="minorHAnsi" w:cstheme="minorHAnsi"/>
          <w:sz w:val="22"/>
          <w:szCs w:val="22"/>
        </w:rPr>
      </w:pPr>
      <w:r w:rsidRPr="00A36719">
        <w:rPr>
          <w:rFonts w:asciiTheme="minorHAnsi" w:hAnsiTheme="minorHAnsi" w:cstheme="minorHAnsi"/>
          <w:sz w:val="22"/>
          <w:szCs w:val="22"/>
        </w:rPr>
        <w:t>Participate in a launch meeting with Expertise France and national counterparts to validate the approach.</w:t>
      </w:r>
    </w:p>
    <w:p w14:paraId="256D9E82" w14:textId="77777777" w:rsidR="00932C58" w:rsidRPr="00282BCD" w:rsidRDefault="00932C58" w:rsidP="00932C58">
      <w:pPr>
        <w:jc w:val="both"/>
        <w:rPr>
          <w:rFonts w:asciiTheme="minorHAnsi" w:hAnsiTheme="minorHAnsi" w:cstheme="minorHAnsi"/>
          <w:sz w:val="22"/>
          <w:szCs w:val="22"/>
        </w:rPr>
      </w:pPr>
    </w:p>
    <w:p w14:paraId="7966ABC7" w14:textId="1D213ABB" w:rsidR="007221B0" w:rsidRPr="00282BCD" w:rsidRDefault="007221B0" w:rsidP="00932C58">
      <w:pPr>
        <w:jc w:val="both"/>
        <w:rPr>
          <w:rFonts w:asciiTheme="minorHAnsi" w:hAnsiTheme="minorHAnsi" w:cstheme="minorHAnsi"/>
          <w:sz w:val="22"/>
          <w:szCs w:val="22"/>
          <w:u w:val="single"/>
        </w:rPr>
      </w:pPr>
      <w:r w:rsidRPr="00282BCD">
        <w:rPr>
          <w:rFonts w:asciiTheme="minorHAnsi" w:hAnsiTheme="minorHAnsi" w:cstheme="minorHAnsi"/>
          <w:sz w:val="22"/>
          <w:szCs w:val="22"/>
          <w:u w:val="single"/>
        </w:rPr>
        <w:t xml:space="preserve">Phase I: </w:t>
      </w:r>
      <w:r w:rsidR="00A36719">
        <w:rPr>
          <w:rFonts w:asciiTheme="minorHAnsi" w:hAnsiTheme="minorHAnsi" w:cstheme="minorHAnsi"/>
          <w:sz w:val="22"/>
          <w:szCs w:val="22"/>
          <w:u w:val="single"/>
        </w:rPr>
        <w:t xml:space="preserve">Building the capacities of stakeholders and technical teams from the </w:t>
      </w:r>
      <w:r w:rsidR="0001308A">
        <w:rPr>
          <w:rFonts w:asciiTheme="minorHAnsi" w:hAnsiTheme="minorHAnsi" w:cstheme="minorHAnsi"/>
          <w:sz w:val="22"/>
          <w:szCs w:val="22"/>
          <w:u w:val="single"/>
        </w:rPr>
        <w:t>MoTVE</w:t>
      </w:r>
      <w:r w:rsidR="00A36719">
        <w:rPr>
          <w:rFonts w:asciiTheme="minorHAnsi" w:hAnsiTheme="minorHAnsi" w:cstheme="minorHAnsi"/>
          <w:sz w:val="22"/>
          <w:szCs w:val="22"/>
          <w:u w:val="single"/>
        </w:rPr>
        <w:t xml:space="preserve"> and </w:t>
      </w:r>
      <w:r w:rsidR="0001308A">
        <w:rPr>
          <w:rFonts w:asciiTheme="minorHAnsi" w:hAnsiTheme="minorHAnsi" w:cstheme="minorHAnsi"/>
          <w:sz w:val="22"/>
          <w:szCs w:val="22"/>
          <w:u w:val="single"/>
        </w:rPr>
        <w:t>the MoL</w:t>
      </w:r>
    </w:p>
    <w:p w14:paraId="72D8E73A" w14:textId="77777777" w:rsidR="007221B0" w:rsidRPr="00282BCD" w:rsidRDefault="007221B0" w:rsidP="00932C58">
      <w:pPr>
        <w:jc w:val="both"/>
        <w:rPr>
          <w:rFonts w:asciiTheme="minorHAnsi" w:hAnsiTheme="minorHAnsi" w:cstheme="minorHAnsi"/>
          <w:sz w:val="22"/>
          <w:szCs w:val="22"/>
        </w:rPr>
      </w:pPr>
    </w:p>
    <w:p w14:paraId="08DF1745" w14:textId="77777777" w:rsidR="00DC4589" w:rsidRDefault="00DC4589">
      <w:pPr>
        <w:pStyle w:val="Paragraphedeliste"/>
        <w:numPr>
          <w:ilvl w:val="0"/>
          <w:numId w:val="10"/>
        </w:numPr>
        <w:jc w:val="both"/>
        <w:rPr>
          <w:rFonts w:asciiTheme="minorHAnsi" w:hAnsiTheme="minorHAnsi" w:cstheme="minorHAnsi"/>
          <w:sz w:val="22"/>
          <w:szCs w:val="22"/>
        </w:rPr>
      </w:pPr>
      <w:r w:rsidRPr="00DC4589">
        <w:rPr>
          <w:rFonts w:asciiTheme="minorHAnsi" w:hAnsiTheme="minorHAnsi" w:cstheme="minorHAnsi"/>
          <w:sz w:val="22"/>
          <w:szCs w:val="22"/>
        </w:rPr>
        <w:t>Deliver training sessions to MoTVE technical staff on employability strategy design, implementation, and monitoring in the context of technical and vocational education.</w:t>
      </w:r>
    </w:p>
    <w:p w14:paraId="5F3B8ED4" w14:textId="086D7669" w:rsidR="0086416C" w:rsidRPr="00DC4589" w:rsidRDefault="0086416C">
      <w:pPr>
        <w:pStyle w:val="Paragraphedeliste"/>
        <w:numPr>
          <w:ilvl w:val="0"/>
          <w:numId w:val="10"/>
        </w:numPr>
        <w:jc w:val="both"/>
        <w:rPr>
          <w:rFonts w:asciiTheme="minorHAnsi" w:hAnsiTheme="minorHAnsi" w:cstheme="minorHAnsi"/>
          <w:sz w:val="22"/>
          <w:szCs w:val="22"/>
        </w:rPr>
      </w:pPr>
      <w:r w:rsidRPr="00DC4589">
        <w:rPr>
          <w:rFonts w:asciiTheme="minorHAnsi" w:hAnsiTheme="minorHAnsi" w:cstheme="minorHAnsi"/>
          <w:sz w:val="22"/>
          <w:szCs w:val="22"/>
        </w:rPr>
        <w:t xml:space="preserve">Facilitate sessions on reviewing and amending the legal and regulatory frameworks related to </w:t>
      </w:r>
      <w:r w:rsidR="00DC4589">
        <w:rPr>
          <w:rFonts w:asciiTheme="minorHAnsi" w:hAnsiTheme="minorHAnsi" w:cstheme="minorHAnsi"/>
          <w:sz w:val="22"/>
          <w:szCs w:val="22"/>
        </w:rPr>
        <w:t>technical and vocational education and training</w:t>
      </w:r>
      <w:r w:rsidRPr="00DC4589">
        <w:rPr>
          <w:rFonts w:asciiTheme="minorHAnsi" w:hAnsiTheme="minorHAnsi" w:cstheme="minorHAnsi"/>
          <w:sz w:val="22"/>
          <w:szCs w:val="22"/>
        </w:rPr>
        <w:t xml:space="preserve"> and employability.</w:t>
      </w:r>
    </w:p>
    <w:p w14:paraId="129705CE" w14:textId="77777777" w:rsidR="00DC4589" w:rsidRPr="00DC4589" w:rsidRDefault="00DC4589" w:rsidP="00DC4589">
      <w:pPr>
        <w:pStyle w:val="Paragraphedeliste"/>
        <w:numPr>
          <w:ilvl w:val="0"/>
          <w:numId w:val="10"/>
        </w:numPr>
        <w:jc w:val="both"/>
        <w:rPr>
          <w:rFonts w:asciiTheme="minorHAnsi" w:hAnsiTheme="minorHAnsi" w:cstheme="minorHAnsi"/>
          <w:sz w:val="22"/>
          <w:szCs w:val="22"/>
        </w:rPr>
      </w:pPr>
      <w:r w:rsidRPr="00DC4589">
        <w:rPr>
          <w:rFonts w:asciiTheme="minorHAnsi" w:hAnsiTheme="minorHAnsi" w:cstheme="minorHAnsi"/>
          <w:sz w:val="22"/>
          <w:szCs w:val="22"/>
        </w:rPr>
        <w:t>Present case studies and best practices from countries with strong apprenticeship and dual education models.</w:t>
      </w:r>
    </w:p>
    <w:p w14:paraId="49F2F15F" w14:textId="3041F64F" w:rsidR="000B01CF" w:rsidRPr="008E1E88" w:rsidRDefault="00DC4589" w:rsidP="00DC4589">
      <w:pPr>
        <w:pStyle w:val="Paragraphedeliste"/>
        <w:numPr>
          <w:ilvl w:val="0"/>
          <w:numId w:val="10"/>
        </w:numPr>
        <w:jc w:val="both"/>
        <w:rPr>
          <w:rFonts w:asciiTheme="minorHAnsi" w:hAnsiTheme="minorHAnsi" w:cstheme="minorHAnsi"/>
          <w:sz w:val="22"/>
          <w:szCs w:val="22"/>
        </w:rPr>
      </w:pPr>
      <w:r w:rsidRPr="008E1E88">
        <w:rPr>
          <w:rFonts w:asciiTheme="minorHAnsi" w:hAnsiTheme="minorHAnsi" w:cstheme="minorHAnsi"/>
          <w:sz w:val="22"/>
          <w:szCs w:val="22"/>
        </w:rPr>
        <w:t xml:space="preserve">Strengthen communication </w:t>
      </w:r>
      <w:r w:rsidR="008E1E88" w:rsidRPr="008E1E88">
        <w:rPr>
          <w:rFonts w:asciiTheme="minorHAnsi" w:hAnsiTheme="minorHAnsi" w:cstheme="minorHAnsi"/>
          <w:sz w:val="22"/>
          <w:szCs w:val="22"/>
        </w:rPr>
        <w:t>mechanisms by developing frameworks linking TVET with employers.</w:t>
      </w:r>
    </w:p>
    <w:p w14:paraId="11E1ECFF" w14:textId="77777777" w:rsidR="00932C58" w:rsidRPr="00282BCD" w:rsidRDefault="00932C58" w:rsidP="00932C58">
      <w:pPr>
        <w:jc w:val="both"/>
        <w:rPr>
          <w:rFonts w:asciiTheme="minorHAnsi" w:hAnsiTheme="minorHAnsi" w:cstheme="minorHAnsi"/>
          <w:sz w:val="22"/>
          <w:szCs w:val="22"/>
        </w:rPr>
      </w:pPr>
    </w:p>
    <w:p w14:paraId="234DB314" w14:textId="2B2552BF" w:rsidR="007221B0" w:rsidRPr="00282BCD" w:rsidRDefault="007221B0" w:rsidP="007221B0">
      <w:pPr>
        <w:jc w:val="both"/>
        <w:rPr>
          <w:rFonts w:asciiTheme="minorHAnsi" w:hAnsiTheme="minorHAnsi" w:cstheme="minorHAnsi"/>
          <w:sz w:val="22"/>
          <w:szCs w:val="22"/>
          <w:u w:val="single"/>
        </w:rPr>
      </w:pPr>
      <w:r w:rsidRPr="00282BCD">
        <w:rPr>
          <w:rFonts w:asciiTheme="minorHAnsi" w:hAnsiTheme="minorHAnsi" w:cstheme="minorHAnsi"/>
          <w:sz w:val="22"/>
          <w:szCs w:val="22"/>
          <w:u w:val="single"/>
        </w:rPr>
        <w:t xml:space="preserve">Phase II: </w:t>
      </w:r>
      <w:r w:rsidR="0086416C">
        <w:rPr>
          <w:rFonts w:asciiTheme="minorHAnsi" w:hAnsiTheme="minorHAnsi" w:cstheme="minorHAnsi"/>
          <w:sz w:val="22"/>
          <w:szCs w:val="22"/>
          <w:u w:val="single"/>
        </w:rPr>
        <w:t xml:space="preserve">Provide technical support to the stakeholders and technical teams from </w:t>
      </w:r>
      <w:r w:rsidR="0001308A">
        <w:rPr>
          <w:rFonts w:asciiTheme="minorHAnsi" w:hAnsiTheme="minorHAnsi" w:cstheme="minorHAnsi"/>
          <w:sz w:val="22"/>
          <w:szCs w:val="22"/>
          <w:u w:val="single"/>
        </w:rPr>
        <w:t>the MoTVE</w:t>
      </w:r>
      <w:r w:rsidR="0086416C">
        <w:rPr>
          <w:rFonts w:asciiTheme="minorHAnsi" w:hAnsiTheme="minorHAnsi" w:cstheme="minorHAnsi"/>
          <w:sz w:val="22"/>
          <w:szCs w:val="22"/>
          <w:u w:val="single"/>
        </w:rPr>
        <w:t xml:space="preserve"> and </w:t>
      </w:r>
      <w:r w:rsidR="0001308A">
        <w:rPr>
          <w:rFonts w:asciiTheme="minorHAnsi" w:hAnsiTheme="minorHAnsi" w:cstheme="minorHAnsi"/>
          <w:sz w:val="22"/>
          <w:szCs w:val="22"/>
          <w:u w:val="single"/>
        </w:rPr>
        <w:t>MoL</w:t>
      </w:r>
    </w:p>
    <w:p w14:paraId="76DBC1D5" w14:textId="77777777" w:rsidR="007221B0" w:rsidRPr="00282BCD" w:rsidRDefault="007221B0" w:rsidP="007221B0">
      <w:pPr>
        <w:jc w:val="both"/>
        <w:rPr>
          <w:rFonts w:asciiTheme="minorHAnsi" w:hAnsiTheme="minorHAnsi" w:cstheme="minorHAnsi"/>
          <w:sz w:val="22"/>
          <w:szCs w:val="22"/>
        </w:rPr>
      </w:pPr>
    </w:p>
    <w:p w14:paraId="65033DC9" w14:textId="02CB6E0B" w:rsidR="0086416C" w:rsidRDefault="0086416C" w:rsidP="007F5618">
      <w:pPr>
        <w:pStyle w:val="Paragraphedeliste"/>
        <w:numPr>
          <w:ilvl w:val="0"/>
          <w:numId w:val="10"/>
        </w:numPr>
        <w:jc w:val="both"/>
        <w:rPr>
          <w:rFonts w:asciiTheme="minorHAnsi" w:hAnsiTheme="minorHAnsi" w:cstheme="minorHAnsi"/>
          <w:sz w:val="22"/>
          <w:szCs w:val="22"/>
        </w:rPr>
      </w:pPr>
      <w:r w:rsidRPr="0086416C">
        <w:rPr>
          <w:rFonts w:asciiTheme="minorHAnsi" w:hAnsiTheme="minorHAnsi" w:cstheme="minorHAnsi"/>
          <w:sz w:val="22"/>
          <w:szCs w:val="22"/>
        </w:rPr>
        <w:t xml:space="preserve">Support the drafting of a national employability strategy for </w:t>
      </w:r>
      <w:r w:rsidR="008E1E88">
        <w:rPr>
          <w:rFonts w:asciiTheme="minorHAnsi" w:hAnsiTheme="minorHAnsi" w:cstheme="minorHAnsi"/>
          <w:sz w:val="22"/>
          <w:szCs w:val="22"/>
        </w:rPr>
        <w:t>TVET</w:t>
      </w:r>
      <w:r w:rsidRPr="0086416C">
        <w:rPr>
          <w:rFonts w:asciiTheme="minorHAnsi" w:hAnsiTheme="minorHAnsi" w:cstheme="minorHAnsi"/>
          <w:sz w:val="22"/>
          <w:szCs w:val="22"/>
        </w:rPr>
        <w:t>.</w:t>
      </w:r>
    </w:p>
    <w:p w14:paraId="694903BC" w14:textId="2764CBFD" w:rsidR="0086416C" w:rsidRDefault="0086416C" w:rsidP="007F5618">
      <w:pPr>
        <w:pStyle w:val="Paragraphedeliste"/>
        <w:numPr>
          <w:ilvl w:val="0"/>
          <w:numId w:val="10"/>
        </w:numPr>
        <w:jc w:val="both"/>
        <w:rPr>
          <w:rFonts w:asciiTheme="minorHAnsi" w:hAnsiTheme="minorHAnsi" w:cstheme="minorHAnsi"/>
          <w:sz w:val="22"/>
          <w:szCs w:val="22"/>
        </w:rPr>
      </w:pPr>
      <w:r w:rsidRPr="0086416C">
        <w:rPr>
          <w:rFonts w:asciiTheme="minorHAnsi" w:hAnsiTheme="minorHAnsi" w:cstheme="minorHAnsi"/>
          <w:sz w:val="22"/>
          <w:szCs w:val="22"/>
        </w:rPr>
        <w:t>Guide the development of the national framework for internships</w:t>
      </w:r>
      <w:r w:rsidR="008E1E88">
        <w:rPr>
          <w:rFonts w:asciiTheme="minorHAnsi" w:hAnsiTheme="minorHAnsi" w:cstheme="minorHAnsi"/>
          <w:sz w:val="22"/>
          <w:szCs w:val="22"/>
        </w:rPr>
        <w:t>, apprenticeships, and dual education systems</w:t>
      </w:r>
      <w:r w:rsidRPr="0086416C">
        <w:rPr>
          <w:rFonts w:asciiTheme="minorHAnsi" w:hAnsiTheme="minorHAnsi" w:cstheme="minorHAnsi"/>
          <w:sz w:val="22"/>
          <w:szCs w:val="22"/>
        </w:rPr>
        <w:t>.</w:t>
      </w:r>
    </w:p>
    <w:p w14:paraId="74BEF202" w14:textId="4A216A3B" w:rsidR="0086416C" w:rsidRDefault="0086416C" w:rsidP="007F5618">
      <w:pPr>
        <w:pStyle w:val="Paragraphedeliste"/>
        <w:numPr>
          <w:ilvl w:val="0"/>
          <w:numId w:val="10"/>
        </w:numPr>
        <w:jc w:val="both"/>
        <w:rPr>
          <w:rFonts w:asciiTheme="minorHAnsi" w:hAnsiTheme="minorHAnsi" w:cstheme="minorHAnsi"/>
          <w:sz w:val="22"/>
          <w:szCs w:val="22"/>
        </w:rPr>
      </w:pPr>
      <w:r w:rsidRPr="0086416C">
        <w:rPr>
          <w:rFonts w:asciiTheme="minorHAnsi" w:hAnsiTheme="minorHAnsi" w:cstheme="minorHAnsi"/>
          <w:sz w:val="22"/>
          <w:szCs w:val="22"/>
        </w:rPr>
        <w:t xml:space="preserve">Offer iterative feedback on strategy drafts and ensure alignment with </w:t>
      </w:r>
      <w:r w:rsidR="008E1E88">
        <w:rPr>
          <w:rFonts w:asciiTheme="minorHAnsi" w:hAnsiTheme="minorHAnsi" w:cstheme="minorHAnsi"/>
          <w:sz w:val="22"/>
          <w:szCs w:val="22"/>
        </w:rPr>
        <w:t>TVET</w:t>
      </w:r>
      <w:r w:rsidRPr="0086416C">
        <w:rPr>
          <w:rFonts w:asciiTheme="minorHAnsi" w:hAnsiTheme="minorHAnsi" w:cstheme="minorHAnsi"/>
          <w:sz w:val="22"/>
          <w:szCs w:val="22"/>
        </w:rPr>
        <w:t xml:space="preserve"> </w:t>
      </w:r>
      <w:r w:rsidR="008E1E88">
        <w:rPr>
          <w:rFonts w:asciiTheme="minorHAnsi" w:hAnsiTheme="minorHAnsi" w:cstheme="minorHAnsi"/>
          <w:sz w:val="22"/>
          <w:szCs w:val="22"/>
        </w:rPr>
        <w:t>reforms</w:t>
      </w:r>
      <w:r w:rsidRPr="0086416C">
        <w:rPr>
          <w:rFonts w:asciiTheme="minorHAnsi" w:hAnsiTheme="minorHAnsi" w:cstheme="minorHAnsi"/>
          <w:sz w:val="22"/>
          <w:szCs w:val="22"/>
        </w:rPr>
        <w:t xml:space="preserve"> priorities.</w:t>
      </w:r>
    </w:p>
    <w:p w14:paraId="51B328FA" w14:textId="71FAA060" w:rsidR="0086416C" w:rsidRPr="0086416C" w:rsidRDefault="0086416C" w:rsidP="007F5618">
      <w:pPr>
        <w:pStyle w:val="Paragraphedeliste"/>
        <w:numPr>
          <w:ilvl w:val="0"/>
          <w:numId w:val="10"/>
        </w:numPr>
        <w:jc w:val="both"/>
        <w:rPr>
          <w:rFonts w:asciiTheme="minorHAnsi" w:hAnsiTheme="minorHAnsi" w:cstheme="minorHAnsi"/>
          <w:sz w:val="22"/>
          <w:szCs w:val="22"/>
        </w:rPr>
      </w:pPr>
      <w:r w:rsidRPr="0086416C">
        <w:rPr>
          <w:rFonts w:asciiTheme="minorHAnsi" w:hAnsiTheme="minorHAnsi" w:cstheme="minorHAnsi"/>
          <w:sz w:val="22"/>
          <w:szCs w:val="22"/>
        </w:rPr>
        <w:t xml:space="preserve">Assist in preparing the final draft for official </w:t>
      </w:r>
      <w:r w:rsidR="008E1E88">
        <w:rPr>
          <w:rFonts w:asciiTheme="minorHAnsi" w:hAnsiTheme="minorHAnsi" w:cstheme="minorHAnsi"/>
          <w:sz w:val="22"/>
          <w:szCs w:val="22"/>
        </w:rPr>
        <w:t>MoTVE</w:t>
      </w:r>
      <w:r w:rsidRPr="0086416C">
        <w:rPr>
          <w:rFonts w:asciiTheme="minorHAnsi" w:hAnsiTheme="minorHAnsi" w:cstheme="minorHAnsi"/>
          <w:sz w:val="22"/>
          <w:szCs w:val="22"/>
        </w:rPr>
        <w:t xml:space="preserve"> validation and approval.</w:t>
      </w:r>
    </w:p>
    <w:p w14:paraId="109B2B86" w14:textId="77777777" w:rsidR="00F67012" w:rsidRPr="00282BCD" w:rsidRDefault="00F67012" w:rsidP="00BF1DCD">
      <w:pPr>
        <w:pStyle w:val="Paragraphedeliste2"/>
        <w:spacing w:line="276" w:lineRule="auto"/>
        <w:ind w:left="0"/>
        <w:contextualSpacing/>
        <w:jc w:val="both"/>
        <w:rPr>
          <w:rFonts w:asciiTheme="minorHAnsi" w:hAnsiTheme="minorHAnsi" w:cstheme="minorHAnsi"/>
          <w:sz w:val="22"/>
          <w:szCs w:val="22"/>
        </w:rPr>
      </w:pPr>
    </w:p>
    <w:p w14:paraId="2BE17D43" w14:textId="77777777" w:rsidR="00965444" w:rsidRPr="00282BCD" w:rsidRDefault="00965444" w:rsidP="007F5618">
      <w:pPr>
        <w:numPr>
          <w:ilvl w:val="1"/>
          <w:numId w:val="2"/>
        </w:numPr>
        <w:tabs>
          <w:tab w:val="clear" w:pos="1440"/>
          <w:tab w:val="num" w:pos="900"/>
        </w:tabs>
        <w:ind w:left="900"/>
        <w:jc w:val="both"/>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Anticipated deliverables</w:t>
      </w:r>
    </w:p>
    <w:p w14:paraId="048F350E" w14:textId="77777777" w:rsidR="00965444" w:rsidRPr="00282BCD" w:rsidRDefault="00965444" w:rsidP="009236DE">
      <w:pPr>
        <w:jc w:val="both"/>
        <w:rPr>
          <w:rFonts w:asciiTheme="minorHAnsi" w:eastAsia="Arial Unicode MS" w:hAnsiTheme="minorHAnsi" w:cstheme="minorHAnsi"/>
          <w:b/>
          <w:sz w:val="22"/>
          <w:szCs w:val="22"/>
        </w:rPr>
      </w:pPr>
    </w:p>
    <w:tbl>
      <w:tblPr>
        <w:tblStyle w:val="Grilledutableau"/>
        <w:tblW w:w="0" w:type="auto"/>
        <w:tblInd w:w="360" w:type="dxa"/>
        <w:tblLook w:val="04A0" w:firstRow="1" w:lastRow="0" w:firstColumn="1" w:lastColumn="0" w:noHBand="0" w:noVBand="1"/>
      </w:tblPr>
      <w:tblGrid>
        <w:gridCol w:w="5872"/>
        <w:gridCol w:w="2830"/>
      </w:tblGrid>
      <w:tr w:rsidR="000630CD" w:rsidRPr="00282BCD" w14:paraId="06F4BD3E" w14:textId="77777777" w:rsidTr="000630CD">
        <w:tc>
          <w:tcPr>
            <w:tcW w:w="5872" w:type="dxa"/>
          </w:tcPr>
          <w:p w14:paraId="00060501" w14:textId="5D8D1EDB" w:rsidR="000630CD" w:rsidRPr="00282BCD" w:rsidRDefault="000630CD" w:rsidP="000630CD">
            <w:pPr>
              <w:jc w:val="both"/>
              <w:rPr>
                <w:rFonts w:asciiTheme="minorHAnsi" w:eastAsia="Arial Unicode MS" w:hAnsiTheme="minorHAnsi" w:cstheme="minorHAnsi"/>
                <w:sz w:val="22"/>
                <w:szCs w:val="22"/>
              </w:rPr>
            </w:pPr>
            <w:r w:rsidRPr="00282BCD">
              <w:rPr>
                <w:rFonts w:asciiTheme="minorHAnsi" w:eastAsia="Arial Unicode MS" w:hAnsiTheme="minorHAnsi" w:cstheme="minorHAnsi"/>
                <w:sz w:val="22"/>
                <w:szCs w:val="22"/>
              </w:rPr>
              <w:t>Deliverables</w:t>
            </w:r>
          </w:p>
        </w:tc>
        <w:tc>
          <w:tcPr>
            <w:tcW w:w="2830" w:type="dxa"/>
          </w:tcPr>
          <w:p w14:paraId="01FAA0BA" w14:textId="09E5990B" w:rsidR="000630CD" w:rsidRPr="00282BCD" w:rsidRDefault="000630CD" w:rsidP="000630CD">
            <w:pPr>
              <w:jc w:val="both"/>
              <w:rPr>
                <w:rFonts w:asciiTheme="minorHAnsi" w:eastAsia="Arial Unicode MS" w:hAnsiTheme="minorHAnsi" w:cstheme="minorHAnsi"/>
                <w:sz w:val="22"/>
                <w:szCs w:val="22"/>
              </w:rPr>
            </w:pPr>
            <w:r w:rsidRPr="00282BCD">
              <w:rPr>
                <w:rFonts w:asciiTheme="minorHAnsi" w:eastAsia="Arial Unicode MS" w:hAnsiTheme="minorHAnsi" w:cstheme="minorHAnsi"/>
                <w:sz w:val="22"/>
                <w:szCs w:val="22"/>
              </w:rPr>
              <w:t>End date</w:t>
            </w:r>
          </w:p>
        </w:tc>
      </w:tr>
      <w:tr w:rsidR="000630CD" w:rsidRPr="00282BCD" w14:paraId="2FBD2C5B" w14:textId="77777777" w:rsidTr="000630CD">
        <w:tc>
          <w:tcPr>
            <w:tcW w:w="5872" w:type="dxa"/>
          </w:tcPr>
          <w:p w14:paraId="50BAB746" w14:textId="293C75B2" w:rsidR="000630CD" w:rsidRPr="00282BCD" w:rsidRDefault="00553133" w:rsidP="007F5618">
            <w:pPr>
              <w:pStyle w:val="Paragraphedeliste"/>
              <w:numPr>
                <w:ilvl w:val="0"/>
                <w:numId w:val="5"/>
              </w:num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Inception report that includes the workplan, capacity-building topics and schedule, and deliverables calendar</w:t>
            </w:r>
            <w:r w:rsidR="005A0EBB" w:rsidRPr="00282BCD">
              <w:rPr>
                <w:rFonts w:asciiTheme="minorHAnsi" w:eastAsia="Arial Unicode MS" w:hAnsiTheme="minorHAnsi" w:cstheme="minorHAnsi"/>
                <w:sz w:val="22"/>
                <w:szCs w:val="22"/>
              </w:rPr>
              <w:t xml:space="preserve"> </w:t>
            </w:r>
          </w:p>
        </w:tc>
        <w:tc>
          <w:tcPr>
            <w:tcW w:w="2830" w:type="dxa"/>
          </w:tcPr>
          <w:p w14:paraId="2615DC9D" w14:textId="4312DA4B" w:rsidR="000630CD" w:rsidRPr="00282BCD" w:rsidRDefault="00553133" w:rsidP="000630CD">
            <w:p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2 weeks</w:t>
            </w:r>
          </w:p>
        </w:tc>
      </w:tr>
      <w:tr w:rsidR="00553133" w:rsidRPr="00282BCD" w14:paraId="1643D1B5" w14:textId="77777777" w:rsidTr="000630CD">
        <w:tc>
          <w:tcPr>
            <w:tcW w:w="5872" w:type="dxa"/>
          </w:tcPr>
          <w:p w14:paraId="484AC4B4" w14:textId="08F4C8DF" w:rsidR="00553133" w:rsidRDefault="00CB6DBF" w:rsidP="007F5618">
            <w:pPr>
              <w:pStyle w:val="Paragraphedeliste"/>
              <w:numPr>
                <w:ilvl w:val="0"/>
                <w:numId w:val="5"/>
              </w:num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Capacity-building material that includes topics covered by the capacity-building workshop, </w:t>
            </w:r>
            <w:r w:rsidR="0031649A">
              <w:rPr>
                <w:rFonts w:asciiTheme="minorHAnsi" w:eastAsia="Arial Unicode MS" w:hAnsiTheme="minorHAnsi" w:cstheme="minorHAnsi"/>
                <w:sz w:val="22"/>
                <w:szCs w:val="22"/>
              </w:rPr>
              <w:t>pre- and post-tests</w:t>
            </w:r>
            <w:r>
              <w:rPr>
                <w:rFonts w:asciiTheme="minorHAnsi" w:eastAsia="Arial Unicode MS" w:hAnsiTheme="minorHAnsi" w:cstheme="minorHAnsi"/>
                <w:sz w:val="22"/>
                <w:szCs w:val="22"/>
              </w:rPr>
              <w:t>/detailed agenda/targeted trainees</w:t>
            </w:r>
            <w:r w:rsidR="00553133">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(Before each capacity-building workshop)</w:t>
            </w:r>
          </w:p>
        </w:tc>
        <w:tc>
          <w:tcPr>
            <w:tcW w:w="2830" w:type="dxa"/>
          </w:tcPr>
          <w:p w14:paraId="77691B28" w14:textId="21341E24" w:rsidR="00553133" w:rsidRPr="00282BCD" w:rsidRDefault="00CB6DBF" w:rsidP="000630CD">
            <w:p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2 weeks prior to each capacity-building workshop</w:t>
            </w:r>
          </w:p>
        </w:tc>
      </w:tr>
      <w:tr w:rsidR="005A0EBB" w:rsidRPr="00282BCD" w14:paraId="3A55F80D" w14:textId="77777777" w:rsidTr="000630CD">
        <w:tc>
          <w:tcPr>
            <w:tcW w:w="5872" w:type="dxa"/>
          </w:tcPr>
          <w:p w14:paraId="6BEF692E" w14:textId="4E4071D6" w:rsidR="005A0EBB" w:rsidRPr="00282BCD" w:rsidRDefault="00B8478A" w:rsidP="007F5618">
            <w:pPr>
              <w:pStyle w:val="Paragraphedeliste"/>
              <w:numPr>
                <w:ilvl w:val="0"/>
                <w:numId w:val="5"/>
              </w:num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Deliver c</w:t>
            </w:r>
            <w:r w:rsidR="00553133">
              <w:rPr>
                <w:rFonts w:asciiTheme="minorHAnsi" w:eastAsia="Arial Unicode MS" w:hAnsiTheme="minorHAnsi" w:cstheme="minorHAnsi"/>
                <w:sz w:val="22"/>
                <w:szCs w:val="22"/>
              </w:rPr>
              <w:t>apacity-building workshops</w:t>
            </w:r>
          </w:p>
        </w:tc>
        <w:tc>
          <w:tcPr>
            <w:tcW w:w="2830" w:type="dxa"/>
          </w:tcPr>
          <w:p w14:paraId="5AA30079" w14:textId="14F49565" w:rsidR="005A0EBB" w:rsidRPr="00282BCD" w:rsidRDefault="005A0EBB" w:rsidP="005A0EBB">
            <w:pPr>
              <w:jc w:val="both"/>
              <w:rPr>
                <w:rFonts w:asciiTheme="minorHAnsi" w:eastAsia="Arial Unicode MS" w:hAnsiTheme="minorHAnsi" w:cstheme="minorHAnsi"/>
                <w:sz w:val="22"/>
                <w:szCs w:val="22"/>
              </w:rPr>
            </w:pPr>
            <w:r w:rsidRPr="00282BCD">
              <w:rPr>
                <w:rFonts w:asciiTheme="minorHAnsi" w:eastAsia="Arial Unicode MS" w:hAnsiTheme="minorHAnsi" w:cstheme="minorHAnsi"/>
                <w:sz w:val="22"/>
                <w:szCs w:val="22"/>
              </w:rPr>
              <w:t>T</w:t>
            </w:r>
            <w:r w:rsidR="00553133">
              <w:rPr>
                <w:rFonts w:asciiTheme="minorHAnsi" w:eastAsia="Arial Unicode MS" w:hAnsiTheme="minorHAnsi" w:cstheme="minorHAnsi"/>
                <w:sz w:val="22"/>
                <w:szCs w:val="22"/>
              </w:rPr>
              <w:t>o</w:t>
            </w:r>
            <w:r w:rsidRPr="00282BCD">
              <w:rPr>
                <w:rFonts w:asciiTheme="minorHAnsi" w:eastAsia="Arial Unicode MS" w:hAnsiTheme="minorHAnsi" w:cstheme="minorHAnsi"/>
                <w:sz w:val="22"/>
                <w:szCs w:val="22"/>
              </w:rPr>
              <w:t xml:space="preserve"> </w:t>
            </w:r>
            <w:r w:rsidR="00553133">
              <w:rPr>
                <w:rFonts w:asciiTheme="minorHAnsi" w:eastAsia="Arial Unicode MS" w:hAnsiTheme="minorHAnsi" w:cstheme="minorHAnsi"/>
                <w:sz w:val="22"/>
                <w:szCs w:val="22"/>
              </w:rPr>
              <w:t>1</w:t>
            </w:r>
            <w:r w:rsidR="00715A39">
              <w:rPr>
                <w:rFonts w:asciiTheme="minorHAnsi" w:eastAsia="Arial Unicode MS" w:hAnsiTheme="minorHAnsi" w:cstheme="minorHAnsi"/>
                <w:sz w:val="22"/>
                <w:szCs w:val="22"/>
              </w:rPr>
              <w:t>2</w:t>
            </w:r>
            <w:r w:rsidR="00553133">
              <w:rPr>
                <w:rFonts w:asciiTheme="minorHAnsi" w:eastAsia="Arial Unicode MS" w:hAnsiTheme="minorHAnsi" w:cstheme="minorHAnsi"/>
                <w:sz w:val="22"/>
                <w:szCs w:val="22"/>
              </w:rPr>
              <w:t xml:space="preserve"> weeks</w:t>
            </w:r>
          </w:p>
        </w:tc>
      </w:tr>
      <w:tr w:rsidR="005A0EBB" w:rsidRPr="00282BCD" w14:paraId="743FEB43" w14:textId="77777777" w:rsidTr="001B261A">
        <w:trPr>
          <w:trHeight w:val="924"/>
        </w:trPr>
        <w:tc>
          <w:tcPr>
            <w:tcW w:w="5872" w:type="dxa"/>
          </w:tcPr>
          <w:p w14:paraId="406BB8BC" w14:textId="46A817AD" w:rsidR="005A0EBB" w:rsidRPr="001B261A" w:rsidRDefault="001B261A" w:rsidP="007F5618">
            <w:pPr>
              <w:pStyle w:val="NormalWeb"/>
              <w:numPr>
                <w:ilvl w:val="0"/>
                <w:numId w:val="5"/>
              </w:numPr>
              <w:rPr>
                <w:rFonts w:asciiTheme="minorHAnsi" w:eastAsia="Arial Unicode MS" w:hAnsiTheme="minorHAnsi" w:cstheme="minorHAnsi"/>
                <w:sz w:val="22"/>
                <w:szCs w:val="22"/>
                <w:lang w:eastAsia="fr-FR"/>
              </w:rPr>
            </w:pPr>
            <w:r>
              <w:rPr>
                <w:rFonts w:asciiTheme="minorHAnsi" w:eastAsia="Arial Unicode MS" w:hAnsiTheme="minorHAnsi" w:cstheme="minorHAnsi"/>
                <w:sz w:val="22"/>
                <w:szCs w:val="22"/>
                <w:lang w:eastAsia="fr-FR"/>
              </w:rPr>
              <w:t>A</w:t>
            </w:r>
            <w:r w:rsidR="00053BFC" w:rsidRPr="00053BFC">
              <w:rPr>
                <w:rFonts w:asciiTheme="minorHAnsi" w:eastAsia="Arial Unicode MS" w:hAnsiTheme="minorHAnsi" w:cstheme="minorHAnsi"/>
                <w:sz w:val="22"/>
                <w:szCs w:val="22"/>
                <w:lang w:eastAsia="fr-FR"/>
              </w:rPr>
              <w:t xml:space="preserve"> Workshop Summary Report including</w:t>
            </w:r>
            <w:r>
              <w:rPr>
                <w:rFonts w:asciiTheme="minorHAnsi" w:eastAsia="Arial Unicode MS" w:hAnsiTheme="minorHAnsi" w:cstheme="minorHAnsi"/>
                <w:sz w:val="22"/>
                <w:szCs w:val="22"/>
                <w:lang w:eastAsia="fr-FR"/>
              </w:rPr>
              <w:t xml:space="preserve"> LoP, actual topics covered, bullet points with the topics discussed during the workshop, and the </w:t>
            </w:r>
            <w:r w:rsidR="0031649A">
              <w:rPr>
                <w:rFonts w:asciiTheme="minorHAnsi" w:eastAsia="Arial Unicode MS" w:hAnsiTheme="minorHAnsi" w:cstheme="minorHAnsi"/>
                <w:sz w:val="22"/>
                <w:szCs w:val="22"/>
              </w:rPr>
              <w:t>pre- and post-test</w:t>
            </w:r>
            <w:r>
              <w:rPr>
                <w:rFonts w:asciiTheme="minorHAnsi" w:eastAsia="Arial Unicode MS" w:hAnsiTheme="minorHAnsi" w:cstheme="minorHAnsi"/>
                <w:sz w:val="22"/>
                <w:szCs w:val="22"/>
                <w:lang w:eastAsia="fr-FR"/>
              </w:rPr>
              <w:t xml:space="preserve"> results.</w:t>
            </w:r>
          </w:p>
        </w:tc>
        <w:tc>
          <w:tcPr>
            <w:tcW w:w="2830" w:type="dxa"/>
          </w:tcPr>
          <w:p w14:paraId="7F9AE494" w14:textId="75455E8C" w:rsidR="001B261A" w:rsidRPr="001B261A" w:rsidRDefault="00715A39" w:rsidP="001B261A">
            <w:p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2 weeks following each workshop</w:t>
            </w:r>
          </w:p>
        </w:tc>
      </w:tr>
      <w:tr w:rsidR="005A0EBB" w:rsidRPr="00282BCD" w14:paraId="750EF7E0" w14:textId="77777777">
        <w:tc>
          <w:tcPr>
            <w:tcW w:w="5872" w:type="dxa"/>
          </w:tcPr>
          <w:p w14:paraId="53315FF3" w14:textId="4BF3EE87" w:rsidR="005A0EBB" w:rsidRPr="00282BCD" w:rsidRDefault="001B261A" w:rsidP="007F5618">
            <w:pPr>
              <w:pStyle w:val="Paragraphedeliste"/>
              <w:numPr>
                <w:ilvl w:val="0"/>
                <w:numId w:val="5"/>
              </w:num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A comprehensive final report that outlines all activities organised during the assignment</w:t>
            </w:r>
            <w:r w:rsidR="00EE0F08">
              <w:rPr>
                <w:rFonts w:asciiTheme="minorHAnsi" w:eastAsia="Arial Unicode MS" w:hAnsiTheme="minorHAnsi" w:cstheme="minorHAnsi"/>
                <w:sz w:val="22"/>
                <w:szCs w:val="22"/>
              </w:rPr>
              <w:t>, outcomes, and recommendations</w:t>
            </w:r>
          </w:p>
        </w:tc>
        <w:tc>
          <w:tcPr>
            <w:tcW w:w="2830" w:type="dxa"/>
          </w:tcPr>
          <w:p w14:paraId="283ADBCC" w14:textId="28CD8ABB" w:rsidR="005A0EBB" w:rsidRPr="00282BCD" w:rsidRDefault="005A0EBB" w:rsidP="005A0EBB">
            <w:pPr>
              <w:jc w:val="both"/>
              <w:rPr>
                <w:rFonts w:asciiTheme="minorHAnsi" w:eastAsia="Arial Unicode MS" w:hAnsiTheme="minorHAnsi" w:cstheme="minorHAnsi"/>
                <w:sz w:val="22"/>
                <w:szCs w:val="22"/>
              </w:rPr>
            </w:pPr>
            <w:r w:rsidRPr="00282BCD">
              <w:rPr>
                <w:rFonts w:asciiTheme="minorHAnsi" w:eastAsia="Arial Unicode MS" w:hAnsiTheme="minorHAnsi" w:cstheme="minorHAnsi"/>
                <w:sz w:val="22"/>
                <w:szCs w:val="22"/>
              </w:rPr>
              <w:t>T</w:t>
            </w:r>
            <w:r w:rsidR="007F5618">
              <w:rPr>
                <w:rFonts w:asciiTheme="minorHAnsi" w:eastAsia="Arial Unicode MS" w:hAnsiTheme="minorHAnsi" w:cstheme="minorHAnsi"/>
                <w:sz w:val="22"/>
                <w:szCs w:val="22"/>
              </w:rPr>
              <w:t>o</w:t>
            </w:r>
            <w:r w:rsidRPr="00282BCD">
              <w:rPr>
                <w:rFonts w:asciiTheme="minorHAnsi" w:eastAsia="Arial Unicode MS" w:hAnsiTheme="minorHAnsi" w:cstheme="minorHAnsi"/>
                <w:sz w:val="22"/>
                <w:szCs w:val="22"/>
              </w:rPr>
              <w:t xml:space="preserve"> </w:t>
            </w:r>
            <w:r w:rsidR="007F5618">
              <w:rPr>
                <w:rFonts w:asciiTheme="minorHAnsi" w:eastAsia="Arial Unicode MS" w:hAnsiTheme="minorHAnsi" w:cstheme="minorHAnsi"/>
                <w:sz w:val="22"/>
                <w:szCs w:val="22"/>
              </w:rPr>
              <w:t xml:space="preserve">28 </w:t>
            </w:r>
            <w:r w:rsidRPr="00282BCD">
              <w:rPr>
                <w:rFonts w:asciiTheme="minorHAnsi" w:eastAsia="Arial Unicode MS" w:hAnsiTheme="minorHAnsi" w:cstheme="minorHAnsi"/>
                <w:sz w:val="22"/>
                <w:szCs w:val="22"/>
              </w:rPr>
              <w:t>weeks</w:t>
            </w:r>
          </w:p>
        </w:tc>
      </w:tr>
    </w:tbl>
    <w:p w14:paraId="397F2D33" w14:textId="77777777" w:rsidR="00965444" w:rsidRPr="00282BCD" w:rsidRDefault="00965444" w:rsidP="007F5618">
      <w:pPr>
        <w:numPr>
          <w:ilvl w:val="1"/>
          <w:numId w:val="2"/>
        </w:numPr>
        <w:tabs>
          <w:tab w:val="clear" w:pos="1440"/>
          <w:tab w:val="num" w:pos="900"/>
        </w:tabs>
        <w:ind w:left="900"/>
        <w:jc w:val="both"/>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 xml:space="preserve">Coordination </w:t>
      </w:r>
    </w:p>
    <w:p w14:paraId="5EF5CFCC" w14:textId="77777777" w:rsidR="00965444" w:rsidRPr="00282BCD" w:rsidRDefault="00965444" w:rsidP="009236DE">
      <w:pPr>
        <w:jc w:val="both"/>
        <w:rPr>
          <w:rFonts w:asciiTheme="minorHAnsi" w:hAnsiTheme="minorHAnsi" w:cstheme="minorHAnsi"/>
          <w:sz w:val="22"/>
          <w:szCs w:val="22"/>
          <w:highlight w:val="cyan"/>
        </w:rPr>
      </w:pPr>
    </w:p>
    <w:p w14:paraId="1731AFE3" w14:textId="1F9AEE2D" w:rsidR="001C6D6C" w:rsidRPr="00282BCD" w:rsidRDefault="009236DE" w:rsidP="009236DE">
      <w:pPr>
        <w:jc w:val="both"/>
        <w:rPr>
          <w:rFonts w:asciiTheme="minorHAnsi" w:hAnsiTheme="minorHAnsi" w:cstheme="minorHAnsi"/>
          <w:sz w:val="22"/>
          <w:szCs w:val="22"/>
        </w:rPr>
      </w:pPr>
      <w:r w:rsidRPr="00282BCD">
        <w:rPr>
          <w:rFonts w:asciiTheme="minorHAnsi" w:hAnsiTheme="minorHAnsi" w:cstheme="minorHAnsi"/>
          <w:sz w:val="22"/>
          <w:szCs w:val="22"/>
        </w:rPr>
        <w:t>The service provider shall designate a single contact person for project implementation purposes.</w:t>
      </w:r>
    </w:p>
    <w:p w14:paraId="15B00772" w14:textId="05CD1277" w:rsidR="00EF6139" w:rsidRPr="00282BCD" w:rsidRDefault="006B5831" w:rsidP="009236DE">
      <w:pPr>
        <w:jc w:val="both"/>
        <w:rPr>
          <w:rFonts w:asciiTheme="minorHAnsi" w:hAnsiTheme="minorHAnsi" w:cstheme="minorHAnsi"/>
          <w:sz w:val="22"/>
          <w:szCs w:val="22"/>
        </w:rPr>
      </w:pPr>
      <w:r w:rsidRPr="00282BCD">
        <w:rPr>
          <w:rFonts w:asciiTheme="minorHAnsi" w:hAnsiTheme="minorHAnsi" w:cstheme="minorHAnsi"/>
          <w:sz w:val="22"/>
          <w:szCs w:val="22"/>
        </w:rPr>
        <w:t xml:space="preserve">Mr </w:t>
      </w:r>
      <w:r w:rsidR="00EE0F08">
        <w:rPr>
          <w:rFonts w:asciiTheme="minorHAnsi" w:hAnsiTheme="minorHAnsi" w:cstheme="minorHAnsi"/>
          <w:sz w:val="22"/>
          <w:szCs w:val="22"/>
        </w:rPr>
        <w:t>Sohaib Sbeta</w:t>
      </w:r>
      <w:r w:rsidR="0031649A">
        <w:rPr>
          <w:rFonts w:asciiTheme="minorHAnsi" w:hAnsiTheme="minorHAnsi" w:cstheme="minorHAnsi"/>
          <w:sz w:val="22"/>
          <w:szCs w:val="22"/>
        </w:rPr>
        <w:t>,</w:t>
      </w:r>
      <w:r w:rsidRPr="00282BCD">
        <w:rPr>
          <w:rFonts w:asciiTheme="minorHAnsi" w:hAnsiTheme="minorHAnsi" w:cstheme="minorHAnsi"/>
          <w:sz w:val="22"/>
          <w:szCs w:val="22"/>
        </w:rPr>
        <w:t xml:space="preserve"> the </w:t>
      </w:r>
      <w:r w:rsidR="00EE0F08">
        <w:rPr>
          <w:rFonts w:asciiTheme="minorHAnsi" w:hAnsiTheme="minorHAnsi" w:cstheme="minorHAnsi"/>
          <w:sz w:val="22"/>
          <w:szCs w:val="22"/>
        </w:rPr>
        <w:t>Chief of Component One – EU4SKILLS</w:t>
      </w:r>
      <w:r w:rsidR="0031649A">
        <w:rPr>
          <w:rFonts w:asciiTheme="minorHAnsi" w:hAnsiTheme="minorHAnsi" w:cstheme="minorHAnsi"/>
          <w:sz w:val="22"/>
          <w:szCs w:val="22"/>
        </w:rPr>
        <w:t>,</w:t>
      </w:r>
      <w:r w:rsidRPr="00282BCD">
        <w:rPr>
          <w:rFonts w:asciiTheme="minorHAnsi" w:hAnsiTheme="minorHAnsi" w:cstheme="minorHAnsi"/>
          <w:sz w:val="22"/>
          <w:szCs w:val="22"/>
        </w:rPr>
        <w:t xml:space="preserve"> will be the service provider’s sole contact person for Expertise France</w:t>
      </w:r>
    </w:p>
    <w:p w14:paraId="0B09E6EA" w14:textId="2E92D420" w:rsidR="006B5831" w:rsidRPr="00B6135B" w:rsidRDefault="006B5831" w:rsidP="009236DE">
      <w:pPr>
        <w:jc w:val="both"/>
        <w:rPr>
          <w:rFonts w:asciiTheme="minorHAnsi" w:hAnsiTheme="minorHAnsi" w:cstheme="minorHAnsi"/>
          <w:sz w:val="22"/>
          <w:szCs w:val="22"/>
          <w:lang w:val="fr-FR"/>
        </w:rPr>
      </w:pPr>
      <w:r w:rsidRPr="00B6135B">
        <w:rPr>
          <w:rFonts w:asciiTheme="minorHAnsi" w:hAnsiTheme="minorHAnsi" w:cstheme="minorHAnsi"/>
          <w:sz w:val="22"/>
          <w:szCs w:val="22"/>
          <w:lang w:val="fr-FR"/>
        </w:rPr>
        <w:t>Tel:</w:t>
      </w:r>
      <w:r w:rsidR="00EE0F08" w:rsidRPr="00B6135B">
        <w:rPr>
          <w:rFonts w:asciiTheme="minorHAnsi" w:hAnsiTheme="minorHAnsi" w:cstheme="minorHAnsi"/>
          <w:sz w:val="22"/>
          <w:szCs w:val="22"/>
          <w:lang w:val="fr-FR"/>
        </w:rPr>
        <w:t xml:space="preserve"> +218 91 9999 277</w:t>
      </w:r>
    </w:p>
    <w:p w14:paraId="332108AF" w14:textId="36060922" w:rsidR="006B5831" w:rsidRPr="00B6135B" w:rsidRDefault="006B5831" w:rsidP="009236DE">
      <w:pPr>
        <w:jc w:val="both"/>
        <w:rPr>
          <w:rFonts w:asciiTheme="minorHAnsi" w:hAnsiTheme="minorHAnsi" w:cstheme="minorHAnsi"/>
          <w:sz w:val="22"/>
          <w:szCs w:val="22"/>
          <w:lang w:val="fr-FR"/>
        </w:rPr>
      </w:pPr>
      <w:r w:rsidRPr="00B6135B">
        <w:rPr>
          <w:rFonts w:asciiTheme="minorHAnsi" w:hAnsiTheme="minorHAnsi" w:cstheme="minorHAnsi"/>
          <w:sz w:val="22"/>
          <w:szCs w:val="22"/>
          <w:lang w:val="fr-FR"/>
        </w:rPr>
        <w:t>E-mail:</w:t>
      </w:r>
      <w:r w:rsidR="00EE0F08" w:rsidRPr="00B6135B">
        <w:rPr>
          <w:rFonts w:asciiTheme="minorHAnsi" w:hAnsiTheme="minorHAnsi" w:cstheme="minorHAnsi"/>
          <w:sz w:val="22"/>
          <w:szCs w:val="22"/>
          <w:lang w:val="fr-FR"/>
        </w:rPr>
        <w:t xml:space="preserve"> sohaib.sbeta@expertisefrance.fr</w:t>
      </w:r>
    </w:p>
    <w:p w14:paraId="5DFAFC2C" w14:textId="77777777" w:rsidR="003A7507" w:rsidRPr="00B6135B" w:rsidRDefault="003A7507" w:rsidP="003A7507">
      <w:pPr>
        <w:rPr>
          <w:rFonts w:asciiTheme="minorHAnsi" w:hAnsiTheme="minorHAnsi" w:cstheme="minorHAnsi"/>
          <w:sz w:val="22"/>
          <w:szCs w:val="22"/>
          <w:lang w:val="fr-FR"/>
        </w:rPr>
      </w:pPr>
    </w:p>
    <w:p w14:paraId="00A8F97B" w14:textId="77777777" w:rsidR="003A7507" w:rsidRPr="00282BCD" w:rsidRDefault="003A7507" w:rsidP="007F5618">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bookmarkStart w:id="0" w:name="_GoBack"/>
      <w:r w:rsidRPr="00282BCD">
        <w:rPr>
          <w:rFonts w:asciiTheme="minorHAnsi" w:eastAsia="Arial Unicode MS" w:hAnsiTheme="minorHAnsi" w:cstheme="minorHAnsi"/>
          <w:b/>
          <w:bCs/>
          <w:sz w:val="22"/>
          <w:szCs w:val="22"/>
        </w:rPr>
        <w:t>Place, duration and terms of performance</w:t>
      </w:r>
    </w:p>
    <w:p w14:paraId="6D77A0D3" w14:textId="77777777" w:rsidR="003A7507" w:rsidRPr="00282BCD" w:rsidRDefault="003A7507" w:rsidP="003A7507">
      <w:pPr>
        <w:rPr>
          <w:rFonts w:asciiTheme="minorHAnsi" w:hAnsiTheme="minorHAnsi" w:cstheme="minorHAnsi"/>
          <w:sz w:val="22"/>
          <w:szCs w:val="22"/>
          <w:highlight w:val="cyan"/>
        </w:rPr>
      </w:pPr>
    </w:p>
    <w:p w14:paraId="2161A0E3" w14:textId="2CA69A91" w:rsidR="003A7507" w:rsidRPr="00282BCD" w:rsidRDefault="003A7507" w:rsidP="007F5618">
      <w:pPr>
        <w:numPr>
          <w:ilvl w:val="1"/>
          <w:numId w:val="2"/>
        </w:numPr>
        <w:tabs>
          <w:tab w:val="clear" w:pos="1440"/>
          <w:tab w:val="num" w:pos="900"/>
        </w:tabs>
        <w:ind w:left="900"/>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 xml:space="preserve">Implementation period: </w:t>
      </w:r>
      <w:r w:rsidR="00EE0F08">
        <w:rPr>
          <w:rFonts w:asciiTheme="minorHAnsi" w:eastAsia="Arial Unicode MS" w:hAnsiTheme="minorHAnsi" w:cstheme="minorHAnsi"/>
          <w:b/>
          <w:bCs/>
          <w:sz w:val="22"/>
          <w:szCs w:val="22"/>
        </w:rPr>
        <w:t>7 months</w:t>
      </w:r>
    </w:p>
    <w:p w14:paraId="3965E893" w14:textId="77777777" w:rsidR="003A7507" w:rsidRPr="00282BCD" w:rsidRDefault="003A7507" w:rsidP="003A7507">
      <w:pPr>
        <w:ind w:left="1080"/>
        <w:rPr>
          <w:rFonts w:asciiTheme="minorHAnsi" w:hAnsiTheme="minorHAnsi" w:cstheme="minorHAnsi"/>
          <w:sz w:val="22"/>
          <w:szCs w:val="22"/>
        </w:rPr>
      </w:pPr>
    </w:p>
    <w:p w14:paraId="15982D84" w14:textId="23295C97" w:rsidR="003A7507" w:rsidRPr="00282BCD" w:rsidRDefault="003A7507" w:rsidP="007F5618">
      <w:pPr>
        <w:numPr>
          <w:ilvl w:val="1"/>
          <w:numId w:val="2"/>
        </w:numPr>
        <w:tabs>
          <w:tab w:val="clear" w:pos="1440"/>
          <w:tab w:val="num" w:pos="900"/>
        </w:tabs>
        <w:ind w:left="900"/>
        <w:jc w:val="both"/>
        <w:rPr>
          <w:rFonts w:asciiTheme="minorHAnsi" w:hAnsiTheme="minorHAnsi" w:cstheme="minorHAnsi"/>
          <w:sz w:val="22"/>
          <w:szCs w:val="22"/>
        </w:rPr>
      </w:pPr>
      <w:r w:rsidRPr="00282BCD">
        <w:rPr>
          <w:rFonts w:asciiTheme="minorHAnsi" w:eastAsia="Arial Unicode MS" w:hAnsiTheme="minorHAnsi" w:cstheme="minorHAnsi"/>
          <w:b/>
          <w:bCs/>
          <w:sz w:val="22"/>
          <w:szCs w:val="22"/>
        </w:rPr>
        <w:t xml:space="preserve">Start date: </w:t>
      </w:r>
      <w:r w:rsidR="00EE0F08">
        <w:rPr>
          <w:rFonts w:asciiTheme="minorHAnsi" w:eastAsia="Arial Unicode MS" w:hAnsiTheme="minorHAnsi" w:cstheme="minorHAnsi"/>
          <w:b/>
          <w:bCs/>
          <w:sz w:val="22"/>
          <w:szCs w:val="22"/>
        </w:rPr>
        <w:t>15 June 2025</w:t>
      </w:r>
    </w:p>
    <w:p w14:paraId="0A16D9D4" w14:textId="77777777" w:rsidR="00AC0DEF" w:rsidRPr="00282BCD" w:rsidRDefault="00AC0DEF" w:rsidP="00AC0DEF">
      <w:pPr>
        <w:jc w:val="both"/>
        <w:rPr>
          <w:rFonts w:asciiTheme="minorHAnsi" w:hAnsiTheme="minorHAnsi" w:cstheme="minorHAnsi"/>
          <w:sz w:val="22"/>
          <w:szCs w:val="22"/>
        </w:rPr>
      </w:pPr>
    </w:p>
    <w:p w14:paraId="4476555E" w14:textId="4AEA485F" w:rsidR="003A7507" w:rsidRPr="00282BCD" w:rsidRDefault="003A7507" w:rsidP="007F5618">
      <w:pPr>
        <w:numPr>
          <w:ilvl w:val="1"/>
          <w:numId w:val="2"/>
        </w:numPr>
        <w:tabs>
          <w:tab w:val="clear" w:pos="1440"/>
          <w:tab w:val="num" w:pos="900"/>
        </w:tabs>
        <w:ind w:left="900"/>
        <w:jc w:val="both"/>
        <w:rPr>
          <w:rFonts w:asciiTheme="minorHAnsi" w:hAnsiTheme="minorHAnsi" w:cstheme="minorHAnsi"/>
          <w:sz w:val="22"/>
          <w:szCs w:val="22"/>
        </w:rPr>
      </w:pPr>
      <w:r w:rsidRPr="00282BCD">
        <w:rPr>
          <w:rFonts w:asciiTheme="minorHAnsi" w:eastAsia="Arial Unicode MS" w:hAnsiTheme="minorHAnsi" w:cstheme="minorHAnsi"/>
          <w:b/>
          <w:bCs/>
          <w:sz w:val="22"/>
          <w:szCs w:val="22"/>
        </w:rPr>
        <w:t xml:space="preserve">End date: </w:t>
      </w:r>
      <w:r w:rsidR="00EE0F08">
        <w:rPr>
          <w:rFonts w:asciiTheme="minorHAnsi" w:eastAsia="Arial Unicode MS" w:hAnsiTheme="minorHAnsi" w:cstheme="minorHAnsi"/>
          <w:b/>
          <w:bCs/>
          <w:sz w:val="22"/>
          <w:szCs w:val="22"/>
        </w:rPr>
        <w:t>31 December 2025</w:t>
      </w:r>
    </w:p>
    <w:bookmarkEnd w:id="0"/>
    <w:p w14:paraId="57A33242" w14:textId="77777777" w:rsidR="003A7507" w:rsidRPr="00282BCD" w:rsidRDefault="003A7507" w:rsidP="003A7507">
      <w:pPr>
        <w:jc w:val="both"/>
        <w:rPr>
          <w:rFonts w:asciiTheme="minorHAnsi" w:hAnsiTheme="minorHAnsi" w:cstheme="minorHAnsi"/>
          <w:sz w:val="22"/>
          <w:szCs w:val="22"/>
        </w:rPr>
      </w:pPr>
    </w:p>
    <w:p w14:paraId="2ACBEEA3" w14:textId="77777777" w:rsidR="003A7507" w:rsidRPr="00282BCD" w:rsidRDefault="003A7507" w:rsidP="003A7507">
      <w:pPr>
        <w:jc w:val="both"/>
        <w:rPr>
          <w:rFonts w:asciiTheme="minorHAnsi" w:hAnsiTheme="minorHAnsi" w:cstheme="minorHAnsi"/>
          <w:i/>
          <w:sz w:val="22"/>
          <w:szCs w:val="22"/>
        </w:rPr>
      </w:pPr>
      <w:r w:rsidRPr="00282BCD">
        <w:rPr>
          <w:rFonts w:asciiTheme="minorHAnsi" w:hAnsiTheme="minorHAnsi" w:cstheme="minorHAnsi"/>
          <w:i/>
          <w:iCs/>
          <w:sz w:val="22"/>
          <w:szCs w:val="22"/>
        </w:rPr>
        <w:t>The provisional programme for assignment implementation is as follows:</w:t>
      </w:r>
    </w:p>
    <w:p w14:paraId="6C8EA2D4" w14:textId="77777777" w:rsidR="009236DE" w:rsidRPr="00282BCD" w:rsidRDefault="009236DE" w:rsidP="009236DE">
      <w:pPr>
        <w:tabs>
          <w:tab w:val="left" w:pos="2145"/>
        </w:tabs>
        <w:rPr>
          <w:rFonts w:asciiTheme="minorHAnsi" w:hAnsiTheme="minorHAnsi" w:cstheme="minorHAnsi"/>
          <w:sz w:val="22"/>
          <w:szCs w:val="22"/>
        </w:rPr>
      </w:pPr>
      <w:r w:rsidRPr="00282BCD">
        <w:rPr>
          <w:rFonts w:asciiTheme="minorHAnsi" w:hAnsiTheme="minorHAnsi" w:cstheme="minorHAnsi"/>
        </w:rPr>
        <w:tab/>
      </w:r>
    </w:p>
    <w:tbl>
      <w:tblPr>
        <w:tblStyle w:val="Grilledutableau1"/>
        <w:tblW w:w="9776" w:type="dxa"/>
        <w:jc w:val="center"/>
        <w:tblLook w:val="04A0" w:firstRow="1" w:lastRow="0" w:firstColumn="1" w:lastColumn="0" w:noHBand="0" w:noVBand="1"/>
      </w:tblPr>
      <w:tblGrid>
        <w:gridCol w:w="4288"/>
        <w:gridCol w:w="1913"/>
        <w:gridCol w:w="2312"/>
        <w:gridCol w:w="1263"/>
      </w:tblGrid>
      <w:tr w:rsidR="00AD29F0" w:rsidRPr="00282BCD" w14:paraId="34B37B3D" w14:textId="77777777" w:rsidTr="00AD29F0">
        <w:trPr>
          <w:trHeight w:val="288"/>
          <w:jc w:val="center"/>
        </w:trPr>
        <w:tc>
          <w:tcPr>
            <w:tcW w:w="4288" w:type="dxa"/>
            <w:tcBorders>
              <w:bottom w:val="nil"/>
            </w:tcBorders>
            <w:shd w:val="clear" w:color="auto" w:fill="D9D9D9" w:themeFill="background1" w:themeFillShade="D9"/>
          </w:tcPr>
          <w:p w14:paraId="37098106" w14:textId="77777777" w:rsidR="00BF2506" w:rsidRPr="0098243A" w:rsidRDefault="00BF2506" w:rsidP="00A549E0">
            <w:pPr>
              <w:jc w:val="center"/>
              <w:rPr>
                <w:rFonts w:eastAsia="Times New Roman" w:cstheme="minorHAnsi"/>
                <w:b/>
              </w:rPr>
            </w:pPr>
            <w:r w:rsidRPr="0098243A">
              <w:rPr>
                <w:rFonts w:eastAsia="Times New Roman" w:cstheme="minorHAnsi"/>
                <w:b/>
                <w:bCs/>
              </w:rPr>
              <w:t>Activity</w:t>
            </w:r>
          </w:p>
        </w:tc>
        <w:tc>
          <w:tcPr>
            <w:tcW w:w="1913" w:type="dxa"/>
            <w:vMerge w:val="restart"/>
            <w:shd w:val="clear" w:color="auto" w:fill="D9D9D9" w:themeFill="background1" w:themeFillShade="D9"/>
          </w:tcPr>
          <w:p w14:paraId="02A78D23" w14:textId="77777777" w:rsidR="00BF2506" w:rsidRPr="0098243A" w:rsidRDefault="00BF2506" w:rsidP="007B7543">
            <w:pPr>
              <w:jc w:val="center"/>
              <w:rPr>
                <w:rFonts w:cstheme="minorHAnsi"/>
                <w:b/>
              </w:rPr>
            </w:pPr>
            <w:r w:rsidRPr="0098243A">
              <w:rPr>
                <w:rFonts w:cstheme="minorHAnsi"/>
                <w:b/>
                <w:bCs/>
              </w:rPr>
              <w:t>Place</w:t>
            </w:r>
          </w:p>
        </w:tc>
        <w:tc>
          <w:tcPr>
            <w:tcW w:w="2312" w:type="dxa"/>
            <w:vMerge w:val="restart"/>
            <w:shd w:val="clear" w:color="auto" w:fill="D9D9D9" w:themeFill="background1" w:themeFillShade="D9"/>
          </w:tcPr>
          <w:p w14:paraId="70DE35E7" w14:textId="77777777" w:rsidR="00BF2506" w:rsidRPr="0098243A" w:rsidRDefault="00BF2506" w:rsidP="007B7543">
            <w:pPr>
              <w:jc w:val="center"/>
              <w:rPr>
                <w:rFonts w:cstheme="minorHAnsi"/>
                <w:b/>
              </w:rPr>
            </w:pPr>
            <w:r w:rsidRPr="0098243A">
              <w:rPr>
                <w:rFonts w:cstheme="minorHAnsi"/>
                <w:b/>
                <w:bCs/>
              </w:rPr>
              <w:t>Period</w:t>
            </w:r>
          </w:p>
        </w:tc>
        <w:tc>
          <w:tcPr>
            <w:tcW w:w="1263" w:type="dxa"/>
            <w:vMerge w:val="restart"/>
            <w:shd w:val="clear" w:color="auto" w:fill="D9D9D9" w:themeFill="background1" w:themeFillShade="D9"/>
          </w:tcPr>
          <w:p w14:paraId="420BE0B7" w14:textId="344BBD65" w:rsidR="00BF2506" w:rsidRPr="0098243A" w:rsidRDefault="00BF2506" w:rsidP="00A549E0">
            <w:pPr>
              <w:spacing w:line="276" w:lineRule="auto"/>
              <w:jc w:val="center"/>
              <w:rPr>
                <w:rFonts w:eastAsia="Times New Roman" w:cstheme="minorHAnsi"/>
                <w:b/>
              </w:rPr>
            </w:pPr>
            <w:r w:rsidRPr="0098243A">
              <w:rPr>
                <w:rFonts w:cstheme="minorHAnsi"/>
                <w:b/>
              </w:rPr>
              <w:t>Duration</w:t>
            </w:r>
          </w:p>
        </w:tc>
      </w:tr>
      <w:tr w:rsidR="00AD29F0" w:rsidRPr="00282BCD" w14:paraId="588506C0" w14:textId="77777777" w:rsidTr="00AD29F0">
        <w:trPr>
          <w:trHeight w:val="81"/>
          <w:jc w:val="center"/>
        </w:trPr>
        <w:tc>
          <w:tcPr>
            <w:tcW w:w="4288" w:type="dxa"/>
            <w:tcBorders>
              <w:top w:val="nil"/>
            </w:tcBorders>
            <w:shd w:val="clear" w:color="auto" w:fill="D9D9D9" w:themeFill="background1" w:themeFillShade="D9"/>
          </w:tcPr>
          <w:p w14:paraId="648BAC66" w14:textId="77777777" w:rsidR="00BF2506" w:rsidRPr="0098243A" w:rsidRDefault="00BF2506" w:rsidP="00AC0DEF">
            <w:pPr>
              <w:rPr>
                <w:rFonts w:cstheme="minorHAnsi"/>
                <w:sz w:val="20"/>
                <w:szCs w:val="20"/>
              </w:rPr>
            </w:pPr>
          </w:p>
        </w:tc>
        <w:tc>
          <w:tcPr>
            <w:tcW w:w="1913" w:type="dxa"/>
            <w:vMerge/>
            <w:shd w:val="clear" w:color="auto" w:fill="D9D9D9" w:themeFill="background1" w:themeFillShade="D9"/>
          </w:tcPr>
          <w:p w14:paraId="5D61ABB4" w14:textId="77777777" w:rsidR="00BF2506" w:rsidRPr="0098243A" w:rsidRDefault="00BF2506" w:rsidP="00AC0DEF">
            <w:pPr>
              <w:spacing w:line="276" w:lineRule="auto"/>
              <w:jc w:val="center"/>
              <w:rPr>
                <w:rFonts w:cstheme="minorHAnsi"/>
                <w:sz w:val="20"/>
                <w:szCs w:val="20"/>
              </w:rPr>
            </w:pPr>
          </w:p>
        </w:tc>
        <w:tc>
          <w:tcPr>
            <w:tcW w:w="2312" w:type="dxa"/>
            <w:vMerge/>
            <w:shd w:val="clear" w:color="auto" w:fill="D9D9D9" w:themeFill="background1" w:themeFillShade="D9"/>
          </w:tcPr>
          <w:p w14:paraId="070512C1" w14:textId="77777777" w:rsidR="00BF2506" w:rsidRPr="0098243A" w:rsidRDefault="00BF2506" w:rsidP="00AC0DEF">
            <w:pPr>
              <w:spacing w:line="276" w:lineRule="auto"/>
              <w:jc w:val="center"/>
              <w:rPr>
                <w:rFonts w:cstheme="minorHAnsi"/>
                <w:sz w:val="20"/>
                <w:szCs w:val="20"/>
              </w:rPr>
            </w:pPr>
          </w:p>
        </w:tc>
        <w:tc>
          <w:tcPr>
            <w:tcW w:w="1263" w:type="dxa"/>
            <w:vMerge/>
            <w:shd w:val="clear" w:color="auto" w:fill="D9D9D9" w:themeFill="background1" w:themeFillShade="D9"/>
          </w:tcPr>
          <w:p w14:paraId="68AD1AFA" w14:textId="77777777" w:rsidR="00BF2506" w:rsidRPr="0098243A" w:rsidRDefault="00BF2506" w:rsidP="00AC0DEF">
            <w:pPr>
              <w:spacing w:line="276" w:lineRule="auto"/>
              <w:jc w:val="center"/>
              <w:rPr>
                <w:rFonts w:cstheme="minorHAnsi"/>
                <w:sz w:val="20"/>
                <w:szCs w:val="20"/>
              </w:rPr>
            </w:pPr>
          </w:p>
        </w:tc>
      </w:tr>
      <w:tr w:rsidR="00AD29F0" w:rsidRPr="00282BCD" w14:paraId="4C36463F" w14:textId="77777777" w:rsidTr="00AD29F0">
        <w:trPr>
          <w:jc w:val="center"/>
        </w:trPr>
        <w:tc>
          <w:tcPr>
            <w:tcW w:w="4288" w:type="dxa"/>
          </w:tcPr>
          <w:p w14:paraId="0260EC04" w14:textId="6383BD08" w:rsidR="00BF2506" w:rsidRPr="0098243A" w:rsidRDefault="00BF2506" w:rsidP="00AC0DEF">
            <w:pPr>
              <w:rPr>
                <w:rFonts w:cstheme="minorHAnsi"/>
                <w:sz w:val="20"/>
                <w:szCs w:val="20"/>
              </w:rPr>
            </w:pPr>
            <w:r w:rsidRPr="0098243A">
              <w:rPr>
                <w:rFonts w:cstheme="minorHAnsi"/>
                <w:sz w:val="20"/>
                <w:szCs w:val="20"/>
              </w:rPr>
              <w:t>Assignment Preparation and Inception Report</w:t>
            </w:r>
          </w:p>
        </w:tc>
        <w:tc>
          <w:tcPr>
            <w:tcW w:w="1913" w:type="dxa"/>
          </w:tcPr>
          <w:p w14:paraId="5B4AF705" w14:textId="08F2B402" w:rsidR="00BF2506" w:rsidRPr="0098243A" w:rsidRDefault="00BF2506" w:rsidP="00AC0DEF">
            <w:pPr>
              <w:jc w:val="center"/>
              <w:rPr>
                <w:rFonts w:cstheme="minorHAnsi"/>
                <w:sz w:val="20"/>
                <w:szCs w:val="20"/>
              </w:rPr>
            </w:pPr>
            <w:r w:rsidRPr="0098243A">
              <w:rPr>
                <w:rFonts w:cstheme="minorHAnsi"/>
                <w:sz w:val="20"/>
                <w:szCs w:val="20"/>
              </w:rPr>
              <w:t>Remote</w:t>
            </w:r>
          </w:p>
        </w:tc>
        <w:tc>
          <w:tcPr>
            <w:tcW w:w="2312" w:type="dxa"/>
          </w:tcPr>
          <w:p w14:paraId="65F3630B" w14:textId="7456698C" w:rsidR="00BF2506" w:rsidRPr="0098243A" w:rsidRDefault="00BF2506" w:rsidP="00AC0DEF">
            <w:pPr>
              <w:jc w:val="center"/>
              <w:rPr>
                <w:rFonts w:cstheme="minorHAnsi"/>
                <w:sz w:val="20"/>
                <w:szCs w:val="20"/>
              </w:rPr>
            </w:pPr>
            <w:r w:rsidRPr="0098243A">
              <w:rPr>
                <w:rFonts w:cstheme="minorHAnsi"/>
                <w:sz w:val="20"/>
                <w:szCs w:val="20"/>
              </w:rPr>
              <w:t>June 2025</w:t>
            </w:r>
          </w:p>
        </w:tc>
        <w:tc>
          <w:tcPr>
            <w:tcW w:w="1263" w:type="dxa"/>
          </w:tcPr>
          <w:p w14:paraId="452B80E0" w14:textId="5F9BEAB8" w:rsidR="00BF2506" w:rsidRPr="0098243A" w:rsidRDefault="00E854FF" w:rsidP="00AC0DEF">
            <w:pPr>
              <w:jc w:val="center"/>
              <w:rPr>
                <w:rFonts w:cstheme="minorHAnsi"/>
                <w:sz w:val="20"/>
                <w:szCs w:val="20"/>
              </w:rPr>
            </w:pPr>
            <w:r w:rsidRPr="0098243A">
              <w:rPr>
                <w:rFonts w:cstheme="minorHAnsi"/>
                <w:sz w:val="20"/>
                <w:szCs w:val="20"/>
              </w:rPr>
              <w:t>3</w:t>
            </w:r>
            <w:r w:rsidR="00BF2506" w:rsidRPr="0098243A">
              <w:rPr>
                <w:rFonts w:cstheme="minorHAnsi"/>
                <w:sz w:val="20"/>
                <w:szCs w:val="20"/>
              </w:rPr>
              <w:t xml:space="preserve"> days</w:t>
            </w:r>
          </w:p>
        </w:tc>
      </w:tr>
      <w:tr w:rsidR="00AD29F0" w:rsidRPr="00282BCD" w14:paraId="15AB5A12" w14:textId="77777777" w:rsidTr="00AD29F0">
        <w:trPr>
          <w:jc w:val="center"/>
        </w:trPr>
        <w:tc>
          <w:tcPr>
            <w:tcW w:w="4288" w:type="dxa"/>
          </w:tcPr>
          <w:p w14:paraId="5931B8F3" w14:textId="69B88B71" w:rsidR="00BF2506" w:rsidRPr="0098243A" w:rsidRDefault="00BF2506" w:rsidP="00AC0DEF">
            <w:pPr>
              <w:rPr>
                <w:rFonts w:cstheme="minorHAnsi"/>
                <w:sz w:val="20"/>
                <w:szCs w:val="20"/>
              </w:rPr>
            </w:pPr>
            <w:r w:rsidRPr="0098243A">
              <w:rPr>
                <w:rFonts w:cstheme="minorHAnsi"/>
                <w:sz w:val="20"/>
                <w:szCs w:val="20"/>
              </w:rPr>
              <w:t>Capacity-building workshops</w:t>
            </w:r>
          </w:p>
        </w:tc>
        <w:tc>
          <w:tcPr>
            <w:tcW w:w="1913" w:type="dxa"/>
          </w:tcPr>
          <w:p w14:paraId="639128DA" w14:textId="61F40B75" w:rsidR="00BF2506" w:rsidRPr="0098243A" w:rsidRDefault="00BF2506" w:rsidP="00AC0DEF">
            <w:pPr>
              <w:jc w:val="center"/>
              <w:rPr>
                <w:rFonts w:cstheme="minorHAnsi"/>
                <w:sz w:val="20"/>
                <w:szCs w:val="20"/>
              </w:rPr>
            </w:pPr>
            <w:r w:rsidRPr="0098243A">
              <w:rPr>
                <w:rFonts w:cstheme="minorHAnsi"/>
                <w:sz w:val="20"/>
                <w:szCs w:val="20"/>
              </w:rPr>
              <w:t>Tripoli/Tunis</w:t>
            </w:r>
          </w:p>
        </w:tc>
        <w:tc>
          <w:tcPr>
            <w:tcW w:w="2312" w:type="dxa"/>
          </w:tcPr>
          <w:p w14:paraId="52D92696" w14:textId="5B0B63DE" w:rsidR="00BF2506" w:rsidRPr="0098243A" w:rsidRDefault="00BF2506" w:rsidP="00AC0DEF">
            <w:pPr>
              <w:jc w:val="center"/>
              <w:rPr>
                <w:rFonts w:cstheme="minorHAnsi"/>
                <w:sz w:val="20"/>
                <w:szCs w:val="20"/>
              </w:rPr>
            </w:pPr>
            <w:r w:rsidRPr="0098243A">
              <w:rPr>
                <w:rFonts w:cstheme="minorHAnsi"/>
                <w:sz w:val="20"/>
                <w:szCs w:val="20"/>
              </w:rPr>
              <w:t>15 July – 15 October 2025</w:t>
            </w:r>
          </w:p>
        </w:tc>
        <w:tc>
          <w:tcPr>
            <w:tcW w:w="1263" w:type="dxa"/>
          </w:tcPr>
          <w:p w14:paraId="6FAA17D7" w14:textId="2CB13AC5" w:rsidR="00BF2506" w:rsidRPr="0098243A" w:rsidRDefault="00AD29F0" w:rsidP="00AC0DEF">
            <w:pPr>
              <w:jc w:val="center"/>
              <w:rPr>
                <w:rFonts w:cstheme="minorHAnsi"/>
                <w:sz w:val="20"/>
                <w:szCs w:val="20"/>
              </w:rPr>
            </w:pPr>
            <w:r w:rsidRPr="0098243A">
              <w:rPr>
                <w:rFonts w:cstheme="minorHAnsi"/>
                <w:sz w:val="20"/>
                <w:szCs w:val="20"/>
              </w:rPr>
              <w:t>3</w:t>
            </w:r>
            <w:r w:rsidR="00E854FF" w:rsidRPr="0098243A">
              <w:rPr>
                <w:rFonts w:cstheme="minorHAnsi"/>
                <w:sz w:val="20"/>
                <w:szCs w:val="20"/>
              </w:rPr>
              <w:t>2</w:t>
            </w:r>
            <w:r w:rsidRPr="0098243A">
              <w:rPr>
                <w:rFonts w:cstheme="minorHAnsi"/>
                <w:sz w:val="20"/>
                <w:szCs w:val="20"/>
              </w:rPr>
              <w:t xml:space="preserve"> days</w:t>
            </w:r>
          </w:p>
        </w:tc>
      </w:tr>
      <w:tr w:rsidR="00AD29F0" w:rsidRPr="00282BCD" w14:paraId="5B512B66" w14:textId="77777777" w:rsidTr="00AD29F0">
        <w:trPr>
          <w:jc w:val="center"/>
        </w:trPr>
        <w:tc>
          <w:tcPr>
            <w:tcW w:w="4288" w:type="dxa"/>
          </w:tcPr>
          <w:p w14:paraId="69AB32B0" w14:textId="69CEFC60" w:rsidR="00BF2506" w:rsidRPr="0098243A" w:rsidRDefault="00AD29F0" w:rsidP="00AC0DEF">
            <w:pPr>
              <w:rPr>
                <w:rFonts w:cstheme="minorHAnsi"/>
                <w:sz w:val="20"/>
                <w:szCs w:val="20"/>
              </w:rPr>
            </w:pPr>
            <w:r w:rsidRPr="0098243A">
              <w:rPr>
                <w:rFonts w:cstheme="minorHAnsi"/>
                <w:sz w:val="20"/>
                <w:szCs w:val="20"/>
              </w:rPr>
              <w:t xml:space="preserve">Supporting the design of the </w:t>
            </w:r>
            <w:r w:rsidR="007F60F3" w:rsidRPr="0098243A">
              <w:rPr>
                <w:rFonts w:cstheme="minorHAnsi"/>
                <w:sz w:val="20"/>
                <w:szCs w:val="20"/>
              </w:rPr>
              <w:t>TVET</w:t>
            </w:r>
            <w:r w:rsidRPr="0098243A">
              <w:rPr>
                <w:rFonts w:cstheme="minorHAnsi"/>
                <w:sz w:val="20"/>
                <w:szCs w:val="20"/>
              </w:rPr>
              <w:t xml:space="preserve"> strategy</w:t>
            </w:r>
          </w:p>
        </w:tc>
        <w:tc>
          <w:tcPr>
            <w:tcW w:w="1913" w:type="dxa"/>
          </w:tcPr>
          <w:p w14:paraId="67C47515" w14:textId="2CD7A5EF" w:rsidR="00BF2506" w:rsidRPr="0098243A" w:rsidRDefault="00AD29F0" w:rsidP="00AC0DEF">
            <w:pPr>
              <w:jc w:val="center"/>
              <w:rPr>
                <w:rFonts w:cstheme="minorHAnsi"/>
                <w:sz w:val="20"/>
                <w:szCs w:val="20"/>
              </w:rPr>
            </w:pPr>
            <w:r w:rsidRPr="0098243A">
              <w:rPr>
                <w:rFonts w:cstheme="minorHAnsi"/>
                <w:sz w:val="20"/>
                <w:szCs w:val="20"/>
              </w:rPr>
              <w:t>Tripoli/Tunis/Hybrid</w:t>
            </w:r>
          </w:p>
        </w:tc>
        <w:tc>
          <w:tcPr>
            <w:tcW w:w="2312" w:type="dxa"/>
          </w:tcPr>
          <w:p w14:paraId="76CC9D16" w14:textId="51DF413F" w:rsidR="00BF2506" w:rsidRPr="0098243A" w:rsidRDefault="00AD29F0" w:rsidP="00AC0DEF">
            <w:pPr>
              <w:jc w:val="center"/>
              <w:rPr>
                <w:rFonts w:cstheme="minorHAnsi"/>
                <w:sz w:val="20"/>
                <w:szCs w:val="20"/>
              </w:rPr>
            </w:pPr>
            <w:r w:rsidRPr="0098243A">
              <w:rPr>
                <w:rFonts w:cstheme="minorHAnsi"/>
                <w:sz w:val="20"/>
                <w:szCs w:val="20"/>
              </w:rPr>
              <w:t xml:space="preserve">15 October – </w:t>
            </w:r>
            <w:r w:rsidR="007F60F3" w:rsidRPr="0098243A">
              <w:rPr>
                <w:rFonts w:cstheme="minorHAnsi"/>
                <w:sz w:val="20"/>
                <w:szCs w:val="20"/>
              </w:rPr>
              <w:t>30</w:t>
            </w:r>
            <w:r w:rsidRPr="0098243A">
              <w:rPr>
                <w:rFonts w:cstheme="minorHAnsi"/>
                <w:sz w:val="20"/>
                <w:szCs w:val="20"/>
              </w:rPr>
              <w:t xml:space="preserve"> November</w:t>
            </w:r>
          </w:p>
        </w:tc>
        <w:tc>
          <w:tcPr>
            <w:tcW w:w="1263" w:type="dxa"/>
          </w:tcPr>
          <w:p w14:paraId="22B35BDD" w14:textId="42BEFAAC" w:rsidR="00BF2506" w:rsidRPr="0098243A" w:rsidRDefault="00AD29F0" w:rsidP="00AC0DEF">
            <w:pPr>
              <w:jc w:val="center"/>
              <w:rPr>
                <w:rFonts w:cstheme="minorHAnsi"/>
                <w:sz w:val="20"/>
                <w:szCs w:val="20"/>
              </w:rPr>
            </w:pPr>
            <w:r w:rsidRPr="0098243A">
              <w:rPr>
                <w:rFonts w:cstheme="minorHAnsi"/>
                <w:sz w:val="20"/>
                <w:szCs w:val="20"/>
              </w:rPr>
              <w:t>30 days</w:t>
            </w:r>
          </w:p>
        </w:tc>
      </w:tr>
      <w:tr w:rsidR="00AD29F0" w:rsidRPr="00282BCD" w14:paraId="35692C9E" w14:textId="77777777" w:rsidTr="00AD29F0">
        <w:trPr>
          <w:jc w:val="center"/>
        </w:trPr>
        <w:tc>
          <w:tcPr>
            <w:tcW w:w="4288" w:type="dxa"/>
          </w:tcPr>
          <w:p w14:paraId="53FAD79F" w14:textId="4B7F0B11" w:rsidR="00BF2506" w:rsidRPr="0098243A" w:rsidRDefault="00AD29F0" w:rsidP="00AC0DEF">
            <w:pPr>
              <w:rPr>
                <w:rFonts w:cstheme="minorHAnsi"/>
                <w:sz w:val="20"/>
                <w:szCs w:val="20"/>
              </w:rPr>
            </w:pPr>
            <w:r w:rsidRPr="0098243A">
              <w:rPr>
                <w:rFonts w:cstheme="minorHAnsi"/>
                <w:sz w:val="20"/>
                <w:szCs w:val="20"/>
              </w:rPr>
              <w:t xml:space="preserve">Final report </w:t>
            </w:r>
          </w:p>
        </w:tc>
        <w:tc>
          <w:tcPr>
            <w:tcW w:w="1913" w:type="dxa"/>
          </w:tcPr>
          <w:p w14:paraId="592EDA5C" w14:textId="203611F4" w:rsidR="00BF2506" w:rsidRPr="0098243A" w:rsidRDefault="00AD29F0" w:rsidP="00AC0DEF">
            <w:pPr>
              <w:jc w:val="center"/>
              <w:rPr>
                <w:rFonts w:cstheme="minorHAnsi"/>
                <w:sz w:val="20"/>
                <w:szCs w:val="20"/>
              </w:rPr>
            </w:pPr>
            <w:r w:rsidRPr="0098243A">
              <w:rPr>
                <w:rFonts w:cstheme="minorHAnsi"/>
                <w:sz w:val="20"/>
                <w:szCs w:val="20"/>
              </w:rPr>
              <w:t>Remote</w:t>
            </w:r>
          </w:p>
        </w:tc>
        <w:tc>
          <w:tcPr>
            <w:tcW w:w="2312" w:type="dxa"/>
          </w:tcPr>
          <w:p w14:paraId="757BCEF7" w14:textId="0A51CDE2" w:rsidR="00BF2506" w:rsidRPr="0098243A" w:rsidRDefault="00AD29F0" w:rsidP="00AC0DEF">
            <w:pPr>
              <w:jc w:val="center"/>
              <w:rPr>
                <w:rFonts w:cstheme="minorHAnsi"/>
                <w:sz w:val="20"/>
                <w:szCs w:val="20"/>
              </w:rPr>
            </w:pPr>
            <w:r w:rsidRPr="0098243A">
              <w:rPr>
                <w:rFonts w:cstheme="minorHAnsi"/>
                <w:sz w:val="20"/>
                <w:szCs w:val="20"/>
              </w:rPr>
              <w:t>December 2025</w:t>
            </w:r>
          </w:p>
        </w:tc>
        <w:tc>
          <w:tcPr>
            <w:tcW w:w="1263" w:type="dxa"/>
          </w:tcPr>
          <w:p w14:paraId="29BFC7E0" w14:textId="14E93BAA" w:rsidR="00BF2506" w:rsidRPr="0098243A" w:rsidRDefault="00AD29F0" w:rsidP="007B7543">
            <w:pPr>
              <w:jc w:val="center"/>
              <w:rPr>
                <w:rFonts w:cstheme="minorHAnsi"/>
                <w:sz w:val="20"/>
                <w:szCs w:val="20"/>
              </w:rPr>
            </w:pPr>
            <w:r w:rsidRPr="0098243A">
              <w:rPr>
                <w:rFonts w:cstheme="minorHAnsi"/>
                <w:sz w:val="20"/>
                <w:szCs w:val="20"/>
              </w:rPr>
              <w:t>5 days</w:t>
            </w:r>
          </w:p>
        </w:tc>
      </w:tr>
      <w:tr w:rsidR="00AD29F0" w:rsidRPr="00282BCD" w14:paraId="252E6628" w14:textId="77777777" w:rsidTr="00AD29F0">
        <w:trPr>
          <w:jc w:val="center"/>
        </w:trPr>
        <w:tc>
          <w:tcPr>
            <w:tcW w:w="4288" w:type="dxa"/>
            <w:shd w:val="clear" w:color="auto" w:fill="D9D9D9" w:themeFill="background1" w:themeFillShade="D9"/>
          </w:tcPr>
          <w:p w14:paraId="0FEA262C" w14:textId="77777777" w:rsidR="00BF2506" w:rsidRPr="0098243A" w:rsidRDefault="00BF2506" w:rsidP="00AC0DEF">
            <w:pPr>
              <w:spacing w:line="276" w:lineRule="auto"/>
              <w:jc w:val="center"/>
              <w:rPr>
                <w:rFonts w:cstheme="minorHAnsi"/>
                <w:b/>
                <w:bCs/>
                <w:sz w:val="20"/>
                <w:szCs w:val="20"/>
              </w:rPr>
            </w:pPr>
            <w:r w:rsidRPr="0098243A">
              <w:rPr>
                <w:rFonts w:cstheme="minorHAnsi"/>
                <w:b/>
                <w:bCs/>
                <w:sz w:val="20"/>
                <w:szCs w:val="20"/>
              </w:rPr>
              <w:t xml:space="preserve">Total </w:t>
            </w:r>
          </w:p>
        </w:tc>
        <w:tc>
          <w:tcPr>
            <w:tcW w:w="1913" w:type="dxa"/>
            <w:shd w:val="clear" w:color="auto" w:fill="D9D9D9" w:themeFill="background1" w:themeFillShade="D9"/>
          </w:tcPr>
          <w:p w14:paraId="24C7291F" w14:textId="77777777" w:rsidR="00BF2506" w:rsidRPr="0098243A" w:rsidRDefault="00BF2506" w:rsidP="00AC0DEF">
            <w:pPr>
              <w:spacing w:line="276" w:lineRule="auto"/>
              <w:jc w:val="center"/>
              <w:rPr>
                <w:rFonts w:cstheme="minorHAnsi"/>
                <w:b/>
                <w:sz w:val="20"/>
                <w:szCs w:val="20"/>
              </w:rPr>
            </w:pPr>
          </w:p>
        </w:tc>
        <w:tc>
          <w:tcPr>
            <w:tcW w:w="2312" w:type="dxa"/>
            <w:shd w:val="clear" w:color="auto" w:fill="D9D9D9" w:themeFill="background1" w:themeFillShade="D9"/>
          </w:tcPr>
          <w:p w14:paraId="07815A84" w14:textId="77777777" w:rsidR="00BF2506" w:rsidRPr="0098243A" w:rsidRDefault="00BF2506" w:rsidP="00AC0DEF">
            <w:pPr>
              <w:spacing w:line="276" w:lineRule="auto"/>
              <w:jc w:val="center"/>
              <w:rPr>
                <w:rFonts w:cstheme="minorHAnsi"/>
                <w:b/>
                <w:sz w:val="20"/>
                <w:szCs w:val="20"/>
              </w:rPr>
            </w:pPr>
          </w:p>
        </w:tc>
        <w:tc>
          <w:tcPr>
            <w:tcW w:w="1263" w:type="dxa"/>
            <w:shd w:val="clear" w:color="auto" w:fill="D9D9D9" w:themeFill="background1" w:themeFillShade="D9"/>
          </w:tcPr>
          <w:p w14:paraId="087A1BAD" w14:textId="4C904F20" w:rsidR="00BF2506" w:rsidRPr="0098243A" w:rsidRDefault="00AD29F0" w:rsidP="00AC0DEF">
            <w:pPr>
              <w:spacing w:line="276" w:lineRule="auto"/>
              <w:jc w:val="center"/>
              <w:rPr>
                <w:rFonts w:cstheme="minorHAnsi"/>
                <w:b/>
                <w:bCs/>
                <w:sz w:val="20"/>
                <w:szCs w:val="20"/>
              </w:rPr>
            </w:pPr>
            <w:r w:rsidRPr="0098243A">
              <w:rPr>
                <w:rFonts w:cstheme="minorHAnsi"/>
                <w:b/>
                <w:bCs/>
                <w:sz w:val="20"/>
                <w:szCs w:val="20"/>
              </w:rPr>
              <w:t>70 days</w:t>
            </w:r>
          </w:p>
        </w:tc>
      </w:tr>
    </w:tbl>
    <w:p w14:paraId="0011CEB2" w14:textId="77777777" w:rsidR="00AC0DEF" w:rsidRPr="00282BCD" w:rsidRDefault="00AC0DEF" w:rsidP="003A7507">
      <w:pPr>
        <w:rPr>
          <w:rFonts w:asciiTheme="minorHAnsi" w:hAnsiTheme="minorHAnsi" w:cstheme="minorHAnsi"/>
          <w:b/>
          <w:sz w:val="22"/>
          <w:szCs w:val="22"/>
          <w:u w:val="single"/>
        </w:rPr>
      </w:pPr>
    </w:p>
    <w:p w14:paraId="149B0105" w14:textId="77777777" w:rsidR="003A0700" w:rsidRPr="00282BCD" w:rsidRDefault="003A0700" w:rsidP="001D27F6">
      <w:pPr>
        <w:rPr>
          <w:rFonts w:asciiTheme="minorHAnsi" w:hAnsiTheme="minorHAnsi" w:cstheme="minorHAnsi"/>
          <w:sz w:val="22"/>
          <w:szCs w:val="22"/>
        </w:rPr>
      </w:pPr>
    </w:p>
    <w:p w14:paraId="1982EB1F" w14:textId="77777777" w:rsidR="001D27F6" w:rsidRPr="00282BCD" w:rsidRDefault="0047117E" w:rsidP="007F5618">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Required expertise and profile</w:t>
      </w:r>
    </w:p>
    <w:p w14:paraId="4E82B09E" w14:textId="77777777" w:rsidR="001441C8" w:rsidRPr="00282BCD" w:rsidRDefault="001441C8" w:rsidP="00C85939">
      <w:pPr>
        <w:ind w:left="540"/>
        <w:jc w:val="both"/>
        <w:rPr>
          <w:rFonts w:asciiTheme="minorHAnsi" w:eastAsia="Arial Unicode MS" w:hAnsiTheme="minorHAnsi" w:cstheme="minorHAnsi"/>
          <w:b/>
          <w:sz w:val="22"/>
          <w:szCs w:val="22"/>
        </w:rPr>
      </w:pPr>
    </w:p>
    <w:p w14:paraId="06BE8B9F" w14:textId="0573EC54" w:rsidR="003A7185" w:rsidRPr="00282BCD" w:rsidRDefault="00B66BE6" w:rsidP="007F5618">
      <w:pPr>
        <w:numPr>
          <w:ilvl w:val="1"/>
          <w:numId w:val="2"/>
        </w:numPr>
        <w:tabs>
          <w:tab w:val="clear" w:pos="1440"/>
          <w:tab w:val="num" w:pos="900"/>
        </w:tabs>
        <w:ind w:left="900"/>
        <w:jc w:val="both"/>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Number of experts per assignment:</w:t>
      </w:r>
      <w:r w:rsidRPr="00282BCD">
        <w:rPr>
          <w:rFonts w:asciiTheme="minorHAnsi" w:eastAsia="Arial Unicode MS" w:hAnsiTheme="minorHAnsi" w:cstheme="minorHAnsi"/>
          <w:sz w:val="22"/>
          <w:szCs w:val="22"/>
        </w:rPr>
        <w:t xml:space="preserve"> </w:t>
      </w:r>
      <w:r w:rsidR="00BF2506">
        <w:rPr>
          <w:rFonts w:asciiTheme="minorHAnsi" w:eastAsia="Arial Unicode MS" w:hAnsiTheme="minorHAnsi" w:cstheme="minorHAnsi"/>
          <w:sz w:val="22"/>
          <w:szCs w:val="22"/>
        </w:rPr>
        <w:t>1</w:t>
      </w:r>
      <w:r w:rsidR="00AD29F0">
        <w:rPr>
          <w:rFonts w:asciiTheme="minorHAnsi" w:eastAsia="Arial Unicode MS" w:hAnsiTheme="minorHAnsi" w:cstheme="minorHAnsi"/>
          <w:sz w:val="22"/>
          <w:szCs w:val="22"/>
        </w:rPr>
        <w:t xml:space="preserve"> senior expert</w:t>
      </w:r>
    </w:p>
    <w:p w14:paraId="56FF0DA7" w14:textId="77777777" w:rsidR="003A7185" w:rsidRPr="00282BCD" w:rsidRDefault="003A7185" w:rsidP="00C85939">
      <w:pPr>
        <w:jc w:val="both"/>
        <w:rPr>
          <w:rFonts w:asciiTheme="minorHAnsi" w:eastAsia="Arial Unicode MS" w:hAnsiTheme="minorHAnsi" w:cstheme="minorHAnsi"/>
          <w:b/>
          <w:sz w:val="22"/>
          <w:szCs w:val="22"/>
        </w:rPr>
      </w:pPr>
    </w:p>
    <w:p w14:paraId="11BBB708" w14:textId="5C93AD8B" w:rsidR="003A7185" w:rsidRPr="00282BCD" w:rsidRDefault="00B66BE6" w:rsidP="007F5618">
      <w:pPr>
        <w:numPr>
          <w:ilvl w:val="1"/>
          <w:numId w:val="2"/>
        </w:numPr>
        <w:tabs>
          <w:tab w:val="clear" w:pos="1440"/>
          <w:tab w:val="num" w:pos="900"/>
        </w:tabs>
        <w:ind w:left="900"/>
        <w:jc w:val="both"/>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Profile of the designated expert(s) responsible for contract execution</w:t>
      </w:r>
    </w:p>
    <w:p w14:paraId="69696EF1" w14:textId="77777777" w:rsidR="003A7185" w:rsidRPr="00282BCD" w:rsidRDefault="003A7185" w:rsidP="00C85939">
      <w:pPr>
        <w:jc w:val="both"/>
        <w:rPr>
          <w:rFonts w:asciiTheme="minorHAnsi" w:hAnsiTheme="minorHAnsi" w:cstheme="minorHAnsi"/>
          <w:sz w:val="22"/>
          <w:szCs w:val="22"/>
          <w:u w:val="single"/>
        </w:rPr>
      </w:pPr>
    </w:p>
    <w:p w14:paraId="3A1970AA" w14:textId="77777777" w:rsidR="009236DE" w:rsidRPr="00282BCD" w:rsidRDefault="009236DE" w:rsidP="007F5618">
      <w:pPr>
        <w:numPr>
          <w:ilvl w:val="0"/>
          <w:numId w:val="4"/>
        </w:numPr>
        <w:tabs>
          <w:tab w:val="num" w:pos="720"/>
        </w:tabs>
        <w:jc w:val="both"/>
        <w:rPr>
          <w:rFonts w:asciiTheme="minorHAnsi" w:hAnsiTheme="minorHAnsi" w:cstheme="minorHAnsi"/>
          <w:iCs/>
          <w:sz w:val="22"/>
          <w:szCs w:val="22"/>
          <w:u w:val="single"/>
        </w:rPr>
      </w:pPr>
      <w:r w:rsidRPr="00282BCD">
        <w:rPr>
          <w:rFonts w:asciiTheme="minorHAnsi" w:hAnsiTheme="minorHAnsi" w:cstheme="minorHAnsi"/>
          <w:sz w:val="22"/>
          <w:szCs w:val="22"/>
          <w:u w:val="single"/>
        </w:rPr>
        <w:t>Qualifications and skills:</w:t>
      </w:r>
    </w:p>
    <w:p w14:paraId="51DDC810" w14:textId="77777777" w:rsidR="00AD29F0" w:rsidRDefault="009236DE" w:rsidP="00AD29F0">
      <w:pPr>
        <w:numPr>
          <w:ilvl w:val="0"/>
          <w:numId w:val="1"/>
        </w:numPr>
        <w:jc w:val="both"/>
        <w:rPr>
          <w:rFonts w:asciiTheme="minorHAnsi" w:hAnsiTheme="minorHAnsi" w:cstheme="minorHAnsi"/>
          <w:sz w:val="22"/>
          <w:szCs w:val="22"/>
        </w:rPr>
      </w:pPr>
      <w:r w:rsidRPr="00AD29F0">
        <w:rPr>
          <w:rFonts w:asciiTheme="minorHAnsi" w:hAnsiTheme="minorHAnsi" w:cstheme="minorHAnsi"/>
          <w:sz w:val="22"/>
          <w:szCs w:val="22"/>
        </w:rPr>
        <w:t xml:space="preserve">Holder of a postgraduate university degree in </w:t>
      </w:r>
      <w:r w:rsidR="00AD29F0" w:rsidRPr="00AD29F0">
        <w:rPr>
          <w:rFonts w:asciiTheme="minorHAnsi" w:hAnsiTheme="minorHAnsi" w:cstheme="minorHAnsi"/>
          <w:sz w:val="22"/>
          <w:szCs w:val="22"/>
        </w:rPr>
        <w:t>education policy, labour economics, public administration, or a related field.</w:t>
      </w:r>
    </w:p>
    <w:p w14:paraId="18B4B186" w14:textId="23D079CA" w:rsidR="00AD29F0" w:rsidRDefault="00AD29F0" w:rsidP="00AD29F0">
      <w:pPr>
        <w:numPr>
          <w:ilvl w:val="0"/>
          <w:numId w:val="1"/>
        </w:numPr>
        <w:jc w:val="both"/>
        <w:rPr>
          <w:rFonts w:asciiTheme="minorHAnsi" w:hAnsiTheme="minorHAnsi" w:cstheme="minorHAnsi"/>
          <w:sz w:val="22"/>
          <w:szCs w:val="22"/>
        </w:rPr>
      </w:pPr>
      <w:r w:rsidRPr="00AD29F0">
        <w:rPr>
          <w:rFonts w:asciiTheme="minorHAnsi" w:hAnsiTheme="minorHAnsi" w:cstheme="minorHAnsi"/>
          <w:sz w:val="22"/>
          <w:szCs w:val="22"/>
        </w:rPr>
        <w:t xml:space="preserve">Demonstrated expertise in </w:t>
      </w:r>
      <w:r w:rsidR="007F60F3">
        <w:rPr>
          <w:rFonts w:asciiTheme="minorHAnsi" w:hAnsiTheme="minorHAnsi" w:cstheme="minorHAnsi"/>
          <w:sz w:val="22"/>
          <w:szCs w:val="22"/>
        </w:rPr>
        <w:t>TVET policy design and labour market reforms.</w:t>
      </w:r>
    </w:p>
    <w:p w14:paraId="3C42FB92" w14:textId="3523C8B1" w:rsidR="00AD29F0" w:rsidRPr="00AD29F0" w:rsidRDefault="00AD29F0" w:rsidP="00AD29F0">
      <w:pPr>
        <w:pStyle w:val="Paragraphedeliste"/>
        <w:numPr>
          <w:ilvl w:val="0"/>
          <w:numId w:val="1"/>
        </w:numPr>
        <w:spacing w:before="100" w:beforeAutospacing="1" w:after="100" w:afterAutospacing="1"/>
        <w:rPr>
          <w:rFonts w:asciiTheme="minorHAnsi" w:hAnsiTheme="minorHAnsi" w:cstheme="minorHAnsi"/>
          <w:sz w:val="22"/>
          <w:szCs w:val="22"/>
        </w:rPr>
      </w:pPr>
      <w:r w:rsidRPr="00AD29F0">
        <w:rPr>
          <w:rFonts w:asciiTheme="minorHAnsi" w:hAnsiTheme="minorHAnsi" w:cstheme="minorHAnsi"/>
          <w:sz w:val="22"/>
          <w:szCs w:val="22"/>
        </w:rPr>
        <w:t>Strong facilitation, communication, and analytical skills.</w:t>
      </w:r>
    </w:p>
    <w:p w14:paraId="70B9E4EE" w14:textId="26286AF7" w:rsidR="00AD29F0" w:rsidRPr="00AD29F0" w:rsidRDefault="00AD29F0" w:rsidP="00AD29F0">
      <w:pPr>
        <w:pStyle w:val="Paragraphedeliste"/>
        <w:numPr>
          <w:ilvl w:val="0"/>
          <w:numId w:val="1"/>
        </w:numPr>
        <w:spacing w:before="100" w:beforeAutospacing="1" w:after="100" w:afterAutospacing="1"/>
        <w:rPr>
          <w:rFonts w:asciiTheme="minorHAnsi" w:hAnsiTheme="minorHAnsi" w:cstheme="minorHAnsi"/>
          <w:sz w:val="22"/>
          <w:szCs w:val="22"/>
        </w:rPr>
      </w:pPr>
      <w:r w:rsidRPr="00AD29F0">
        <w:rPr>
          <w:rFonts w:asciiTheme="minorHAnsi" w:hAnsiTheme="minorHAnsi" w:cstheme="minorHAnsi"/>
          <w:sz w:val="22"/>
          <w:szCs w:val="22"/>
        </w:rPr>
        <w:t xml:space="preserve">Proven experience in </w:t>
      </w:r>
      <w:r w:rsidR="001778FD">
        <w:rPr>
          <w:rFonts w:asciiTheme="minorHAnsi" w:hAnsiTheme="minorHAnsi" w:cstheme="minorHAnsi"/>
          <w:sz w:val="22"/>
          <w:szCs w:val="22"/>
        </w:rPr>
        <w:t xml:space="preserve">TVET </w:t>
      </w:r>
      <w:r w:rsidRPr="00AD29F0">
        <w:rPr>
          <w:rFonts w:asciiTheme="minorHAnsi" w:hAnsiTheme="minorHAnsi" w:cstheme="minorHAnsi"/>
          <w:sz w:val="22"/>
          <w:szCs w:val="22"/>
        </w:rPr>
        <w:t>institutional capacity building and regulatory analysis</w:t>
      </w:r>
      <w:r w:rsidR="00E854FF">
        <w:rPr>
          <w:rFonts w:asciiTheme="minorHAnsi" w:hAnsiTheme="minorHAnsi" w:cstheme="minorHAnsi"/>
          <w:sz w:val="22"/>
          <w:szCs w:val="22"/>
        </w:rPr>
        <w:t>,</w:t>
      </w:r>
      <w:r w:rsidR="00A26A8E">
        <w:rPr>
          <w:rFonts w:asciiTheme="minorHAnsi" w:hAnsiTheme="minorHAnsi" w:cstheme="minorHAnsi"/>
          <w:sz w:val="22"/>
          <w:szCs w:val="22"/>
        </w:rPr>
        <w:t xml:space="preserve"> and dual-education systems</w:t>
      </w:r>
      <w:r w:rsidRPr="00AD29F0">
        <w:rPr>
          <w:rFonts w:asciiTheme="minorHAnsi" w:hAnsiTheme="minorHAnsi" w:cstheme="minorHAnsi"/>
          <w:sz w:val="22"/>
          <w:szCs w:val="22"/>
        </w:rPr>
        <w:t>.</w:t>
      </w:r>
    </w:p>
    <w:p w14:paraId="0CEFDF66" w14:textId="6EEC9D8F" w:rsidR="000B7D24" w:rsidRPr="00E854FF" w:rsidRDefault="00AD29F0" w:rsidP="00E854FF">
      <w:pPr>
        <w:pStyle w:val="Paragraphedeliste"/>
        <w:numPr>
          <w:ilvl w:val="0"/>
          <w:numId w:val="1"/>
        </w:numPr>
        <w:spacing w:before="100" w:beforeAutospacing="1" w:after="100" w:afterAutospacing="1"/>
        <w:rPr>
          <w:rFonts w:asciiTheme="minorHAnsi" w:hAnsiTheme="minorHAnsi" w:cstheme="minorHAnsi"/>
          <w:sz w:val="22"/>
          <w:szCs w:val="22"/>
        </w:rPr>
      </w:pPr>
      <w:r w:rsidRPr="00AD29F0">
        <w:rPr>
          <w:rFonts w:asciiTheme="minorHAnsi" w:hAnsiTheme="minorHAnsi" w:cstheme="minorHAnsi"/>
          <w:sz w:val="22"/>
          <w:szCs w:val="22"/>
        </w:rPr>
        <w:t xml:space="preserve">Fluency in English is required; </w:t>
      </w:r>
      <w:r w:rsidRPr="00AD29F0">
        <w:rPr>
          <w:rFonts w:asciiTheme="minorHAnsi" w:hAnsiTheme="minorHAnsi" w:cstheme="minorHAnsi"/>
          <w:b/>
          <w:bCs/>
          <w:sz w:val="22"/>
          <w:szCs w:val="22"/>
        </w:rPr>
        <w:t>Arabic language proficiency is strongly preferred</w:t>
      </w:r>
      <w:r w:rsidRPr="00AD29F0">
        <w:rPr>
          <w:rFonts w:asciiTheme="minorHAnsi" w:hAnsiTheme="minorHAnsi" w:cstheme="minorHAnsi"/>
          <w:sz w:val="22"/>
          <w:szCs w:val="22"/>
        </w:rPr>
        <w:t>.</w:t>
      </w:r>
    </w:p>
    <w:p w14:paraId="207755A1" w14:textId="77777777" w:rsidR="009236DE" w:rsidRPr="00282BCD" w:rsidRDefault="009236DE" w:rsidP="007F5618">
      <w:pPr>
        <w:numPr>
          <w:ilvl w:val="0"/>
          <w:numId w:val="4"/>
        </w:numPr>
        <w:tabs>
          <w:tab w:val="num" w:pos="720"/>
        </w:tabs>
        <w:jc w:val="both"/>
        <w:rPr>
          <w:rFonts w:asciiTheme="minorHAnsi" w:hAnsiTheme="minorHAnsi" w:cstheme="minorHAnsi"/>
          <w:iCs/>
          <w:sz w:val="22"/>
          <w:szCs w:val="22"/>
          <w:u w:val="single"/>
        </w:rPr>
      </w:pPr>
      <w:r w:rsidRPr="00282BCD">
        <w:rPr>
          <w:rFonts w:asciiTheme="minorHAnsi" w:hAnsiTheme="minorHAnsi" w:cstheme="minorHAnsi"/>
          <w:sz w:val="22"/>
          <w:szCs w:val="22"/>
          <w:u w:val="single"/>
        </w:rPr>
        <w:t>General professional experience</w:t>
      </w:r>
    </w:p>
    <w:p w14:paraId="321D25B3" w14:textId="75097B0A" w:rsidR="00EC1623" w:rsidRPr="00EC1623" w:rsidRDefault="00EC1623" w:rsidP="00EC1623">
      <w:pPr>
        <w:pStyle w:val="Paragraphedeliste"/>
        <w:numPr>
          <w:ilvl w:val="0"/>
          <w:numId w:val="1"/>
        </w:numPr>
        <w:spacing w:before="100" w:beforeAutospacing="1" w:after="100" w:afterAutospacing="1"/>
        <w:rPr>
          <w:rFonts w:asciiTheme="minorHAnsi" w:hAnsiTheme="minorHAnsi" w:cstheme="minorHAnsi"/>
          <w:sz w:val="22"/>
          <w:szCs w:val="22"/>
        </w:rPr>
      </w:pPr>
      <w:r w:rsidRPr="00EC1623">
        <w:rPr>
          <w:rFonts w:asciiTheme="minorHAnsi" w:hAnsiTheme="minorHAnsi" w:cstheme="minorHAnsi"/>
          <w:sz w:val="22"/>
          <w:szCs w:val="22"/>
        </w:rPr>
        <w:t xml:space="preserve">Minimum of 7 years’ professional experience in </w:t>
      </w:r>
      <w:r w:rsidR="00A26A8E">
        <w:rPr>
          <w:rFonts w:asciiTheme="minorHAnsi" w:hAnsiTheme="minorHAnsi" w:cstheme="minorHAnsi"/>
          <w:sz w:val="22"/>
          <w:szCs w:val="22"/>
        </w:rPr>
        <w:t>TVET</w:t>
      </w:r>
      <w:r w:rsidRPr="00EC1623">
        <w:rPr>
          <w:rFonts w:asciiTheme="minorHAnsi" w:hAnsiTheme="minorHAnsi" w:cstheme="minorHAnsi"/>
          <w:sz w:val="22"/>
          <w:szCs w:val="22"/>
        </w:rPr>
        <w:t xml:space="preserve"> </w:t>
      </w:r>
      <w:r w:rsidR="00A26A8E">
        <w:rPr>
          <w:rFonts w:asciiTheme="minorHAnsi" w:hAnsiTheme="minorHAnsi" w:cstheme="minorHAnsi"/>
          <w:sz w:val="22"/>
          <w:szCs w:val="22"/>
        </w:rPr>
        <w:t>strategies,</w:t>
      </w:r>
      <w:r w:rsidRPr="00EC1623">
        <w:rPr>
          <w:rFonts w:asciiTheme="minorHAnsi" w:hAnsiTheme="minorHAnsi" w:cstheme="minorHAnsi"/>
          <w:sz w:val="22"/>
          <w:szCs w:val="22"/>
        </w:rPr>
        <w:t xml:space="preserve"> </w:t>
      </w:r>
      <w:r w:rsidR="00A26A8E">
        <w:rPr>
          <w:rFonts w:asciiTheme="minorHAnsi" w:hAnsiTheme="minorHAnsi" w:cstheme="minorHAnsi"/>
          <w:sz w:val="22"/>
          <w:szCs w:val="22"/>
        </w:rPr>
        <w:t>particularly in education-employment linkages</w:t>
      </w:r>
      <w:r w:rsidRPr="00EC1623">
        <w:rPr>
          <w:rFonts w:asciiTheme="minorHAnsi" w:hAnsiTheme="minorHAnsi" w:cstheme="minorHAnsi"/>
          <w:sz w:val="22"/>
          <w:szCs w:val="22"/>
        </w:rPr>
        <w:t>.</w:t>
      </w:r>
    </w:p>
    <w:p w14:paraId="13339C22" w14:textId="145E84F3" w:rsidR="009236DE" w:rsidRPr="00E854FF" w:rsidRDefault="00EC1623" w:rsidP="001778FD">
      <w:pPr>
        <w:pStyle w:val="Paragraphedeliste"/>
        <w:numPr>
          <w:ilvl w:val="0"/>
          <w:numId w:val="1"/>
        </w:numPr>
        <w:spacing w:before="100" w:beforeAutospacing="1" w:after="100" w:afterAutospacing="1"/>
        <w:rPr>
          <w:rFonts w:asciiTheme="minorHAnsi" w:hAnsiTheme="minorHAnsi" w:cstheme="minorHAnsi"/>
          <w:sz w:val="22"/>
          <w:szCs w:val="22"/>
        </w:rPr>
      </w:pPr>
      <w:r w:rsidRPr="00E854FF">
        <w:rPr>
          <w:rFonts w:asciiTheme="minorHAnsi" w:hAnsiTheme="minorHAnsi" w:cstheme="minorHAnsi"/>
          <w:sz w:val="22"/>
          <w:szCs w:val="22"/>
        </w:rPr>
        <w:t xml:space="preserve">Experience delivering training and technical assistance to government or </w:t>
      </w:r>
      <w:r w:rsidR="00E854FF">
        <w:rPr>
          <w:rFonts w:asciiTheme="minorHAnsi" w:hAnsiTheme="minorHAnsi" w:cstheme="minorHAnsi"/>
          <w:sz w:val="22"/>
          <w:szCs w:val="22"/>
        </w:rPr>
        <w:t>educational institutions</w:t>
      </w:r>
      <w:r w:rsidRPr="00E854FF">
        <w:rPr>
          <w:rFonts w:asciiTheme="minorHAnsi" w:hAnsiTheme="minorHAnsi" w:cstheme="minorHAnsi"/>
          <w:sz w:val="22"/>
          <w:szCs w:val="22"/>
        </w:rPr>
        <w:t>.</w:t>
      </w:r>
    </w:p>
    <w:p w14:paraId="3DF98ADC" w14:textId="77777777" w:rsidR="009236DE" w:rsidRPr="00282BCD" w:rsidRDefault="009236DE" w:rsidP="007F5618">
      <w:pPr>
        <w:numPr>
          <w:ilvl w:val="0"/>
          <w:numId w:val="4"/>
        </w:numPr>
        <w:tabs>
          <w:tab w:val="num" w:pos="720"/>
        </w:tabs>
        <w:jc w:val="both"/>
        <w:rPr>
          <w:rFonts w:asciiTheme="minorHAnsi" w:hAnsiTheme="minorHAnsi" w:cstheme="minorHAnsi"/>
          <w:iCs/>
          <w:sz w:val="22"/>
          <w:szCs w:val="22"/>
          <w:u w:val="single"/>
        </w:rPr>
      </w:pPr>
      <w:r w:rsidRPr="00282BCD">
        <w:rPr>
          <w:rFonts w:asciiTheme="minorHAnsi" w:hAnsiTheme="minorHAnsi" w:cstheme="minorHAnsi"/>
          <w:sz w:val="22"/>
          <w:szCs w:val="22"/>
          <w:u w:val="single"/>
        </w:rPr>
        <w:t>Specific professional experience</w:t>
      </w:r>
    </w:p>
    <w:p w14:paraId="18697C81" w14:textId="77777777" w:rsidR="00EC1623" w:rsidRDefault="00EC1623" w:rsidP="00EC1623">
      <w:pPr>
        <w:numPr>
          <w:ilvl w:val="0"/>
          <w:numId w:val="1"/>
        </w:numPr>
        <w:jc w:val="both"/>
        <w:rPr>
          <w:rFonts w:asciiTheme="minorHAnsi" w:hAnsiTheme="minorHAnsi" w:cstheme="minorHAnsi"/>
          <w:sz w:val="22"/>
          <w:szCs w:val="22"/>
        </w:rPr>
      </w:pPr>
      <w:r w:rsidRPr="00EC1623">
        <w:rPr>
          <w:rFonts w:asciiTheme="minorHAnsi" w:hAnsiTheme="minorHAnsi" w:cstheme="minorHAnsi"/>
          <w:sz w:val="22"/>
          <w:szCs w:val="22"/>
        </w:rPr>
        <w:t>Proven experience conducting legal and regulatory analysis in education or employment sectors.</w:t>
      </w:r>
    </w:p>
    <w:p w14:paraId="4CB1B0BA" w14:textId="04FAE368" w:rsidR="00EC1623" w:rsidRDefault="00EC1623" w:rsidP="00EC1623">
      <w:pPr>
        <w:numPr>
          <w:ilvl w:val="0"/>
          <w:numId w:val="1"/>
        </w:numPr>
        <w:jc w:val="both"/>
        <w:rPr>
          <w:rFonts w:asciiTheme="minorHAnsi" w:hAnsiTheme="minorHAnsi" w:cstheme="minorHAnsi"/>
          <w:sz w:val="22"/>
          <w:szCs w:val="22"/>
        </w:rPr>
      </w:pPr>
      <w:r w:rsidRPr="00EC1623">
        <w:rPr>
          <w:rFonts w:asciiTheme="minorHAnsi" w:hAnsiTheme="minorHAnsi" w:cstheme="minorHAnsi"/>
          <w:sz w:val="22"/>
          <w:szCs w:val="22"/>
        </w:rPr>
        <w:t xml:space="preserve">Direct involvement in developing national strategies, particularly in </w:t>
      </w:r>
      <w:r w:rsidR="00CF79E2">
        <w:rPr>
          <w:rFonts w:asciiTheme="minorHAnsi" w:hAnsiTheme="minorHAnsi" w:cstheme="minorHAnsi"/>
          <w:sz w:val="22"/>
          <w:szCs w:val="22"/>
        </w:rPr>
        <w:t>education-to-employment</w:t>
      </w:r>
      <w:r w:rsidRPr="00EC1623">
        <w:rPr>
          <w:rFonts w:asciiTheme="minorHAnsi" w:hAnsiTheme="minorHAnsi" w:cstheme="minorHAnsi"/>
          <w:sz w:val="22"/>
          <w:szCs w:val="22"/>
        </w:rPr>
        <w:t xml:space="preserve"> </w:t>
      </w:r>
      <w:r w:rsidR="00CF79E2">
        <w:rPr>
          <w:rFonts w:asciiTheme="minorHAnsi" w:hAnsiTheme="minorHAnsi" w:cstheme="minorHAnsi"/>
          <w:sz w:val="22"/>
          <w:szCs w:val="22"/>
        </w:rPr>
        <w:t>methodology</w:t>
      </w:r>
      <w:r w:rsidRPr="00EC1623">
        <w:rPr>
          <w:rFonts w:asciiTheme="minorHAnsi" w:hAnsiTheme="minorHAnsi" w:cstheme="minorHAnsi"/>
          <w:sz w:val="22"/>
          <w:szCs w:val="22"/>
        </w:rPr>
        <w:t>.</w:t>
      </w:r>
    </w:p>
    <w:p w14:paraId="17E8355A" w14:textId="23FAB5DA" w:rsidR="004648A3" w:rsidRPr="00EC1623" w:rsidRDefault="004648A3" w:rsidP="00EC1623">
      <w:pPr>
        <w:numPr>
          <w:ilvl w:val="0"/>
          <w:numId w:val="1"/>
        </w:numPr>
        <w:jc w:val="both"/>
        <w:rPr>
          <w:rFonts w:asciiTheme="minorHAnsi" w:hAnsiTheme="minorHAnsi" w:cstheme="minorHAnsi"/>
          <w:sz w:val="22"/>
          <w:szCs w:val="22"/>
        </w:rPr>
      </w:pPr>
      <w:r>
        <w:rPr>
          <w:rFonts w:asciiTheme="minorHAnsi" w:hAnsiTheme="minorHAnsi" w:cstheme="minorHAnsi"/>
          <w:sz w:val="22"/>
          <w:szCs w:val="22"/>
        </w:rPr>
        <w:t>Familiarity with dual</w:t>
      </w:r>
      <w:r w:rsidR="00CF79E2">
        <w:rPr>
          <w:rFonts w:asciiTheme="minorHAnsi" w:hAnsiTheme="minorHAnsi" w:cstheme="minorHAnsi"/>
          <w:sz w:val="22"/>
          <w:szCs w:val="22"/>
        </w:rPr>
        <w:t xml:space="preserve"> </w:t>
      </w:r>
      <w:r>
        <w:rPr>
          <w:rFonts w:asciiTheme="minorHAnsi" w:hAnsiTheme="minorHAnsi" w:cstheme="minorHAnsi"/>
          <w:sz w:val="22"/>
          <w:szCs w:val="22"/>
        </w:rPr>
        <w:t xml:space="preserve">education, apprenticeship systems, and labour </w:t>
      </w:r>
      <w:r w:rsidR="000246F8">
        <w:rPr>
          <w:rFonts w:asciiTheme="minorHAnsi" w:hAnsiTheme="minorHAnsi" w:cstheme="minorHAnsi"/>
          <w:sz w:val="22"/>
          <w:szCs w:val="22"/>
        </w:rPr>
        <w:t>market-responsive</w:t>
      </w:r>
      <w:r>
        <w:rPr>
          <w:rFonts w:asciiTheme="minorHAnsi" w:hAnsiTheme="minorHAnsi" w:cstheme="minorHAnsi"/>
          <w:sz w:val="22"/>
          <w:szCs w:val="22"/>
        </w:rPr>
        <w:t xml:space="preserve"> training programmes.</w:t>
      </w:r>
    </w:p>
    <w:p w14:paraId="0CDDF696" w14:textId="77777777" w:rsidR="00934199" w:rsidRPr="00282BCD" w:rsidRDefault="00934199" w:rsidP="00E167A2">
      <w:pPr>
        <w:rPr>
          <w:rFonts w:asciiTheme="minorHAnsi" w:hAnsiTheme="minorHAnsi" w:cstheme="minorHAnsi"/>
          <w:sz w:val="22"/>
          <w:szCs w:val="22"/>
        </w:rPr>
      </w:pPr>
    </w:p>
    <w:p w14:paraId="3A498321" w14:textId="77777777" w:rsidR="00E167A2" w:rsidRPr="00282BCD" w:rsidRDefault="00777EC5" w:rsidP="007F5618">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282BCD">
        <w:rPr>
          <w:rFonts w:asciiTheme="minorHAnsi" w:eastAsia="Arial Unicode MS" w:hAnsiTheme="minorHAnsi" w:cstheme="minorHAnsi"/>
          <w:b/>
          <w:bCs/>
          <w:sz w:val="22"/>
          <w:szCs w:val="22"/>
        </w:rPr>
        <w:t>Assignment reports</w:t>
      </w:r>
    </w:p>
    <w:p w14:paraId="31384A07" w14:textId="77777777" w:rsidR="00E167A2" w:rsidRPr="00282BCD" w:rsidRDefault="00E167A2" w:rsidP="00E167A2">
      <w:pPr>
        <w:jc w:val="both"/>
        <w:rPr>
          <w:rFonts w:asciiTheme="minorHAnsi" w:hAnsiTheme="minorHAnsi" w:cstheme="minorHAnsi"/>
          <w:sz w:val="22"/>
          <w:szCs w:val="22"/>
        </w:rPr>
      </w:pPr>
    </w:p>
    <w:p w14:paraId="52A52EF6" w14:textId="6FFD56FB" w:rsidR="00EC1623" w:rsidRPr="00EC1623" w:rsidRDefault="00EC1623" w:rsidP="00EC1623">
      <w:pPr>
        <w:jc w:val="both"/>
        <w:rPr>
          <w:rFonts w:asciiTheme="minorHAnsi" w:hAnsiTheme="minorHAnsi" w:cstheme="minorHAnsi"/>
          <w:sz w:val="22"/>
          <w:szCs w:val="22"/>
        </w:rPr>
      </w:pPr>
      <w:r w:rsidRPr="00EC1623">
        <w:rPr>
          <w:rFonts w:asciiTheme="minorHAnsi" w:hAnsiTheme="minorHAnsi" w:cstheme="minorHAnsi"/>
          <w:sz w:val="22"/>
          <w:szCs w:val="22"/>
        </w:rPr>
        <w:t>The expert shall submit the following reports</w:t>
      </w:r>
      <w:r>
        <w:rPr>
          <w:rFonts w:asciiTheme="minorHAnsi" w:hAnsiTheme="minorHAnsi" w:cstheme="minorHAnsi"/>
          <w:sz w:val="22"/>
          <w:szCs w:val="22"/>
        </w:rPr>
        <w:t xml:space="preserve"> by email</w:t>
      </w:r>
      <w:r w:rsidRPr="00EC1623">
        <w:rPr>
          <w:rFonts w:asciiTheme="minorHAnsi" w:hAnsiTheme="minorHAnsi" w:cstheme="minorHAnsi"/>
          <w:sz w:val="22"/>
          <w:szCs w:val="22"/>
        </w:rPr>
        <w:t xml:space="preserve"> in English:</w:t>
      </w:r>
    </w:p>
    <w:p w14:paraId="260786E9" w14:textId="7E15A296" w:rsidR="00EC1623" w:rsidRPr="00EC1623" w:rsidRDefault="00EC1623" w:rsidP="00EC1623">
      <w:pPr>
        <w:numPr>
          <w:ilvl w:val="0"/>
          <w:numId w:val="11"/>
        </w:numPr>
        <w:jc w:val="both"/>
        <w:rPr>
          <w:rFonts w:asciiTheme="minorHAnsi" w:hAnsiTheme="minorHAnsi" w:cstheme="minorHAnsi"/>
          <w:sz w:val="22"/>
          <w:szCs w:val="22"/>
        </w:rPr>
      </w:pPr>
      <w:r w:rsidRPr="00EC1623">
        <w:rPr>
          <w:rFonts w:asciiTheme="minorHAnsi" w:hAnsiTheme="minorHAnsi" w:cstheme="minorHAnsi"/>
          <w:b/>
          <w:bCs/>
          <w:sz w:val="22"/>
          <w:szCs w:val="22"/>
        </w:rPr>
        <w:t>Inception report</w:t>
      </w:r>
      <w:r>
        <w:rPr>
          <w:rFonts w:asciiTheme="minorHAnsi" w:hAnsiTheme="minorHAnsi" w:cstheme="minorHAnsi"/>
          <w:b/>
          <w:bCs/>
          <w:sz w:val="22"/>
          <w:szCs w:val="22"/>
        </w:rPr>
        <w:t>.</w:t>
      </w:r>
    </w:p>
    <w:p w14:paraId="09CF4F92" w14:textId="473958EF" w:rsidR="00EC1623" w:rsidRPr="00EC1623" w:rsidRDefault="00EC1623" w:rsidP="00EC1623">
      <w:pPr>
        <w:numPr>
          <w:ilvl w:val="0"/>
          <w:numId w:val="11"/>
        </w:numPr>
        <w:jc w:val="both"/>
        <w:rPr>
          <w:rFonts w:asciiTheme="minorHAnsi" w:hAnsiTheme="minorHAnsi" w:cstheme="minorHAnsi"/>
          <w:sz w:val="22"/>
          <w:szCs w:val="22"/>
        </w:rPr>
      </w:pPr>
      <w:r>
        <w:rPr>
          <w:rFonts w:asciiTheme="minorHAnsi" w:hAnsiTheme="minorHAnsi" w:cstheme="minorHAnsi"/>
          <w:b/>
          <w:bCs/>
          <w:sz w:val="22"/>
          <w:szCs w:val="22"/>
        </w:rPr>
        <w:t xml:space="preserve">A </w:t>
      </w:r>
      <w:r w:rsidRPr="00EC1623">
        <w:rPr>
          <w:rFonts w:asciiTheme="minorHAnsi" w:hAnsiTheme="minorHAnsi" w:cstheme="minorHAnsi"/>
          <w:b/>
          <w:bCs/>
          <w:sz w:val="22"/>
          <w:szCs w:val="22"/>
        </w:rPr>
        <w:t>Workshop</w:t>
      </w:r>
      <w:r>
        <w:rPr>
          <w:rFonts w:asciiTheme="minorHAnsi" w:hAnsiTheme="minorHAnsi" w:cstheme="minorHAnsi"/>
          <w:b/>
          <w:bCs/>
          <w:sz w:val="22"/>
          <w:szCs w:val="22"/>
        </w:rPr>
        <w:t xml:space="preserve"> Summary Report.</w:t>
      </w:r>
    </w:p>
    <w:p w14:paraId="70C13A5F" w14:textId="77777777" w:rsidR="00EC1623" w:rsidRDefault="00EC1623">
      <w:pPr>
        <w:numPr>
          <w:ilvl w:val="0"/>
          <w:numId w:val="11"/>
        </w:numPr>
        <w:jc w:val="both"/>
        <w:rPr>
          <w:rFonts w:asciiTheme="minorHAnsi" w:hAnsiTheme="minorHAnsi" w:cstheme="minorHAnsi"/>
          <w:sz w:val="22"/>
          <w:szCs w:val="22"/>
        </w:rPr>
      </w:pPr>
      <w:r w:rsidRPr="00EC1623">
        <w:rPr>
          <w:rFonts w:asciiTheme="minorHAnsi" w:hAnsiTheme="minorHAnsi" w:cstheme="minorHAnsi"/>
          <w:b/>
          <w:bCs/>
          <w:sz w:val="22"/>
          <w:szCs w:val="22"/>
        </w:rPr>
        <w:t>Final assignment report</w:t>
      </w:r>
      <w:r w:rsidRPr="00EC1623">
        <w:rPr>
          <w:rFonts w:asciiTheme="minorHAnsi" w:hAnsiTheme="minorHAnsi" w:cstheme="minorHAnsi"/>
          <w:sz w:val="22"/>
          <w:szCs w:val="22"/>
        </w:rPr>
        <w:t>.</w:t>
      </w:r>
    </w:p>
    <w:p w14:paraId="43F5599C" w14:textId="59587585" w:rsidR="004648A3" w:rsidRDefault="00EC1623" w:rsidP="00A55B78">
      <w:pPr>
        <w:jc w:val="both"/>
        <w:rPr>
          <w:rFonts w:asciiTheme="minorHAnsi" w:hAnsiTheme="minorHAnsi" w:cstheme="minorHAnsi"/>
          <w:sz w:val="22"/>
          <w:szCs w:val="22"/>
        </w:rPr>
      </w:pPr>
      <w:r w:rsidRPr="00EC1623">
        <w:rPr>
          <w:rFonts w:asciiTheme="minorHAnsi" w:hAnsiTheme="minorHAnsi" w:cstheme="minorHAnsi"/>
          <w:sz w:val="22"/>
          <w:szCs w:val="22"/>
        </w:rPr>
        <w:t xml:space="preserve">Reports must follow the format provided by Expertise France and be submitted in </w:t>
      </w:r>
      <w:r w:rsidR="00F625A2">
        <w:rPr>
          <w:rFonts w:asciiTheme="minorHAnsi" w:hAnsiTheme="minorHAnsi" w:cstheme="minorHAnsi"/>
          <w:sz w:val="22"/>
          <w:szCs w:val="22"/>
        </w:rPr>
        <w:t xml:space="preserve">an </w:t>
      </w:r>
      <w:r w:rsidRPr="00EC1623">
        <w:rPr>
          <w:rFonts w:asciiTheme="minorHAnsi" w:hAnsiTheme="minorHAnsi" w:cstheme="minorHAnsi"/>
          <w:sz w:val="22"/>
          <w:szCs w:val="22"/>
        </w:rPr>
        <w:t>editable digital format.</w:t>
      </w:r>
    </w:p>
    <w:p w14:paraId="65453E97" w14:textId="3E2EA4CB" w:rsidR="00CF79E2" w:rsidRPr="00CF79E2" w:rsidRDefault="00CF79E2" w:rsidP="00CF79E2">
      <w:pPr>
        <w:pStyle w:val="Paragraphedeliste"/>
        <w:numPr>
          <w:ilvl w:val="0"/>
          <w:numId w:val="2"/>
        </w:numPr>
        <w:shd w:val="clear" w:color="auto" w:fill="E6E6E6"/>
        <w:tabs>
          <w:tab w:val="clear" w:pos="720"/>
          <w:tab w:val="num" w:pos="142"/>
        </w:tabs>
        <w:ind w:left="142" w:hanging="142"/>
        <w:rPr>
          <w:rFonts w:asciiTheme="minorHAnsi" w:eastAsia="Arial Unicode MS" w:hAnsiTheme="minorHAnsi" w:cstheme="minorHAnsi"/>
          <w:b/>
          <w:sz w:val="22"/>
          <w:szCs w:val="22"/>
        </w:rPr>
      </w:pPr>
      <w:r w:rsidRPr="00CF79E2">
        <w:rPr>
          <w:rFonts w:asciiTheme="minorHAnsi" w:eastAsia="Arial Unicode MS" w:hAnsiTheme="minorHAnsi" w:cstheme="minorHAnsi"/>
          <w:b/>
          <w:bCs/>
          <w:sz w:val="22"/>
          <w:szCs w:val="22"/>
        </w:rPr>
        <w:t xml:space="preserve">Monitoring-evaluation </w:t>
      </w:r>
    </w:p>
    <w:p w14:paraId="52BE5EB0" w14:textId="77777777" w:rsidR="004648A3" w:rsidRDefault="004648A3" w:rsidP="004648A3">
      <w:pPr>
        <w:rPr>
          <w:rFonts w:asciiTheme="minorHAnsi" w:eastAsia="Arial Unicode MS" w:hAnsiTheme="minorHAnsi" w:cstheme="minorHAnsi"/>
          <w:b/>
          <w:sz w:val="22"/>
          <w:szCs w:val="22"/>
        </w:rPr>
      </w:pPr>
    </w:p>
    <w:p w14:paraId="6EF07BD2" w14:textId="11FB4B3D" w:rsidR="003A7507" w:rsidRPr="00282BCD" w:rsidRDefault="003A7507" w:rsidP="004648A3">
      <w:pPr>
        <w:rPr>
          <w:rFonts w:asciiTheme="minorHAnsi" w:hAnsiTheme="minorHAnsi" w:cstheme="minorHAnsi"/>
          <w:sz w:val="22"/>
          <w:szCs w:val="22"/>
        </w:rPr>
      </w:pPr>
      <w:r w:rsidRPr="00282BCD">
        <w:rPr>
          <w:rFonts w:asciiTheme="minorHAnsi" w:eastAsia="Arial Unicode MS" w:hAnsiTheme="minorHAnsi" w:cstheme="minorHAnsi"/>
          <w:b/>
          <w:bCs/>
          <w:sz w:val="22"/>
          <w:szCs w:val="22"/>
        </w:rPr>
        <w:t>Performance indicators</w:t>
      </w:r>
    </w:p>
    <w:p w14:paraId="1ACB1F40" w14:textId="77777777" w:rsidR="003A7507" w:rsidRPr="00282BCD" w:rsidRDefault="003A7507" w:rsidP="001D27F6">
      <w:pPr>
        <w:rPr>
          <w:rFonts w:asciiTheme="minorHAnsi" w:hAnsiTheme="minorHAnsi" w:cstheme="minorHAnsi"/>
          <w:sz w:val="22"/>
          <w:szCs w:val="22"/>
        </w:rPr>
      </w:pPr>
    </w:p>
    <w:tbl>
      <w:tblPr>
        <w:tblW w:w="8878" w:type="dxa"/>
        <w:tblInd w:w="-3" w:type="dxa"/>
        <w:tblLayout w:type="fixed"/>
        <w:tblCellMar>
          <w:left w:w="70" w:type="dxa"/>
          <w:right w:w="70" w:type="dxa"/>
        </w:tblCellMar>
        <w:tblLook w:val="0000" w:firstRow="0" w:lastRow="0" w:firstColumn="0" w:lastColumn="0" w:noHBand="0" w:noVBand="0"/>
      </w:tblPr>
      <w:tblGrid>
        <w:gridCol w:w="2075"/>
        <w:gridCol w:w="2461"/>
        <w:gridCol w:w="2268"/>
        <w:gridCol w:w="2074"/>
      </w:tblGrid>
      <w:tr w:rsidR="009236DE" w:rsidRPr="00282BCD" w14:paraId="1CC42451" w14:textId="77777777" w:rsidTr="00F625A2">
        <w:trPr>
          <w:trHeight w:val="411"/>
        </w:trPr>
        <w:tc>
          <w:tcPr>
            <w:tcW w:w="2075"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7D7AACBE" w14:textId="77777777" w:rsidR="009236DE" w:rsidRPr="00282BCD" w:rsidRDefault="009236DE" w:rsidP="007B7543">
            <w:pPr>
              <w:jc w:val="center"/>
              <w:rPr>
                <w:rFonts w:asciiTheme="minorHAnsi" w:hAnsiTheme="minorHAnsi" w:cstheme="minorHAnsi"/>
                <w:szCs w:val="22"/>
              </w:rPr>
            </w:pPr>
            <w:r w:rsidRPr="00282BCD">
              <w:rPr>
                <w:rFonts w:asciiTheme="minorHAnsi" w:hAnsiTheme="minorHAnsi" w:cstheme="minorHAnsi"/>
                <w:szCs w:val="22"/>
              </w:rPr>
              <w:t>Deliverables</w:t>
            </w:r>
          </w:p>
        </w:tc>
        <w:tc>
          <w:tcPr>
            <w:tcW w:w="2461" w:type="dxa"/>
            <w:tcBorders>
              <w:top w:val="single" w:sz="2" w:space="0" w:color="000000"/>
              <w:left w:val="single" w:sz="2" w:space="0" w:color="000000"/>
              <w:bottom w:val="single" w:sz="2" w:space="0" w:color="000000"/>
              <w:right w:val="single" w:sz="2" w:space="0" w:color="000000"/>
            </w:tcBorders>
            <w:shd w:val="clear" w:color="auto" w:fill="E6E6E6"/>
            <w:noWrap/>
            <w:vAlign w:val="center"/>
          </w:tcPr>
          <w:p w14:paraId="6641F4B3" w14:textId="77777777" w:rsidR="009236DE" w:rsidRPr="00282BCD" w:rsidRDefault="009236DE" w:rsidP="007B7543">
            <w:pPr>
              <w:jc w:val="center"/>
              <w:rPr>
                <w:rFonts w:asciiTheme="minorHAnsi" w:hAnsiTheme="minorHAnsi" w:cstheme="minorHAnsi"/>
                <w:szCs w:val="22"/>
              </w:rPr>
            </w:pPr>
            <w:r w:rsidRPr="00282BCD">
              <w:rPr>
                <w:rFonts w:asciiTheme="minorHAnsi" w:hAnsiTheme="minorHAnsi" w:cstheme="minorHAnsi"/>
                <w:szCs w:val="22"/>
              </w:rPr>
              <w:t xml:space="preserve">Immediate effects </w:t>
            </w:r>
          </w:p>
        </w:tc>
        <w:tc>
          <w:tcPr>
            <w:tcW w:w="2268" w:type="dxa"/>
            <w:tcBorders>
              <w:top w:val="single" w:sz="2" w:space="0" w:color="000000"/>
              <w:left w:val="single" w:sz="2" w:space="0" w:color="000000"/>
              <w:bottom w:val="single" w:sz="2" w:space="0" w:color="000000"/>
              <w:right w:val="single" w:sz="2" w:space="0" w:color="000000"/>
            </w:tcBorders>
            <w:shd w:val="clear" w:color="auto" w:fill="E6E6E6"/>
            <w:noWrap/>
            <w:vAlign w:val="center"/>
          </w:tcPr>
          <w:p w14:paraId="0B5564A7" w14:textId="77777777" w:rsidR="009236DE" w:rsidRPr="00282BCD" w:rsidRDefault="009236DE" w:rsidP="007B7543">
            <w:pPr>
              <w:jc w:val="center"/>
              <w:rPr>
                <w:rFonts w:asciiTheme="minorHAnsi" w:hAnsiTheme="minorHAnsi" w:cstheme="minorHAnsi"/>
                <w:szCs w:val="22"/>
              </w:rPr>
            </w:pPr>
            <w:r w:rsidRPr="00282BCD">
              <w:rPr>
                <w:rFonts w:asciiTheme="minorHAnsi" w:hAnsiTheme="minorHAnsi" w:cstheme="minorHAnsi"/>
                <w:szCs w:val="22"/>
              </w:rPr>
              <w:t>Intermediate effects</w:t>
            </w:r>
          </w:p>
        </w:tc>
        <w:tc>
          <w:tcPr>
            <w:tcW w:w="2074" w:type="dxa"/>
            <w:tcBorders>
              <w:top w:val="single" w:sz="2" w:space="0" w:color="000000"/>
              <w:left w:val="single" w:sz="2" w:space="0" w:color="auto"/>
              <w:bottom w:val="single" w:sz="2" w:space="0" w:color="000000"/>
              <w:right w:val="single" w:sz="2" w:space="0" w:color="000000"/>
            </w:tcBorders>
            <w:shd w:val="clear" w:color="auto" w:fill="E6E6E6"/>
            <w:vAlign w:val="center"/>
          </w:tcPr>
          <w:p w14:paraId="6603042D" w14:textId="77777777" w:rsidR="009236DE" w:rsidRPr="00282BCD" w:rsidRDefault="009236DE" w:rsidP="007B7543">
            <w:pPr>
              <w:jc w:val="center"/>
              <w:rPr>
                <w:rFonts w:asciiTheme="minorHAnsi" w:hAnsiTheme="minorHAnsi" w:cstheme="minorHAnsi"/>
                <w:szCs w:val="22"/>
              </w:rPr>
            </w:pPr>
            <w:r w:rsidRPr="00282BCD">
              <w:rPr>
                <w:rFonts w:asciiTheme="minorHAnsi" w:hAnsiTheme="minorHAnsi" w:cstheme="minorHAnsi"/>
                <w:szCs w:val="22"/>
              </w:rPr>
              <w:t>Verification sources</w:t>
            </w:r>
          </w:p>
        </w:tc>
      </w:tr>
      <w:tr w:rsidR="002E707A" w:rsidRPr="00282BCD" w14:paraId="010EA552" w14:textId="77777777" w:rsidTr="00F625A2">
        <w:trPr>
          <w:trHeight w:val="1192"/>
        </w:trPr>
        <w:tc>
          <w:tcPr>
            <w:tcW w:w="2075" w:type="dxa"/>
            <w:tcBorders>
              <w:top w:val="single" w:sz="2" w:space="0" w:color="000000"/>
              <w:left w:val="single" w:sz="2" w:space="0" w:color="000000"/>
              <w:bottom w:val="single" w:sz="2" w:space="0" w:color="000000"/>
              <w:right w:val="single" w:sz="2" w:space="0" w:color="000000"/>
            </w:tcBorders>
            <w:shd w:val="clear" w:color="auto" w:fill="FFFFFF"/>
          </w:tcPr>
          <w:p w14:paraId="2BB1F578" w14:textId="48E22894" w:rsidR="002E707A" w:rsidRPr="00F625A2" w:rsidRDefault="002E707A" w:rsidP="002E707A">
            <w:pPr>
              <w:rPr>
                <w:rFonts w:asciiTheme="minorHAnsi" w:eastAsia="Arial Unicode MS" w:hAnsiTheme="minorHAnsi" w:cstheme="minorHAnsi"/>
                <w:sz w:val="22"/>
                <w:szCs w:val="22"/>
              </w:rPr>
            </w:pPr>
            <w:r w:rsidRPr="002E707A">
              <w:rPr>
                <w:rFonts w:asciiTheme="minorHAnsi" w:hAnsiTheme="minorHAnsi" w:cstheme="minorHAnsi"/>
                <w:sz w:val="20"/>
                <w:szCs w:val="20"/>
              </w:rPr>
              <w:t>Inception report submitted and approved</w:t>
            </w:r>
          </w:p>
        </w:tc>
        <w:tc>
          <w:tcPr>
            <w:tcW w:w="2461" w:type="dxa"/>
            <w:tcBorders>
              <w:top w:val="single" w:sz="2" w:space="0" w:color="000000"/>
              <w:left w:val="single" w:sz="2" w:space="0" w:color="000000"/>
              <w:bottom w:val="single" w:sz="2" w:space="0" w:color="000000"/>
              <w:right w:val="single" w:sz="2" w:space="0" w:color="000000"/>
            </w:tcBorders>
            <w:shd w:val="clear" w:color="auto" w:fill="FFFFFF"/>
            <w:noWrap/>
          </w:tcPr>
          <w:p w14:paraId="6522BF5A" w14:textId="0DAEAD5C" w:rsidR="002E707A" w:rsidRPr="00282BCD" w:rsidRDefault="002E707A" w:rsidP="002E707A">
            <w:pPr>
              <w:rPr>
                <w:rFonts w:asciiTheme="minorHAnsi" w:hAnsiTheme="minorHAnsi" w:cstheme="minorHAnsi"/>
                <w:sz w:val="20"/>
                <w:szCs w:val="20"/>
              </w:rPr>
            </w:pPr>
            <w:r w:rsidRPr="002E707A">
              <w:rPr>
                <w:rFonts w:asciiTheme="minorHAnsi" w:hAnsiTheme="minorHAnsi" w:cstheme="minorHAnsi"/>
                <w:sz w:val="20"/>
                <w:szCs w:val="20"/>
              </w:rPr>
              <w:t xml:space="preserve">Clarified scope, timeline, and deliverables shared with </w:t>
            </w:r>
            <w:r w:rsidR="00CF79E2">
              <w:rPr>
                <w:rFonts w:asciiTheme="minorHAnsi" w:hAnsiTheme="minorHAnsi" w:cstheme="minorHAnsi"/>
                <w:sz w:val="20"/>
                <w:szCs w:val="20"/>
              </w:rPr>
              <w:t>Expertise France</w:t>
            </w:r>
          </w:p>
        </w:tc>
        <w:tc>
          <w:tcPr>
            <w:tcW w:w="2268" w:type="dxa"/>
            <w:tcBorders>
              <w:top w:val="single" w:sz="2" w:space="0" w:color="000000"/>
              <w:left w:val="single" w:sz="2" w:space="0" w:color="000000"/>
              <w:bottom w:val="single" w:sz="2" w:space="0" w:color="000000"/>
              <w:right w:val="single" w:sz="2" w:space="0" w:color="000000"/>
            </w:tcBorders>
            <w:shd w:val="clear" w:color="auto" w:fill="auto"/>
            <w:noWrap/>
          </w:tcPr>
          <w:p w14:paraId="0113D9D5" w14:textId="62107CB8" w:rsidR="002E707A" w:rsidRPr="00282BCD" w:rsidRDefault="002E707A" w:rsidP="002E707A">
            <w:pPr>
              <w:rPr>
                <w:rFonts w:asciiTheme="minorHAnsi" w:hAnsiTheme="minorHAnsi" w:cstheme="minorHAnsi"/>
                <w:sz w:val="20"/>
                <w:szCs w:val="20"/>
              </w:rPr>
            </w:pPr>
            <w:r w:rsidRPr="002E707A">
              <w:rPr>
                <w:rFonts w:asciiTheme="minorHAnsi" w:hAnsiTheme="minorHAnsi" w:cstheme="minorHAnsi"/>
                <w:sz w:val="20"/>
                <w:szCs w:val="20"/>
              </w:rPr>
              <w:t>Roadmap established to guide strategy development and capacity-building activities</w:t>
            </w:r>
          </w:p>
        </w:tc>
        <w:tc>
          <w:tcPr>
            <w:tcW w:w="2074" w:type="dxa"/>
            <w:tcBorders>
              <w:top w:val="single" w:sz="2" w:space="0" w:color="000000"/>
              <w:left w:val="single" w:sz="2" w:space="0" w:color="auto"/>
              <w:bottom w:val="single" w:sz="2" w:space="0" w:color="000000"/>
              <w:right w:val="single" w:sz="2" w:space="0" w:color="000000"/>
            </w:tcBorders>
            <w:shd w:val="clear" w:color="auto" w:fill="FFFFFF"/>
          </w:tcPr>
          <w:p w14:paraId="719876B3" w14:textId="510E9A3F" w:rsidR="002E707A" w:rsidRPr="00282BCD" w:rsidRDefault="002E707A" w:rsidP="002E707A">
            <w:pPr>
              <w:rPr>
                <w:rFonts w:asciiTheme="minorHAnsi" w:hAnsiTheme="minorHAnsi" w:cstheme="minorHAnsi"/>
                <w:sz w:val="20"/>
                <w:szCs w:val="20"/>
              </w:rPr>
            </w:pPr>
            <w:r w:rsidRPr="00F625A2">
              <w:rPr>
                <w:rFonts w:asciiTheme="minorHAnsi" w:hAnsiTheme="minorHAnsi" w:cstheme="minorHAnsi"/>
                <w:sz w:val="20"/>
                <w:szCs w:val="20"/>
              </w:rPr>
              <w:t>Inception report validated by Expertise France</w:t>
            </w:r>
          </w:p>
        </w:tc>
      </w:tr>
      <w:tr w:rsidR="002E707A" w:rsidRPr="00282BCD" w14:paraId="68C907B3" w14:textId="77777777" w:rsidTr="00F625A2">
        <w:trPr>
          <w:trHeight w:val="1192"/>
        </w:trPr>
        <w:tc>
          <w:tcPr>
            <w:tcW w:w="2075" w:type="dxa"/>
            <w:tcBorders>
              <w:top w:val="single" w:sz="2" w:space="0" w:color="000000"/>
              <w:left w:val="single" w:sz="2" w:space="0" w:color="000000"/>
              <w:bottom w:val="single" w:sz="2" w:space="0" w:color="000000"/>
              <w:right w:val="single" w:sz="2" w:space="0" w:color="000000"/>
            </w:tcBorders>
            <w:shd w:val="clear" w:color="auto" w:fill="FFFFFF"/>
          </w:tcPr>
          <w:p w14:paraId="3A40C7C0" w14:textId="12663DF8" w:rsidR="002E707A" w:rsidRPr="00F625A2" w:rsidRDefault="002E707A" w:rsidP="002E707A">
            <w:pPr>
              <w:rPr>
                <w:rFonts w:asciiTheme="minorHAnsi" w:eastAsia="Arial Unicode MS" w:hAnsiTheme="minorHAnsi" w:cstheme="minorHAnsi"/>
                <w:sz w:val="22"/>
                <w:szCs w:val="22"/>
              </w:rPr>
            </w:pPr>
            <w:r w:rsidRPr="002E707A">
              <w:rPr>
                <w:rFonts w:asciiTheme="minorHAnsi" w:eastAsia="Arial Unicode MS" w:hAnsiTheme="minorHAnsi" w:cstheme="minorHAnsi"/>
                <w:sz w:val="22"/>
                <w:szCs w:val="22"/>
              </w:rPr>
              <w:t>Capacity-building workshops delivered</w:t>
            </w:r>
          </w:p>
        </w:tc>
        <w:tc>
          <w:tcPr>
            <w:tcW w:w="2461" w:type="dxa"/>
            <w:tcBorders>
              <w:top w:val="single" w:sz="2" w:space="0" w:color="000000"/>
              <w:left w:val="single" w:sz="2" w:space="0" w:color="000000"/>
              <w:bottom w:val="single" w:sz="2" w:space="0" w:color="000000"/>
              <w:right w:val="single" w:sz="2" w:space="0" w:color="000000"/>
            </w:tcBorders>
            <w:shd w:val="clear" w:color="auto" w:fill="FFFFFF"/>
            <w:noWrap/>
          </w:tcPr>
          <w:p w14:paraId="623BDE73" w14:textId="7141798B" w:rsidR="002E707A" w:rsidRPr="00F625A2" w:rsidRDefault="002E707A" w:rsidP="002E707A">
            <w:pPr>
              <w:rPr>
                <w:rFonts w:asciiTheme="minorHAnsi" w:hAnsiTheme="minorHAnsi" w:cstheme="minorHAnsi"/>
                <w:sz w:val="20"/>
                <w:szCs w:val="20"/>
              </w:rPr>
            </w:pPr>
            <w:r w:rsidRPr="002E707A">
              <w:rPr>
                <w:rFonts w:asciiTheme="minorHAnsi" w:hAnsiTheme="minorHAnsi" w:cstheme="minorHAnsi"/>
                <w:sz w:val="20"/>
                <w:szCs w:val="20"/>
              </w:rPr>
              <w:t xml:space="preserve">Increased technical understanding of employability strategy components among </w:t>
            </w:r>
            <w:r w:rsidR="00CF79E2">
              <w:rPr>
                <w:rFonts w:asciiTheme="minorHAnsi" w:hAnsiTheme="minorHAnsi" w:cstheme="minorHAnsi"/>
                <w:sz w:val="20"/>
                <w:szCs w:val="20"/>
              </w:rPr>
              <w:t>MoTVE</w:t>
            </w:r>
            <w:r w:rsidRPr="002E707A">
              <w:rPr>
                <w:rFonts w:asciiTheme="minorHAnsi" w:hAnsiTheme="minorHAnsi" w:cstheme="minorHAnsi"/>
                <w:sz w:val="20"/>
                <w:szCs w:val="20"/>
              </w:rPr>
              <w:t xml:space="preserve"> and </w:t>
            </w:r>
            <w:r w:rsidR="00CF79E2">
              <w:rPr>
                <w:rFonts w:asciiTheme="minorHAnsi" w:hAnsiTheme="minorHAnsi" w:cstheme="minorHAnsi"/>
                <w:sz w:val="20"/>
                <w:szCs w:val="20"/>
              </w:rPr>
              <w:t>MoL</w:t>
            </w:r>
            <w:r w:rsidRPr="002E707A">
              <w:rPr>
                <w:rFonts w:asciiTheme="minorHAnsi" w:hAnsiTheme="minorHAnsi" w:cstheme="minorHAnsi"/>
                <w:sz w:val="20"/>
                <w:szCs w:val="20"/>
              </w:rPr>
              <w:t xml:space="preserve"> teams</w:t>
            </w:r>
          </w:p>
        </w:tc>
        <w:tc>
          <w:tcPr>
            <w:tcW w:w="2268" w:type="dxa"/>
            <w:tcBorders>
              <w:top w:val="single" w:sz="2" w:space="0" w:color="000000"/>
              <w:left w:val="single" w:sz="2" w:space="0" w:color="000000"/>
              <w:bottom w:val="single" w:sz="2" w:space="0" w:color="000000"/>
              <w:right w:val="single" w:sz="2" w:space="0" w:color="000000"/>
            </w:tcBorders>
            <w:shd w:val="clear" w:color="auto" w:fill="auto"/>
            <w:noWrap/>
          </w:tcPr>
          <w:p w14:paraId="2DD1C97B" w14:textId="2DE8885F" w:rsidR="002E707A" w:rsidRPr="00F625A2" w:rsidRDefault="002E707A" w:rsidP="002E707A">
            <w:pPr>
              <w:rPr>
                <w:rFonts w:asciiTheme="minorHAnsi" w:hAnsiTheme="minorHAnsi" w:cstheme="minorHAnsi"/>
                <w:sz w:val="20"/>
                <w:szCs w:val="20"/>
              </w:rPr>
            </w:pPr>
            <w:r w:rsidRPr="002E707A">
              <w:rPr>
                <w:rFonts w:asciiTheme="minorHAnsi" w:hAnsiTheme="minorHAnsi" w:cstheme="minorHAnsi"/>
                <w:sz w:val="20"/>
                <w:szCs w:val="20"/>
              </w:rPr>
              <w:t>Strengthened institutional capacity to design and implement policy frameworks aligned with labour market needs</w:t>
            </w:r>
          </w:p>
        </w:tc>
        <w:tc>
          <w:tcPr>
            <w:tcW w:w="2074" w:type="dxa"/>
            <w:tcBorders>
              <w:top w:val="single" w:sz="2" w:space="0" w:color="000000"/>
              <w:left w:val="single" w:sz="2" w:space="0" w:color="auto"/>
              <w:bottom w:val="single" w:sz="2" w:space="0" w:color="000000"/>
              <w:right w:val="single" w:sz="2" w:space="0" w:color="000000"/>
            </w:tcBorders>
            <w:shd w:val="clear" w:color="auto" w:fill="FFFFFF"/>
          </w:tcPr>
          <w:p w14:paraId="642B3625" w14:textId="41148B48" w:rsidR="002E707A" w:rsidRPr="00F625A2" w:rsidRDefault="002E707A" w:rsidP="002E707A">
            <w:pPr>
              <w:rPr>
                <w:rFonts w:asciiTheme="minorHAnsi" w:hAnsiTheme="minorHAnsi" w:cstheme="minorHAnsi"/>
                <w:sz w:val="20"/>
                <w:szCs w:val="20"/>
              </w:rPr>
            </w:pPr>
            <w:r>
              <w:rPr>
                <w:rFonts w:asciiTheme="minorHAnsi" w:hAnsiTheme="minorHAnsi" w:cstheme="minorHAnsi"/>
                <w:sz w:val="20"/>
                <w:szCs w:val="20"/>
              </w:rPr>
              <w:t>Workshop Summary Reports</w:t>
            </w:r>
          </w:p>
        </w:tc>
      </w:tr>
      <w:tr w:rsidR="002E707A" w:rsidRPr="00282BCD" w14:paraId="6ED35AAE" w14:textId="77777777" w:rsidTr="002E707A">
        <w:trPr>
          <w:trHeight w:val="1192"/>
        </w:trPr>
        <w:tc>
          <w:tcPr>
            <w:tcW w:w="2075" w:type="dxa"/>
            <w:tcBorders>
              <w:top w:val="single" w:sz="2" w:space="0" w:color="000000"/>
              <w:left w:val="single" w:sz="2" w:space="0" w:color="000000"/>
              <w:bottom w:val="single" w:sz="2" w:space="0" w:color="000000"/>
              <w:right w:val="single" w:sz="2" w:space="0" w:color="000000"/>
            </w:tcBorders>
            <w:shd w:val="clear" w:color="auto" w:fill="FFFFFF"/>
          </w:tcPr>
          <w:p w14:paraId="59438CCA" w14:textId="36124539" w:rsidR="002E707A" w:rsidRPr="00F625A2" w:rsidRDefault="002E707A" w:rsidP="002E707A">
            <w:pPr>
              <w:rPr>
                <w:rFonts w:asciiTheme="minorHAnsi" w:eastAsia="Arial Unicode MS" w:hAnsiTheme="minorHAnsi" w:cstheme="minorHAnsi"/>
                <w:sz w:val="22"/>
                <w:szCs w:val="22"/>
              </w:rPr>
            </w:pPr>
            <w:r w:rsidRPr="002E707A">
              <w:rPr>
                <w:rFonts w:asciiTheme="minorHAnsi" w:eastAsia="Arial Unicode MS" w:hAnsiTheme="minorHAnsi" w:cstheme="minorHAnsi"/>
                <w:sz w:val="22"/>
                <w:szCs w:val="22"/>
              </w:rPr>
              <w:t xml:space="preserve">Support the design of the national employability strategy for </w:t>
            </w:r>
            <w:r w:rsidR="00800DE5">
              <w:rPr>
                <w:rFonts w:asciiTheme="minorHAnsi" w:eastAsia="Arial Unicode MS" w:hAnsiTheme="minorHAnsi" w:cstheme="minorHAnsi"/>
                <w:sz w:val="22"/>
                <w:szCs w:val="22"/>
              </w:rPr>
              <w:t>TVET</w:t>
            </w:r>
          </w:p>
        </w:tc>
        <w:tc>
          <w:tcPr>
            <w:tcW w:w="2461" w:type="dxa"/>
            <w:tcBorders>
              <w:top w:val="single" w:sz="2" w:space="0" w:color="000000"/>
              <w:left w:val="single" w:sz="2" w:space="0" w:color="000000"/>
              <w:bottom w:val="single" w:sz="2" w:space="0" w:color="000000"/>
              <w:right w:val="single" w:sz="2" w:space="0" w:color="000000"/>
            </w:tcBorders>
            <w:shd w:val="clear" w:color="auto" w:fill="FFFFFF"/>
            <w:noWrap/>
          </w:tcPr>
          <w:p w14:paraId="0F7CF4EE" w14:textId="71D25558" w:rsidR="002E707A" w:rsidRPr="00F625A2" w:rsidRDefault="002E707A" w:rsidP="002E707A">
            <w:pPr>
              <w:rPr>
                <w:rFonts w:asciiTheme="minorHAnsi" w:hAnsiTheme="minorHAnsi" w:cstheme="minorHAnsi"/>
                <w:sz w:val="20"/>
                <w:szCs w:val="20"/>
              </w:rPr>
            </w:pPr>
            <w:r w:rsidRPr="002E707A">
              <w:rPr>
                <w:rFonts w:asciiTheme="minorHAnsi" w:hAnsiTheme="minorHAnsi" w:cstheme="minorHAnsi"/>
                <w:sz w:val="20"/>
                <w:szCs w:val="20"/>
              </w:rPr>
              <w:t>Draft strategy structure and thematic pillars are co-developed with national stakeholders</w:t>
            </w:r>
          </w:p>
        </w:tc>
        <w:tc>
          <w:tcPr>
            <w:tcW w:w="2268" w:type="dxa"/>
            <w:tcBorders>
              <w:top w:val="single" w:sz="2" w:space="0" w:color="000000"/>
              <w:left w:val="single" w:sz="2" w:space="0" w:color="000000"/>
              <w:bottom w:val="single" w:sz="2" w:space="0" w:color="000000"/>
              <w:right w:val="single" w:sz="2" w:space="0" w:color="000000"/>
            </w:tcBorders>
            <w:shd w:val="clear" w:color="auto" w:fill="auto"/>
            <w:noWrap/>
          </w:tcPr>
          <w:p w14:paraId="47CD163E" w14:textId="02176098" w:rsidR="002E707A" w:rsidRPr="00F625A2" w:rsidRDefault="002E707A" w:rsidP="002E707A">
            <w:pPr>
              <w:rPr>
                <w:rFonts w:asciiTheme="minorHAnsi" w:hAnsiTheme="minorHAnsi" w:cstheme="minorHAnsi"/>
                <w:sz w:val="20"/>
                <w:szCs w:val="20"/>
              </w:rPr>
            </w:pPr>
            <w:r w:rsidRPr="002E707A">
              <w:rPr>
                <w:rFonts w:asciiTheme="minorHAnsi" w:hAnsiTheme="minorHAnsi" w:cstheme="minorHAnsi"/>
                <w:sz w:val="20"/>
                <w:szCs w:val="20"/>
              </w:rPr>
              <w:t xml:space="preserve">Stakeholder ownership of the strategy and readiness for </w:t>
            </w:r>
            <w:r w:rsidR="00800DE5">
              <w:rPr>
                <w:rFonts w:asciiTheme="minorHAnsi" w:hAnsiTheme="minorHAnsi" w:cstheme="minorHAnsi"/>
                <w:sz w:val="20"/>
                <w:szCs w:val="20"/>
              </w:rPr>
              <w:t>MoTVE</w:t>
            </w:r>
            <w:r w:rsidRPr="002E707A">
              <w:rPr>
                <w:rFonts w:asciiTheme="minorHAnsi" w:hAnsiTheme="minorHAnsi" w:cstheme="minorHAnsi"/>
                <w:sz w:val="20"/>
                <w:szCs w:val="20"/>
              </w:rPr>
              <w:t>-level approval and implementation</w:t>
            </w:r>
          </w:p>
        </w:tc>
        <w:tc>
          <w:tcPr>
            <w:tcW w:w="2074" w:type="dxa"/>
            <w:tcBorders>
              <w:top w:val="single" w:sz="2" w:space="0" w:color="000000"/>
              <w:left w:val="single" w:sz="2" w:space="0" w:color="auto"/>
              <w:bottom w:val="single" w:sz="2" w:space="0" w:color="000000"/>
              <w:right w:val="single" w:sz="2" w:space="0" w:color="000000"/>
            </w:tcBorders>
            <w:shd w:val="clear" w:color="auto" w:fill="FFFFFF"/>
          </w:tcPr>
          <w:p w14:paraId="21DB22D0" w14:textId="360B3B22" w:rsidR="002E707A" w:rsidRPr="00F625A2" w:rsidRDefault="002E707A" w:rsidP="002E707A">
            <w:pPr>
              <w:rPr>
                <w:rFonts w:asciiTheme="minorHAnsi" w:hAnsiTheme="minorHAnsi" w:cstheme="minorHAnsi"/>
                <w:sz w:val="20"/>
                <w:szCs w:val="20"/>
              </w:rPr>
            </w:pPr>
            <w:r w:rsidRPr="002E707A">
              <w:rPr>
                <w:rFonts w:asciiTheme="minorHAnsi" w:hAnsiTheme="minorHAnsi" w:cstheme="minorHAnsi"/>
                <w:sz w:val="20"/>
                <w:szCs w:val="20"/>
              </w:rPr>
              <w:t xml:space="preserve">Strategy draft, stakeholder consultation reports, </w:t>
            </w:r>
            <w:r w:rsidR="004C75F9">
              <w:rPr>
                <w:rFonts w:asciiTheme="minorHAnsi" w:hAnsiTheme="minorHAnsi" w:cstheme="minorHAnsi"/>
                <w:sz w:val="20"/>
                <w:szCs w:val="20"/>
              </w:rPr>
              <w:t xml:space="preserve">and </w:t>
            </w:r>
            <w:r w:rsidRPr="002E707A">
              <w:rPr>
                <w:rFonts w:asciiTheme="minorHAnsi" w:hAnsiTheme="minorHAnsi" w:cstheme="minorHAnsi"/>
                <w:sz w:val="20"/>
                <w:szCs w:val="20"/>
              </w:rPr>
              <w:t>feedback logs</w:t>
            </w:r>
          </w:p>
        </w:tc>
      </w:tr>
      <w:tr w:rsidR="002E707A" w:rsidRPr="00282BCD" w14:paraId="69F5EFBC" w14:textId="77777777" w:rsidTr="00F625A2">
        <w:trPr>
          <w:trHeight w:val="1192"/>
        </w:trPr>
        <w:tc>
          <w:tcPr>
            <w:tcW w:w="2075" w:type="dxa"/>
            <w:tcBorders>
              <w:top w:val="single" w:sz="2" w:space="0" w:color="000000"/>
              <w:left w:val="single" w:sz="2" w:space="0" w:color="000000"/>
              <w:bottom w:val="single" w:sz="4" w:space="0" w:color="auto"/>
              <w:right w:val="single" w:sz="2" w:space="0" w:color="000000"/>
            </w:tcBorders>
            <w:shd w:val="clear" w:color="auto" w:fill="FFFFFF"/>
          </w:tcPr>
          <w:p w14:paraId="7A3BB9FD" w14:textId="27EAFF45" w:rsidR="002E707A" w:rsidRDefault="002E707A" w:rsidP="002E707A">
            <w:pPr>
              <w:rPr>
                <w:rFonts w:asciiTheme="minorHAnsi" w:eastAsia="Arial Unicode MS" w:hAnsiTheme="minorHAnsi" w:cstheme="minorHAnsi"/>
                <w:sz w:val="22"/>
                <w:szCs w:val="22"/>
              </w:rPr>
            </w:pPr>
            <w:r w:rsidRPr="002E707A">
              <w:rPr>
                <w:rFonts w:asciiTheme="minorHAnsi" w:eastAsia="Arial Unicode MS" w:hAnsiTheme="minorHAnsi" w:cstheme="minorHAnsi"/>
                <w:sz w:val="22"/>
                <w:szCs w:val="22"/>
              </w:rPr>
              <w:t>Final assignment report</w:t>
            </w:r>
          </w:p>
        </w:tc>
        <w:tc>
          <w:tcPr>
            <w:tcW w:w="2461" w:type="dxa"/>
            <w:tcBorders>
              <w:top w:val="single" w:sz="2" w:space="0" w:color="000000"/>
              <w:left w:val="single" w:sz="2" w:space="0" w:color="000000"/>
              <w:bottom w:val="single" w:sz="4" w:space="0" w:color="auto"/>
              <w:right w:val="single" w:sz="2" w:space="0" w:color="000000"/>
            </w:tcBorders>
            <w:shd w:val="clear" w:color="auto" w:fill="FFFFFF"/>
            <w:noWrap/>
          </w:tcPr>
          <w:p w14:paraId="605B137F" w14:textId="5FEA9C5C" w:rsidR="002E707A" w:rsidRPr="00F625A2" w:rsidRDefault="002E707A" w:rsidP="002E707A">
            <w:pPr>
              <w:rPr>
                <w:rFonts w:asciiTheme="minorHAnsi" w:hAnsiTheme="minorHAnsi" w:cstheme="minorHAnsi"/>
                <w:sz w:val="20"/>
                <w:szCs w:val="20"/>
              </w:rPr>
            </w:pPr>
            <w:r w:rsidRPr="002E707A">
              <w:rPr>
                <w:rFonts w:asciiTheme="minorHAnsi" w:hAnsiTheme="minorHAnsi" w:cstheme="minorHAnsi"/>
                <w:sz w:val="20"/>
                <w:szCs w:val="20"/>
              </w:rPr>
              <w:t>Consolidated record of outcomes, tools developed, and lessons learned</w:t>
            </w:r>
          </w:p>
        </w:tc>
        <w:tc>
          <w:tcPr>
            <w:tcW w:w="2268" w:type="dxa"/>
            <w:tcBorders>
              <w:top w:val="single" w:sz="2" w:space="0" w:color="000000"/>
              <w:left w:val="single" w:sz="2" w:space="0" w:color="000000"/>
              <w:bottom w:val="single" w:sz="4" w:space="0" w:color="auto"/>
              <w:right w:val="single" w:sz="2" w:space="0" w:color="000000"/>
            </w:tcBorders>
            <w:shd w:val="clear" w:color="auto" w:fill="auto"/>
            <w:noWrap/>
          </w:tcPr>
          <w:p w14:paraId="2107E141" w14:textId="2435013C" w:rsidR="002E707A" w:rsidRPr="00F625A2" w:rsidRDefault="002E707A" w:rsidP="002E707A">
            <w:pPr>
              <w:rPr>
                <w:rFonts w:asciiTheme="minorHAnsi" w:hAnsiTheme="minorHAnsi" w:cstheme="minorHAnsi"/>
                <w:sz w:val="20"/>
                <w:szCs w:val="20"/>
              </w:rPr>
            </w:pPr>
            <w:r w:rsidRPr="002E707A">
              <w:rPr>
                <w:rFonts w:asciiTheme="minorHAnsi" w:hAnsiTheme="minorHAnsi" w:cstheme="minorHAnsi"/>
                <w:sz w:val="20"/>
                <w:szCs w:val="20"/>
              </w:rPr>
              <w:t xml:space="preserve">Informed follow-up planning and scaling of employability reforms across the </w:t>
            </w:r>
            <w:r w:rsidR="00800DE5">
              <w:rPr>
                <w:rFonts w:asciiTheme="minorHAnsi" w:hAnsiTheme="minorHAnsi" w:cstheme="minorHAnsi"/>
                <w:sz w:val="20"/>
                <w:szCs w:val="20"/>
              </w:rPr>
              <w:t>TVET</w:t>
            </w:r>
            <w:r w:rsidRPr="002E707A">
              <w:rPr>
                <w:rFonts w:asciiTheme="minorHAnsi" w:hAnsiTheme="minorHAnsi" w:cstheme="minorHAnsi"/>
                <w:sz w:val="20"/>
                <w:szCs w:val="20"/>
              </w:rPr>
              <w:t xml:space="preserve"> system</w:t>
            </w:r>
          </w:p>
        </w:tc>
        <w:tc>
          <w:tcPr>
            <w:tcW w:w="2074" w:type="dxa"/>
            <w:tcBorders>
              <w:top w:val="single" w:sz="2" w:space="0" w:color="000000"/>
              <w:left w:val="single" w:sz="2" w:space="0" w:color="auto"/>
              <w:bottom w:val="single" w:sz="4" w:space="0" w:color="auto"/>
              <w:right w:val="single" w:sz="2" w:space="0" w:color="000000"/>
            </w:tcBorders>
            <w:shd w:val="clear" w:color="auto" w:fill="FFFFFF"/>
          </w:tcPr>
          <w:p w14:paraId="46594697" w14:textId="0330A1D1" w:rsidR="002E707A" w:rsidRPr="00F625A2" w:rsidRDefault="002E707A" w:rsidP="002E707A">
            <w:pPr>
              <w:rPr>
                <w:rFonts w:asciiTheme="minorHAnsi" w:hAnsiTheme="minorHAnsi" w:cstheme="minorHAnsi"/>
                <w:sz w:val="20"/>
                <w:szCs w:val="20"/>
              </w:rPr>
            </w:pPr>
            <w:r w:rsidRPr="002E707A">
              <w:rPr>
                <w:rFonts w:asciiTheme="minorHAnsi" w:hAnsiTheme="minorHAnsi" w:cstheme="minorHAnsi"/>
                <w:sz w:val="20"/>
                <w:szCs w:val="20"/>
              </w:rPr>
              <w:t>Final report document, summary of deliverables, EF validation email</w:t>
            </w:r>
          </w:p>
        </w:tc>
      </w:tr>
    </w:tbl>
    <w:p w14:paraId="29E8F635" w14:textId="77777777" w:rsidR="00AC47A6" w:rsidRPr="00282BCD" w:rsidRDefault="00AC47A6" w:rsidP="00861094">
      <w:pPr>
        <w:jc w:val="both"/>
        <w:rPr>
          <w:rFonts w:asciiTheme="minorHAnsi" w:hAnsiTheme="minorHAnsi" w:cstheme="minorHAnsi"/>
          <w:sz w:val="22"/>
          <w:szCs w:val="22"/>
        </w:rPr>
      </w:pPr>
    </w:p>
    <w:p w14:paraId="604E2E37" w14:textId="16E61743" w:rsidR="00C90734" w:rsidRPr="00B6135B" w:rsidRDefault="00C90734" w:rsidP="00B6135B">
      <w:pPr>
        <w:rPr>
          <w:rFonts w:asciiTheme="minorHAnsi" w:eastAsia="Arial Unicode MS" w:hAnsiTheme="minorHAnsi" w:cstheme="minorHAnsi"/>
          <w:b/>
          <w:bCs/>
          <w:sz w:val="22"/>
          <w:szCs w:val="22"/>
        </w:rPr>
      </w:pPr>
    </w:p>
    <w:sectPr w:rsidR="00C90734" w:rsidRPr="00B6135B" w:rsidSect="00932E04">
      <w:headerReference w:type="even" r:id="rId8"/>
      <w:headerReference w:type="default" r:id="rId9"/>
      <w:footerReference w:type="even" r:id="rId10"/>
      <w:footerReference w:type="default" r:id="rId11"/>
      <w:headerReference w:type="first" r:id="rId12"/>
      <w:footerReference w:type="first" r:id="rId13"/>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D9002" w14:textId="77777777" w:rsidR="00173EFF" w:rsidRDefault="00173EFF">
      <w:r>
        <w:separator/>
      </w:r>
    </w:p>
  </w:endnote>
  <w:endnote w:type="continuationSeparator" w:id="0">
    <w:p w14:paraId="204694F0" w14:textId="77777777" w:rsidR="00173EFF" w:rsidRDefault="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7B7543" w:rsidRDefault="007B7543" w:rsidP="00261EB0">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6BDE012" w14:textId="77777777" w:rsidR="007B7543" w:rsidRDefault="007B7543"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75EE" w14:textId="77777777" w:rsidR="00E76A24" w:rsidRPr="00EE0FDD" w:rsidRDefault="00E76A24" w:rsidP="00E76A24">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64E47908" w14:textId="60A4986A" w:rsidR="00D84ED9" w:rsidRPr="00D84ED9" w:rsidRDefault="00173EFF" w:rsidP="00D84ED9">
        <w:pPr>
          <w:pStyle w:val="Pieddepage"/>
          <w:tabs>
            <w:tab w:val="clear" w:pos="4536"/>
            <w:tab w:val="clear" w:pos="9072"/>
            <w:tab w:val="right" w:pos="9746"/>
          </w:tabs>
          <w:jc w:val="right"/>
          <w:rPr>
            <w:rFonts w:asciiTheme="minorHAnsi" w:hAnsiTheme="minorHAnsi" w:cstheme="minorHAnsi"/>
            <w:b/>
            <w:sz w:val="22"/>
            <w:szCs w:val="22"/>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D84ED9" w:rsidRPr="00D84ED9">
              <w:rPr>
                <w:rFonts w:asciiTheme="minorHAnsi" w:hAnsiTheme="minorHAnsi" w:cs="Arial"/>
                <w:sz w:val="16"/>
                <w:szCs w:val="16"/>
              </w:rPr>
              <w:t>DAJ_M003ENG_v02</w:t>
            </w:r>
            <w:r w:rsidR="00D84ED9">
              <w:rPr>
                <w:rFonts w:asciiTheme="minorHAnsi" w:hAnsiTheme="minorHAnsi" w:cs="Arial"/>
                <w:sz w:val="16"/>
                <w:szCs w:val="16"/>
              </w:rPr>
              <w:t xml:space="preserve">, </w:t>
            </w:r>
            <w:r w:rsidR="00D84ED9" w:rsidRPr="00D84ED9">
              <w:rPr>
                <w:rFonts w:asciiTheme="minorHAnsi" w:hAnsiTheme="minorHAnsi" w:cs="Arial"/>
                <w:sz w:val="16"/>
                <w:szCs w:val="16"/>
              </w:rPr>
              <w:t>May 2021</w:t>
            </w:r>
            <w:r w:rsidR="00D84ED9" w:rsidRPr="00825775">
              <w:rPr>
                <w:rFonts w:asciiTheme="minorHAnsi" w:hAnsiTheme="minorHAnsi" w:cstheme="minorHAnsi"/>
                <w:sz w:val="22"/>
                <w:szCs w:val="22"/>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D84ED9" w:rsidRPr="00E76A24">
                      <w:rPr>
                        <w:rFonts w:asciiTheme="minorHAnsi" w:hAnsiTheme="minorHAnsi"/>
                        <w:b/>
                        <w:sz w:val="22"/>
                        <w:lang w:val="en"/>
                      </w:rPr>
                      <w:t xml:space="preserve">Page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PAGE</w:instrText>
                    </w:r>
                    <w:r w:rsidR="00D84ED9" w:rsidRPr="00E76A24">
                      <w:rPr>
                        <w:rFonts w:asciiTheme="minorHAnsi" w:hAnsiTheme="minorHAnsi"/>
                        <w:b/>
                        <w:sz w:val="22"/>
                        <w:lang w:val="en"/>
                      </w:rPr>
                      <w:fldChar w:fldCharType="separate"/>
                    </w:r>
                    <w:r w:rsidR="00B6135B">
                      <w:rPr>
                        <w:rFonts w:asciiTheme="minorHAnsi" w:hAnsiTheme="minorHAnsi"/>
                        <w:b/>
                        <w:noProof/>
                        <w:sz w:val="22"/>
                        <w:lang w:val="en"/>
                      </w:rPr>
                      <w:t>4</w:t>
                    </w:r>
                    <w:r w:rsidR="00D84ED9" w:rsidRPr="00E76A24">
                      <w:rPr>
                        <w:rFonts w:asciiTheme="minorHAnsi" w:hAnsiTheme="minorHAnsi"/>
                        <w:b/>
                        <w:sz w:val="22"/>
                        <w:lang w:val="en"/>
                      </w:rPr>
                      <w:fldChar w:fldCharType="end"/>
                    </w:r>
                    <w:r w:rsidR="00D84ED9" w:rsidRPr="00E76A24">
                      <w:rPr>
                        <w:rFonts w:asciiTheme="minorHAnsi" w:hAnsiTheme="minorHAnsi"/>
                        <w:b/>
                        <w:sz w:val="22"/>
                        <w:lang w:val="en"/>
                      </w:rPr>
                      <w:t xml:space="preserve"> of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NUMPAGES</w:instrText>
                    </w:r>
                    <w:r w:rsidR="00D84ED9" w:rsidRPr="00E76A24">
                      <w:rPr>
                        <w:rFonts w:asciiTheme="minorHAnsi" w:hAnsiTheme="minorHAnsi"/>
                        <w:b/>
                        <w:sz w:val="22"/>
                        <w:lang w:val="en"/>
                      </w:rPr>
                      <w:fldChar w:fldCharType="separate"/>
                    </w:r>
                    <w:r w:rsidR="00B6135B">
                      <w:rPr>
                        <w:rFonts w:asciiTheme="minorHAnsi" w:hAnsiTheme="minorHAnsi"/>
                        <w:b/>
                        <w:noProof/>
                        <w:sz w:val="22"/>
                        <w:lang w:val="en"/>
                      </w:rPr>
                      <w:t>5</w:t>
                    </w:r>
                    <w:r w:rsidR="00D84ED9" w:rsidRPr="00E76A24">
                      <w:rPr>
                        <w:rFonts w:asciiTheme="minorHAnsi" w:hAnsiTheme="minorHAnsi"/>
                        <w:b/>
                        <w:sz w:val="22"/>
                        <w:lang w:val="en"/>
                      </w:rPr>
                      <w:fldChar w:fldCharType="end"/>
                    </w:r>
                  </w:sdtContent>
                </w:sdt>
              </w:sdtContent>
            </w:sdt>
          </w:sdtContent>
        </w:sdt>
      </w:p>
      <w:p w14:paraId="506639E6" w14:textId="517D5F16" w:rsidR="00E76A24" w:rsidRPr="00B6135B" w:rsidRDefault="00D84ED9" w:rsidP="00D84ED9">
        <w:pPr>
          <w:pStyle w:val="a"/>
          <w:widowControl w:val="0"/>
          <w:jc w:val="left"/>
          <w:rPr>
            <w:rFonts w:asciiTheme="minorHAnsi" w:hAnsiTheme="minorHAnsi" w:cs="Arial"/>
            <w:sz w:val="16"/>
            <w:szCs w:val="16"/>
            <w:lang w:val="fr-FR"/>
          </w:rPr>
        </w:pPr>
        <w:r w:rsidRPr="00B6135B">
          <w:rPr>
            <w:rFonts w:asciiTheme="minorHAnsi" w:hAnsiTheme="minorHAnsi"/>
            <w:sz w:val="16"/>
            <w:szCs w:val="16"/>
            <w:lang w:val="fr-FR"/>
          </w:rPr>
          <w:t xml:space="preserve">Expertise France - </w:t>
        </w:r>
        <w:r w:rsidRPr="00B6135B">
          <w:rPr>
            <w:rFonts w:asciiTheme="minorHAnsi" w:hAnsiTheme="minorHAnsi"/>
            <w:sz w:val="16"/>
            <w:szCs w:val="16"/>
            <w:lang w:val="fr-FR"/>
          </w:rPr>
          <w:br/>
        </w:r>
        <w:r w:rsidR="0009680B" w:rsidRPr="00B6135B">
          <w:rPr>
            <w:rFonts w:asciiTheme="minorHAnsi" w:hAnsiTheme="minorHAnsi" w:cs="Arial"/>
            <w:sz w:val="16"/>
            <w:szCs w:val="16"/>
            <w:lang w:val="fr-FR"/>
          </w:rPr>
          <w:t>SIRET : 808 734 792</w:t>
        </w:r>
        <w:r w:rsidRPr="00B6135B">
          <w:rPr>
            <w:rFonts w:asciiTheme="minorHAnsi" w:hAnsiTheme="minorHAnsi" w:cs="Arial"/>
            <w:sz w:val="16"/>
            <w:szCs w:val="16"/>
            <w:lang w:val="fr-FR"/>
          </w:rPr>
          <w:t xml:space="preserve"> </w:t>
        </w:r>
        <w:r w:rsidR="0009680B" w:rsidRPr="00B6135B">
          <w:rPr>
            <w:rFonts w:asciiTheme="minorHAnsi" w:hAnsiTheme="minorHAnsi" w:cs="Arial"/>
            <w:sz w:val="16"/>
            <w:szCs w:val="16"/>
            <w:lang w:val="fr-FR"/>
          </w:rPr>
          <w:t>– 40 Boulevar</w:t>
        </w:r>
        <w:r w:rsidRPr="00B6135B">
          <w:rPr>
            <w:rFonts w:asciiTheme="minorHAnsi" w:hAnsiTheme="minorHAnsi" w:cs="Arial"/>
            <w:sz w:val="16"/>
            <w:szCs w:val="16"/>
            <w:lang w:val="fr-FR"/>
          </w:rPr>
          <w:t xml:space="preserve">d </w:t>
        </w:r>
        <w:r w:rsidR="0009680B" w:rsidRPr="00B6135B">
          <w:rPr>
            <w:rFonts w:asciiTheme="minorHAnsi" w:hAnsiTheme="minorHAnsi" w:cs="Arial"/>
            <w:sz w:val="16"/>
            <w:szCs w:val="16"/>
            <w:lang w:val="fr-FR"/>
          </w:rPr>
          <w:t>de Port-Royal, 75</w:t>
        </w:r>
        <w:r w:rsidRPr="00B6135B">
          <w:rPr>
            <w:rFonts w:asciiTheme="minorHAnsi" w:hAnsiTheme="minorHAnsi" w:cs="Arial"/>
            <w:sz w:val="16"/>
            <w:szCs w:val="16"/>
            <w:lang w:val="fr-FR"/>
          </w:rPr>
          <w:t>005 PARIS</w:t>
        </w:r>
        <w:r w:rsidR="0009680B" w:rsidRPr="00B6135B">
          <w:rPr>
            <w:rFonts w:asciiTheme="minorHAnsi" w:hAnsiTheme="minorHAnsi" w:cs="Arial"/>
            <w:sz w:val="16"/>
            <w:szCs w:val="16"/>
            <w:lang w:val="fr-FR"/>
          </w:rPr>
          <w:t xml:space="preserve"> </w:t>
        </w:r>
        <w:r w:rsidRPr="00B6135B">
          <w:rPr>
            <w:rFonts w:asciiTheme="minorHAnsi" w:hAnsiTheme="minorHAnsi" w:cs="Arial"/>
            <w:sz w:val="16"/>
            <w:szCs w:val="16"/>
            <w:lang w:val="fr-FR"/>
          </w:rPr>
          <w:t>– France</w:t>
        </w:r>
      </w:p>
    </w:sdtContent>
  </w:sdt>
  <w:p w14:paraId="7CC811EE" w14:textId="77777777" w:rsidR="00E76A24" w:rsidRPr="00B6135B" w:rsidRDefault="00E76A24" w:rsidP="00E76A24">
    <w:pPr>
      <w:pStyle w:val="Pieddepage"/>
      <w:tabs>
        <w:tab w:val="clear" w:pos="4536"/>
        <w:tab w:val="clear" w:pos="9072"/>
        <w:tab w:val="right" w:pos="9746"/>
      </w:tabs>
      <w:jc w:val="both"/>
      <w:rPr>
        <w:rFonts w:asciiTheme="minorHAnsi" w:hAnsiTheme="minorHAnsi"/>
        <w:szCs w:val="22"/>
        <w:lang w:val="fr-F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41F1A57A" w14:textId="77777777" w:rsidR="00E76A24" w:rsidRPr="00825775" w:rsidRDefault="00E76A24" w:rsidP="00E76A24">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6E660346" w14:textId="73263F20" w:rsidR="00E76A24" w:rsidRPr="00E76A24" w:rsidRDefault="00173EFF" w:rsidP="00E76A24">
            <w:pPr>
              <w:pStyle w:val="Pieddepage"/>
              <w:tabs>
                <w:tab w:val="clear" w:pos="4536"/>
                <w:tab w:val="clear" w:pos="9072"/>
                <w:tab w:val="right" w:pos="9746"/>
              </w:tabs>
              <w:jc w:val="right"/>
              <w:rPr>
                <w:rFonts w:asciiTheme="minorHAnsi" w:hAnsiTheme="minorHAnsi" w:cstheme="minorHAnsi"/>
                <w:b/>
                <w:sz w:val="22"/>
                <w:szCs w:val="22"/>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E76A24" w:rsidRPr="00D84ED9">
                  <w:rPr>
                    <w:rFonts w:asciiTheme="minorHAnsi" w:hAnsiTheme="minorHAnsi" w:cs="Arial"/>
                    <w:sz w:val="16"/>
                    <w:szCs w:val="16"/>
                  </w:rPr>
                  <w:t>DAJ_M003ENG_v0</w:t>
                </w:r>
                <w:r w:rsidR="00D84ED9" w:rsidRPr="00D84ED9">
                  <w:rPr>
                    <w:rFonts w:asciiTheme="minorHAnsi" w:hAnsiTheme="minorHAnsi" w:cs="Arial"/>
                    <w:sz w:val="16"/>
                    <w:szCs w:val="16"/>
                  </w:rPr>
                  <w:t>2</w:t>
                </w:r>
                <w:r w:rsidR="00D84ED9">
                  <w:rPr>
                    <w:rFonts w:asciiTheme="minorHAnsi" w:hAnsiTheme="minorHAnsi" w:cs="Arial"/>
                    <w:sz w:val="16"/>
                    <w:szCs w:val="16"/>
                  </w:rPr>
                  <w:t>, May 2021</w:t>
                </w:r>
                <w:r w:rsidR="00E76A24" w:rsidRPr="00825775">
                  <w:rPr>
                    <w:rFonts w:asciiTheme="minorHAnsi" w:hAnsiTheme="minorHAnsi" w:cstheme="minorHAnsi"/>
                    <w:sz w:val="22"/>
                    <w:szCs w:val="22"/>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E76A24" w:rsidRPr="00E76A24">
                          <w:rPr>
                            <w:rFonts w:asciiTheme="minorHAnsi" w:hAnsiTheme="minorHAnsi"/>
                            <w:b/>
                            <w:sz w:val="22"/>
                            <w:lang w:val="en"/>
                          </w:rPr>
                          <w:t xml:space="preserve">Page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PAGE</w:instrText>
                        </w:r>
                        <w:r w:rsidR="00E76A24" w:rsidRPr="00E76A24">
                          <w:rPr>
                            <w:rFonts w:asciiTheme="minorHAnsi" w:hAnsiTheme="minorHAnsi"/>
                            <w:b/>
                            <w:sz w:val="22"/>
                            <w:lang w:val="en"/>
                          </w:rPr>
                          <w:fldChar w:fldCharType="separate"/>
                        </w:r>
                        <w:r>
                          <w:rPr>
                            <w:rFonts w:asciiTheme="minorHAnsi" w:hAnsiTheme="minorHAnsi"/>
                            <w:b/>
                            <w:noProof/>
                            <w:sz w:val="22"/>
                            <w:lang w:val="en"/>
                          </w:rPr>
                          <w:t>1</w:t>
                        </w:r>
                        <w:r w:rsidR="00E76A24" w:rsidRPr="00E76A24">
                          <w:rPr>
                            <w:rFonts w:asciiTheme="minorHAnsi" w:hAnsiTheme="minorHAnsi"/>
                            <w:b/>
                            <w:sz w:val="22"/>
                            <w:lang w:val="en"/>
                          </w:rPr>
                          <w:fldChar w:fldCharType="end"/>
                        </w:r>
                        <w:r w:rsidR="00E76A24" w:rsidRPr="00E76A24">
                          <w:rPr>
                            <w:rFonts w:asciiTheme="minorHAnsi" w:hAnsiTheme="minorHAnsi"/>
                            <w:b/>
                            <w:sz w:val="22"/>
                            <w:lang w:val="en"/>
                          </w:rPr>
                          <w:t xml:space="preserve"> of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NUMPAGES</w:instrText>
                        </w:r>
                        <w:r w:rsidR="00E76A24" w:rsidRPr="00E76A24">
                          <w:rPr>
                            <w:rFonts w:asciiTheme="minorHAnsi" w:hAnsiTheme="minorHAnsi"/>
                            <w:b/>
                            <w:sz w:val="22"/>
                            <w:lang w:val="en"/>
                          </w:rPr>
                          <w:fldChar w:fldCharType="separate"/>
                        </w:r>
                        <w:r>
                          <w:rPr>
                            <w:rFonts w:asciiTheme="minorHAnsi" w:hAnsiTheme="minorHAnsi"/>
                            <w:b/>
                            <w:noProof/>
                            <w:sz w:val="22"/>
                            <w:lang w:val="en"/>
                          </w:rPr>
                          <w:t>1</w:t>
                        </w:r>
                        <w:r w:rsidR="00E76A24" w:rsidRPr="00E76A24">
                          <w:rPr>
                            <w:rFonts w:asciiTheme="minorHAnsi" w:hAnsiTheme="minorHAnsi"/>
                            <w:b/>
                            <w:sz w:val="22"/>
                            <w:lang w:val="en"/>
                          </w:rPr>
                          <w:fldChar w:fldCharType="end"/>
                        </w:r>
                      </w:sdtContent>
                    </w:sdt>
                  </w:sdtContent>
                </w:sdt>
              </w:sdtContent>
            </w:sdt>
          </w:p>
          <w:p w14:paraId="79D2E3BB" w14:textId="30B39C44" w:rsidR="00D84ED9" w:rsidRPr="00B6135B" w:rsidRDefault="0009680B" w:rsidP="00D84ED9">
            <w:pPr>
              <w:pStyle w:val="a"/>
              <w:widowControl w:val="0"/>
              <w:jc w:val="left"/>
              <w:rPr>
                <w:rFonts w:asciiTheme="minorHAnsi" w:hAnsiTheme="minorHAnsi" w:cs="Arial"/>
                <w:sz w:val="16"/>
                <w:szCs w:val="16"/>
                <w:lang w:val="fr-FR"/>
              </w:rPr>
            </w:pPr>
            <w:r w:rsidRPr="00B6135B">
              <w:rPr>
                <w:rFonts w:asciiTheme="minorHAnsi" w:hAnsiTheme="minorHAnsi"/>
                <w:sz w:val="16"/>
                <w:szCs w:val="16"/>
                <w:lang w:val="fr-FR"/>
              </w:rPr>
              <w:t xml:space="preserve">Expertise France </w:t>
            </w:r>
            <w:r w:rsidR="00D84ED9" w:rsidRPr="00B6135B">
              <w:rPr>
                <w:rFonts w:asciiTheme="minorHAnsi" w:hAnsiTheme="minorHAnsi"/>
                <w:sz w:val="16"/>
                <w:szCs w:val="16"/>
                <w:lang w:val="fr-FR"/>
              </w:rPr>
              <w:t xml:space="preserve"> </w:t>
            </w:r>
            <w:r w:rsidR="00D84ED9" w:rsidRPr="00B6135B">
              <w:rPr>
                <w:rFonts w:asciiTheme="minorHAnsi" w:hAnsiTheme="minorHAnsi"/>
                <w:sz w:val="16"/>
                <w:szCs w:val="16"/>
                <w:lang w:val="fr-FR"/>
              </w:rPr>
              <w:br/>
            </w:r>
            <w:r w:rsidRPr="00B6135B">
              <w:rPr>
                <w:rFonts w:asciiTheme="minorHAnsi" w:hAnsiTheme="minorHAnsi" w:cs="Arial"/>
                <w:sz w:val="16"/>
                <w:szCs w:val="16"/>
                <w:lang w:val="fr-FR"/>
              </w:rPr>
              <w:t>SIRET : 808 734 792 – 40 Boulevar</w:t>
            </w:r>
            <w:r w:rsidR="00D84ED9" w:rsidRPr="00B6135B">
              <w:rPr>
                <w:rFonts w:asciiTheme="minorHAnsi" w:hAnsiTheme="minorHAnsi" w:cs="Arial"/>
                <w:sz w:val="16"/>
                <w:szCs w:val="16"/>
                <w:lang w:val="fr-FR"/>
              </w:rPr>
              <w:t xml:space="preserve">d </w:t>
            </w:r>
            <w:r w:rsidRPr="00B6135B">
              <w:rPr>
                <w:rFonts w:asciiTheme="minorHAnsi" w:hAnsiTheme="minorHAnsi" w:cs="Arial"/>
                <w:sz w:val="16"/>
                <w:szCs w:val="16"/>
                <w:lang w:val="fr-FR"/>
              </w:rPr>
              <w:t>de Port-Royal, 75</w:t>
            </w:r>
            <w:r w:rsidR="00D84ED9" w:rsidRPr="00B6135B">
              <w:rPr>
                <w:rFonts w:asciiTheme="minorHAnsi" w:hAnsiTheme="minorHAnsi" w:cs="Arial"/>
                <w:sz w:val="16"/>
                <w:szCs w:val="16"/>
                <w:lang w:val="fr-FR"/>
              </w:rPr>
              <w:t>005 PARIS– France</w:t>
            </w:r>
          </w:p>
          <w:p w14:paraId="38C1F828" w14:textId="3802F2F5" w:rsidR="00E76A24" w:rsidRPr="00825775" w:rsidRDefault="00173EFF" w:rsidP="00E76A24">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B5EF2" w14:textId="77777777" w:rsidR="00173EFF" w:rsidRDefault="00173EFF">
      <w:r>
        <w:separator/>
      </w:r>
    </w:p>
  </w:footnote>
  <w:footnote w:type="continuationSeparator" w:id="0">
    <w:p w14:paraId="514BB168" w14:textId="77777777" w:rsidR="00173EFF" w:rsidRDefault="00173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7B7543" w:rsidRDefault="007B7543">
    <w:pPr>
      <w:pStyle w:val="En-tte"/>
    </w:pPr>
    <w:r>
      <w:rPr>
        <w:noProof/>
        <w:lang w:val="fr-FR"/>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173EFF">
      <w:rPr>
        <w:noProof/>
        <w:lang w:val="en"/>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8240;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5E4506CF" w:rsidR="00932E04" w:rsidRPr="00707B69" w:rsidRDefault="00932E04" w:rsidP="00932E04">
    <w:pPr>
      <w:pStyle w:val="En-tte"/>
      <w:rPr>
        <w:rFonts w:ascii="Calibri" w:hAnsi="Calibri" w:cs="Arial"/>
      </w:rPr>
    </w:pPr>
  </w:p>
  <w:p w14:paraId="73772FA7" w14:textId="0E2D9339" w:rsidR="00932E04" w:rsidRPr="00972A8E" w:rsidRDefault="00E76A24" w:rsidP="00932E04">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 xml:space="preserve">Terms of reference / </w:t>
    </w:r>
    <w:r w:rsidR="00932E04">
      <w:rPr>
        <w:rFonts w:ascii="Calibri" w:hAnsi="Calibri" w:cs="Arial"/>
        <w:b/>
        <w:bCs/>
        <w:smallCaps/>
        <w:lang w:val="en"/>
      </w:rPr>
      <w:t>specifications</w:t>
    </w:r>
  </w:p>
  <w:p w14:paraId="3E6C0A6F" w14:textId="0FC1B7B2" w:rsidR="00932E04" w:rsidRPr="00972A8E" w:rsidRDefault="00932E04" w:rsidP="00932E04">
    <w:pPr>
      <w:pStyle w:val="En-tte"/>
      <w:tabs>
        <w:tab w:val="clear" w:pos="4536"/>
        <w:tab w:val="clear" w:pos="9072"/>
        <w:tab w:val="right" w:pos="9781"/>
      </w:tabs>
      <w:rPr>
        <w:rFonts w:ascii="Calibri" w:hAnsi="Calibri" w:cs="Arial"/>
        <w:sz w:val="18"/>
        <w:u w:val="single"/>
      </w:rPr>
    </w:pPr>
    <w:r>
      <w:rPr>
        <w:u w:val="single"/>
        <w:lang w:val="en"/>
      </w:rPr>
      <w:tab/>
    </w:r>
  </w:p>
  <w:p w14:paraId="76B902E6" w14:textId="77777777" w:rsidR="00B27244" w:rsidRPr="00932E04" w:rsidRDefault="00B27244">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C669" w14:textId="489921E2" w:rsidR="007B7543" w:rsidRDefault="00DB0880">
    <w:pPr>
      <w:pStyle w:val="En-tte"/>
    </w:pPr>
    <w:bookmarkStart w:id="1" w:name="_Hlk62125806"/>
    <w:bookmarkStart w:id="2" w:name="_Hlk62125807"/>
    <w:r>
      <w:rPr>
        <w:noProof/>
        <w:lang w:val="fr-FR"/>
      </w:rPr>
      <w:drawing>
        <wp:inline distT="0" distB="0" distL="0" distR="0" wp14:anchorId="3EC9CC70" wp14:editId="59231A03">
          <wp:extent cx="2124000" cy="111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17177" r="11040" b="15859"/>
                  <a:stretch/>
                </pic:blipFill>
                <pic:spPr bwMode="auto">
                  <a:xfrm>
                    <a:off x="0" y="0"/>
                    <a:ext cx="2124000" cy="1116000"/>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610C1D"/>
    <w:multiLevelType w:val="multilevel"/>
    <w:tmpl w:val="C768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5AF7"/>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9F3A59"/>
    <w:multiLevelType w:val="multilevel"/>
    <w:tmpl w:val="C7CEDA5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7" w15:restartNumberingAfterBreak="0">
    <w:nsid w:val="4A707B3F"/>
    <w:multiLevelType w:val="multilevel"/>
    <w:tmpl w:val="C7CEDA5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76E14"/>
    <w:multiLevelType w:val="hybridMultilevel"/>
    <w:tmpl w:val="6FCA21B8"/>
    <w:lvl w:ilvl="0" w:tplc="7C92792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C7CAE"/>
    <w:multiLevelType w:val="multilevel"/>
    <w:tmpl w:val="C7CEDA5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13B12"/>
    <w:multiLevelType w:val="multilevel"/>
    <w:tmpl w:val="AA50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6"/>
  </w:num>
  <w:num w:numId="5">
    <w:abstractNumId w:val="2"/>
  </w:num>
  <w:num w:numId="6">
    <w:abstractNumId w:val="0"/>
  </w:num>
  <w:num w:numId="7">
    <w:abstractNumId w:val="7"/>
  </w:num>
  <w:num w:numId="8">
    <w:abstractNumId w:val="5"/>
  </w:num>
  <w:num w:numId="9">
    <w:abstractNumId w:val="10"/>
  </w:num>
  <w:num w:numId="10">
    <w:abstractNumId w:val="8"/>
  </w:num>
  <w:num w:numId="11">
    <w:abstractNumId w:val="11"/>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308A"/>
    <w:rsid w:val="00016D5B"/>
    <w:rsid w:val="00023D47"/>
    <w:rsid w:val="000246F8"/>
    <w:rsid w:val="0002793D"/>
    <w:rsid w:val="00030FE2"/>
    <w:rsid w:val="00043041"/>
    <w:rsid w:val="0005150B"/>
    <w:rsid w:val="00053BFC"/>
    <w:rsid w:val="00055120"/>
    <w:rsid w:val="00055547"/>
    <w:rsid w:val="00060146"/>
    <w:rsid w:val="000630CD"/>
    <w:rsid w:val="00067734"/>
    <w:rsid w:val="0007063D"/>
    <w:rsid w:val="00074E17"/>
    <w:rsid w:val="000942EE"/>
    <w:rsid w:val="0009628C"/>
    <w:rsid w:val="0009680B"/>
    <w:rsid w:val="000972A8"/>
    <w:rsid w:val="000B01CF"/>
    <w:rsid w:val="000B23F1"/>
    <w:rsid w:val="000B5012"/>
    <w:rsid w:val="000B7D24"/>
    <w:rsid w:val="000C38CD"/>
    <w:rsid w:val="000D0C1B"/>
    <w:rsid w:val="000E75D7"/>
    <w:rsid w:val="0010576D"/>
    <w:rsid w:val="0010646A"/>
    <w:rsid w:val="001133D5"/>
    <w:rsid w:val="001343FC"/>
    <w:rsid w:val="00135AF5"/>
    <w:rsid w:val="0013667A"/>
    <w:rsid w:val="001441C8"/>
    <w:rsid w:val="00152A9E"/>
    <w:rsid w:val="00160227"/>
    <w:rsid w:val="00161C54"/>
    <w:rsid w:val="0016429A"/>
    <w:rsid w:val="0017140E"/>
    <w:rsid w:val="00173EFF"/>
    <w:rsid w:val="001778FD"/>
    <w:rsid w:val="00181B27"/>
    <w:rsid w:val="00182325"/>
    <w:rsid w:val="001861DC"/>
    <w:rsid w:val="00187AD4"/>
    <w:rsid w:val="001927C4"/>
    <w:rsid w:val="0019451A"/>
    <w:rsid w:val="001A1B09"/>
    <w:rsid w:val="001A29FD"/>
    <w:rsid w:val="001B261A"/>
    <w:rsid w:val="001B7333"/>
    <w:rsid w:val="001C4EE8"/>
    <w:rsid w:val="001C534A"/>
    <w:rsid w:val="001C6D6C"/>
    <w:rsid w:val="001D25A3"/>
    <w:rsid w:val="001D27F6"/>
    <w:rsid w:val="001D6119"/>
    <w:rsid w:val="001E5EB8"/>
    <w:rsid w:val="001E6E76"/>
    <w:rsid w:val="0020249E"/>
    <w:rsid w:val="00225A55"/>
    <w:rsid w:val="002548E3"/>
    <w:rsid w:val="00255FE2"/>
    <w:rsid w:val="00257A40"/>
    <w:rsid w:val="00257AA9"/>
    <w:rsid w:val="00261EB0"/>
    <w:rsid w:val="00270C39"/>
    <w:rsid w:val="00281B2F"/>
    <w:rsid w:val="00282BCD"/>
    <w:rsid w:val="00283E74"/>
    <w:rsid w:val="00286AC5"/>
    <w:rsid w:val="00292DA8"/>
    <w:rsid w:val="00295424"/>
    <w:rsid w:val="002A361E"/>
    <w:rsid w:val="002B55DC"/>
    <w:rsid w:val="002B6697"/>
    <w:rsid w:val="002C2D52"/>
    <w:rsid w:val="002C6EDB"/>
    <w:rsid w:val="002D64BE"/>
    <w:rsid w:val="002E2558"/>
    <w:rsid w:val="002E707A"/>
    <w:rsid w:val="002F56B7"/>
    <w:rsid w:val="00304DFC"/>
    <w:rsid w:val="00310F15"/>
    <w:rsid w:val="0031649A"/>
    <w:rsid w:val="00320ED4"/>
    <w:rsid w:val="0032535E"/>
    <w:rsid w:val="00342D93"/>
    <w:rsid w:val="00344712"/>
    <w:rsid w:val="003535FF"/>
    <w:rsid w:val="0035719D"/>
    <w:rsid w:val="003607E4"/>
    <w:rsid w:val="00361C7F"/>
    <w:rsid w:val="00361E2D"/>
    <w:rsid w:val="0036493B"/>
    <w:rsid w:val="00373D7B"/>
    <w:rsid w:val="0038720C"/>
    <w:rsid w:val="00390C30"/>
    <w:rsid w:val="003A0700"/>
    <w:rsid w:val="003A7185"/>
    <w:rsid w:val="003A7507"/>
    <w:rsid w:val="003B79B7"/>
    <w:rsid w:val="0041571A"/>
    <w:rsid w:val="004252AC"/>
    <w:rsid w:val="004373AA"/>
    <w:rsid w:val="004648A3"/>
    <w:rsid w:val="0047117E"/>
    <w:rsid w:val="00475709"/>
    <w:rsid w:val="00483E58"/>
    <w:rsid w:val="004A529D"/>
    <w:rsid w:val="004B27A3"/>
    <w:rsid w:val="004B4F74"/>
    <w:rsid w:val="004B73C3"/>
    <w:rsid w:val="004B7D32"/>
    <w:rsid w:val="004C1D0E"/>
    <w:rsid w:val="004C2D44"/>
    <w:rsid w:val="004C75F9"/>
    <w:rsid w:val="004D28C2"/>
    <w:rsid w:val="004D4894"/>
    <w:rsid w:val="004F0DD7"/>
    <w:rsid w:val="00504682"/>
    <w:rsid w:val="00510D07"/>
    <w:rsid w:val="00527F33"/>
    <w:rsid w:val="005433DB"/>
    <w:rsid w:val="00544DBE"/>
    <w:rsid w:val="00553133"/>
    <w:rsid w:val="005543AC"/>
    <w:rsid w:val="005568BE"/>
    <w:rsid w:val="00561408"/>
    <w:rsid w:val="005640DD"/>
    <w:rsid w:val="00566B92"/>
    <w:rsid w:val="00570273"/>
    <w:rsid w:val="005705AC"/>
    <w:rsid w:val="00572A2F"/>
    <w:rsid w:val="00573F5D"/>
    <w:rsid w:val="00582DF4"/>
    <w:rsid w:val="005A0EBB"/>
    <w:rsid w:val="005C0011"/>
    <w:rsid w:val="005C0BC2"/>
    <w:rsid w:val="005C1113"/>
    <w:rsid w:val="005D7CC6"/>
    <w:rsid w:val="005E242C"/>
    <w:rsid w:val="00600B22"/>
    <w:rsid w:val="00606D3A"/>
    <w:rsid w:val="00612D61"/>
    <w:rsid w:val="00631124"/>
    <w:rsid w:val="00671483"/>
    <w:rsid w:val="006760B5"/>
    <w:rsid w:val="006915E8"/>
    <w:rsid w:val="006B4815"/>
    <w:rsid w:val="006B565D"/>
    <w:rsid w:val="006B5831"/>
    <w:rsid w:val="006C53A4"/>
    <w:rsid w:val="006D0316"/>
    <w:rsid w:val="006D0357"/>
    <w:rsid w:val="006D53E3"/>
    <w:rsid w:val="006D71C7"/>
    <w:rsid w:val="00715A39"/>
    <w:rsid w:val="007221B0"/>
    <w:rsid w:val="00724D6B"/>
    <w:rsid w:val="00725A3A"/>
    <w:rsid w:val="0074075A"/>
    <w:rsid w:val="007473D6"/>
    <w:rsid w:val="0076221F"/>
    <w:rsid w:val="007648E0"/>
    <w:rsid w:val="0076595C"/>
    <w:rsid w:val="00774361"/>
    <w:rsid w:val="007760B9"/>
    <w:rsid w:val="00777EC5"/>
    <w:rsid w:val="00781C92"/>
    <w:rsid w:val="0078270B"/>
    <w:rsid w:val="007A6627"/>
    <w:rsid w:val="007A68E0"/>
    <w:rsid w:val="007A6963"/>
    <w:rsid w:val="007A78AB"/>
    <w:rsid w:val="007B7543"/>
    <w:rsid w:val="007C5930"/>
    <w:rsid w:val="007C5E84"/>
    <w:rsid w:val="007E2C68"/>
    <w:rsid w:val="007E3BA6"/>
    <w:rsid w:val="007F1763"/>
    <w:rsid w:val="007F5618"/>
    <w:rsid w:val="007F60F3"/>
    <w:rsid w:val="00800DE5"/>
    <w:rsid w:val="00802FB2"/>
    <w:rsid w:val="00807BE1"/>
    <w:rsid w:val="00811A93"/>
    <w:rsid w:val="008145B9"/>
    <w:rsid w:val="00816671"/>
    <w:rsid w:val="00826321"/>
    <w:rsid w:val="00851ADF"/>
    <w:rsid w:val="008570BD"/>
    <w:rsid w:val="00861094"/>
    <w:rsid w:val="00862471"/>
    <w:rsid w:val="0086416C"/>
    <w:rsid w:val="00877D7A"/>
    <w:rsid w:val="008904E9"/>
    <w:rsid w:val="00894FD8"/>
    <w:rsid w:val="008A1BC0"/>
    <w:rsid w:val="008A3A79"/>
    <w:rsid w:val="008A59C4"/>
    <w:rsid w:val="008B2668"/>
    <w:rsid w:val="008B3831"/>
    <w:rsid w:val="008B4C74"/>
    <w:rsid w:val="008B5A29"/>
    <w:rsid w:val="008C0578"/>
    <w:rsid w:val="008D5785"/>
    <w:rsid w:val="008D75B1"/>
    <w:rsid w:val="008E1E88"/>
    <w:rsid w:val="008E2E66"/>
    <w:rsid w:val="008E7E3F"/>
    <w:rsid w:val="008F436C"/>
    <w:rsid w:val="008F5EE2"/>
    <w:rsid w:val="0090138E"/>
    <w:rsid w:val="00906B81"/>
    <w:rsid w:val="00911946"/>
    <w:rsid w:val="0091201F"/>
    <w:rsid w:val="009236DE"/>
    <w:rsid w:val="00925D18"/>
    <w:rsid w:val="00932C58"/>
    <w:rsid w:val="00932E04"/>
    <w:rsid w:val="00934199"/>
    <w:rsid w:val="0094211D"/>
    <w:rsid w:val="00957B58"/>
    <w:rsid w:val="009649DE"/>
    <w:rsid w:val="00965444"/>
    <w:rsid w:val="009724D1"/>
    <w:rsid w:val="00972757"/>
    <w:rsid w:val="009758EA"/>
    <w:rsid w:val="0098243A"/>
    <w:rsid w:val="00982D83"/>
    <w:rsid w:val="00983FF0"/>
    <w:rsid w:val="00996A10"/>
    <w:rsid w:val="009A0825"/>
    <w:rsid w:val="009A38B1"/>
    <w:rsid w:val="009C0F46"/>
    <w:rsid w:val="009D6EC9"/>
    <w:rsid w:val="009F29F4"/>
    <w:rsid w:val="00A07668"/>
    <w:rsid w:val="00A10213"/>
    <w:rsid w:val="00A14686"/>
    <w:rsid w:val="00A211B9"/>
    <w:rsid w:val="00A21B0C"/>
    <w:rsid w:val="00A25884"/>
    <w:rsid w:val="00A25CED"/>
    <w:rsid w:val="00A26A8E"/>
    <w:rsid w:val="00A36719"/>
    <w:rsid w:val="00A40DDD"/>
    <w:rsid w:val="00A475DB"/>
    <w:rsid w:val="00A549E0"/>
    <w:rsid w:val="00A55B78"/>
    <w:rsid w:val="00A60925"/>
    <w:rsid w:val="00A62141"/>
    <w:rsid w:val="00A671D9"/>
    <w:rsid w:val="00A67B64"/>
    <w:rsid w:val="00A84C5B"/>
    <w:rsid w:val="00AC0DEF"/>
    <w:rsid w:val="00AC26E5"/>
    <w:rsid w:val="00AC47A6"/>
    <w:rsid w:val="00AD29F0"/>
    <w:rsid w:val="00AD7027"/>
    <w:rsid w:val="00AE410D"/>
    <w:rsid w:val="00AF182F"/>
    <w:rsid w:val="00AF1C79"/>
    <w:rsid w:val="00AF24A3"/>
    <w:rsid w:val="00AF2678"/>
    <w:rsid w:val="00AF63C1"/>
    <w:rsid w:val="00AF703C"/>
    <w:rsid w:val="00B02F58"/>
    <w:rsid w:val="00B16ED1"/>
    <w:rsid w:val="00B171B0"/>
    <w:rsid w:val="00B24880"/>
    <w:rsid w:val="00B27244"/>
    <w:rsid w:val="00B273CE"/>
    <w:rsid w:val="00B32E29"/>
    <w:rsid w:val="00B37501"/>
    <w:rsid w:val="00B40E67"/>
    <w:rsid w:val="00B42C0A"/>
    <w:rsid w:val="00B4707E"/>
    <w:rsid w:val="00B57214"/>
    <w:rsid w:val="00B57243"/>
    <w:rsid w:val="00B6135B"/>
    <w:rsid w:val="00B63A59"/>
    <w:rsid w:val="00B63DCD"/>
    <w:rsid w:val="00B64DF6"/>
    <w:rsid w:val="00B64E1D"/>
    <w:rsid w:val="00B66BE6"/>
    <w:rsid w:val="00B8478A"/>
    <w:rsid w:val="00BB0137"/>
    <w:rsid w:val="00BB29B0"/>
    <w:rsid w:val="00BC486D"/>
    <w:rsid w:val="00BC7397"/>
    <w:rsid w:val="00BD7CF0"/>
    <w:rsid w:val="00BE065F"/>
    <w:rsid w:val="00BE73A8"/>
    <w:rsid w:val="00BF13D5"/>
    <w:rsid w:val="00BF1DCD"/>
    <w:rsid w:val="00BF2506"/>
    <w:rsid w:val="00C04448"/>
    <w:rsid w:val="00C2325C"/>
    <w:rsid w:val="00C37578"/>
    <w:rsid w:val="00C41B22"/>
    <w:rsid w:val="00C47B21"/>
    <w:rsid w:val="00C558B8"/>
    <w:rsid w:val="00C56AB3"/>
    <w:rsid w:val="00C74FA7"/>
    <w:rsid w:val="00C7752A"/>
    <w:rsid w:val="00C823E2"/>
    <w:rsid w:val="00C858E7"/>
    <w:rsid w:val="00C85939"/>
    <w:rsid w:val="00C90734"/>
    <w:rsid w:val="00C96EB6"/>
    <w:rsid w:val="00CA3272"/>
    <w:rsid w:val="00CA7B5D"/>
    <w:rsid w:val="00CB6554"/>
    <w:rsid w:val="00CB6DBF"/>
    <w:rsid w:val="00CB7AA1"/>
    <w:rsid w:val="00CC6FDD"/>
    <w:rsid w:val="00CD74FC"/>
    <w:rsid w:val="00CD7D48"/>
    <w:rsid w:val="00CE209F"/>
    <w:rsid w:val="00CE2850"/>
    <w:rsid w:val="00CE537C"/>
    <w:rsid w:val="00CF79E2"/>
    <w:rsid w:val="00D004C1"/>
    <w:rsid w:val="00D15F32"/>
    <w:rsid w:val="00D162B7"/>
    <w:rsid w:val="00D216E0"/>
    <w:rsid w:val="00D31392"/>
    <w:rsid w:val="00D4352B"/>
    <w:rsid w:val="00D53D65"/>
    <w:rsid w:val="00D70E4C"/>
    <w:rsid w:val="00D714C6"/>
    <w:rsid w:val="00D84ED9"/>
    <w:rsid w:val="00D8743B"/>
    <w:rsid w:val="00D95E08"/>
    <w:rsid w:val="00D97354"/>
    <w:rsid w:val="00DA3034"/>
    <w:rsid w:val="00DB0880"/>
    <w:rsid w:val="00DC4589"/>
    <w:rsid w:val="00DC5E4B"/>
    <w:rsid w:val="00DC7B58"/>
    <w:rsid w:val="00DD197B"/>
    <w:rsid w:val="00DD7DDE"/>
    <w:rsid w:val="00DE4EEB"/>
    <w:rsid w:val="00DE7E0A"/>
    <w:rsid w:val="00DF0383"/>
    <w:rsid w:val="00DF55BA"/>
    <w:rsid w:val="00DF6F9D"/>
    <w:rsid w:val="00E02FAD"/>
    <w:rsid w:val="00E11EE8"/>
    <w:rsid w:val="00E1340B"/>
    <w:rsid w:val="00E167A2"/>
    <w:rsid w:val="00E232E1"/>
    <w:rsid w:val="00E274DF"/>
    <w:rsid w:val="00E45738"/>
    <w:rsid w:val="00E554EE"/>
    <w:rsid w:val="00E55911"/>
    <w:rsid w:val="00E56034"/>
    <w:rsid w:val="00E61983"/>
    <w:rsid w:val="00E61D25"/>
    <w:rsid w:val="00E67FC4"/>
    <w:rsid w:val="00E76A24"/>
    <w:rsid w:val="00E854FF"/>
    <w:rsid w:val="00E86382"/>
    <w:rsid w:val="00E91D2F"/>
    <w:rsid w:val="00E9411A"/>
    <w:rsid w:val="00EA4B51"/>
    <w:rsid w:val="00EC1623"/>
    <w:rsid w:val="00EC3375"/>
    <w:rsid w:val="00EC5FEA"/>
    <w:rsid w:val="00EC666D"/>
    <w:rsid w:val="00ED79FF"/>
    <w:rsid w:val="00EE0F08"/>
    <w:rsid w:val="00EF6139"/>
    <w:rsid w:val="00F0399F"/>
    <w:rsid w:val="00F03AE9"/>
    <w:rsid w:val="00F05694"/>
    <w:rsid w:val="00F112B8"/>
    <w:rsid w:val="00F135FB"/>
    <w:rsid w:val="00F17A78"/>
    <w:rsid w:val="00F34369"/>
    <w:rsid w:val="00F37989"/>
    <w:rsid w:val="00F60786"/>
    <w:rsid w:val="00F625A2"/>
    <w:rsid w:val="00F67012"/>
    <w:rsid w:val="00F71F65"/>
    <w:rsid w:val="00F7782D"/>
    <w:rsid w:val="00F82B31"/>
    <w:rsid w:val="00F84E72"/>
    <w:rsid w:val="00F9788D"/>
    <w:rsid w:val="00FA0D71"/>
    <w:rsid w:val="00FB3002"/>
    <w:rsid w:val="00FC6E01"/>
    <w:rsid w:val="00FC73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35CC4EDB-AE78-4EA1-9797-56C53272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lang w:val="en-GB"/>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1">
    <w:name w:val="Paragraphe de liste1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basedOn w:val="Normal"/>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textepuce2">
    <w:name w:val="texte puce2"/>
    <w:basedOn w:val="Normal"/>
    <w:rsid w:val="00E76A24"/>
    <w:pPr>
      <w:numPr>
        <w:numId w:val="6"/>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paragraph" w:styleId="NormalWeb">
    <w:name w:val="Normal (Web)"/>
    <w:basedOn w:val="Normal"/>
    <w:uiPriority w:val="99"/>
    <w:unhideWhenUsed/>
    <w:rsid w:val="00053BFC"/>
    <w:pPr>
      <w:spacing w:before="100" w:beforeAutospacing="1" w:after="100" w:afterAutospacing="1"/>
    </w:pPr>
    <w:rPr>
      <w:lang w:eastAsia="en-GB"/>
    </w:rPr>
  </w:style>
  <w:style w:type="character" w:styleId="lev">
    <w:name w:val="Strong"/>
    <w:basedOn w:val="Policepardfaut"/>
    <w:uiPriority w:val="22"/>
    <w:qFormat/>
    <w:rsid w:val="00AD2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9583">
      <w:bodyDiv w:val="1"/>
      <w:marLeft w:val="0"/>
      <w:marRight w:val="0"/>
      <w:marTop w:val="0"/>
      <w:marBottom w:val="0"/>
      <w:divBdr>
        <w:top w:val="none" w:sz="0" w:space="0" w:color="auto"/>
        <w:left w:val="none" w:sz="0" w:space="0" w:color="auto"/>
        <w:bottom w:val="none" w:sz="0" w:space="0" w:color="auto"/>
        <w:right w:val="none" w:sz="0" w:space="0" w:color="auto"/>
      </w:divBdr>
    </w:div>
    <w:div w:id="203569164">
      <w:bodyDiv w:val="1"/>
      <w:marLeft w:val="0"/>
      <w:marRight w:val="0"/>
      <w:marTop w:val="0"/>
      <w:marBottom w:val="0"/>
      <w:divBdr>
        <w:top w:val="none" w:sz="0" w:space="0" w:color="auto"/>
        <w:left w:val="none" w:sz="0" w:space="0" w:color="auto"/>
        <w:bottom w:val="none" w:sz="0" w:space="0" w:color="auto"/>
        <w:right w:val="none" w:sz="0" w:space="0" w:color="auto"/>
      </w:divBdr>
    </w:div>
    <w:div w:id="236523636">
      <w:bodyDiv w:val="1"/>
      <w:marLeft w:val="0"/>
      <w:marRight w:val="0"/>
      <w:marTop w:val="0"/>
      <w:marBottom w:val="0"/>
      <w:divBdr>
        <w:top w:val="none" w:sz="0" w:space="0" w:color="auto"/>
        <w:left w:val="none" w:sz="0" w:space="0" w:color="auto"/>
        <w:bottom w:val="none" w:sz="0" w:space="0" w:color="auto"/>
        <w:right w:val="none" w:sz="0" w:space="0" w:color="auto"/>
      </w:divBdr>
    </w:div>
    <w:div w:id="301234059">
      <w:bodyDiv w:val="1"/>
      <w:marLeft w:val="0"/>
      <w:marRight w:val="0"/>
      <w:marTop w:val="0"/>
      <w:marBottom w:val="0"/>
      <w:divBdr>
        <w:top w:val="none" w:sz="0" w:space="0" w:color="auto"/>
        <w:left w:val="none" w:sz="0" w:space="0" w:color="auto"/>
        <w:bottom w:val="none" w:sz="0" w:space="0" w:color="auto"/>
        <w:right w:val="none" w:sz="0" w:space="0" w:color="auto"/>
      </w:divBdr>
    </w:div>
    <w:div w:id="310409394">
      <w:bodyDiv w:val="1"/>
      <w:marLeft w:val="0"/>
      <w:marRight w:val="0"/>
      <w:marTop w:val="0"/>
      <w:marBottom w:val="0"/>
      <w:divBdr>
        <w:top w:val="none" w:sz="0" w:space="0" w:color="auto"/>
        <w:left w:val="none" w:sz="0" w:space="0" w:color="auto"/>
        <w:bottom w:val="none" w:sz="0" w:space="0" w:color="auto"/>
        <w:right w:val="none" w:sz="0" w:space="0" w:color="auto"/>
      </w:divBdr>
    </w:div>
    <w:div w:id="342979537">
      <w:bodyDiv w:val="1"/>
      <w:marLeft w:val="0"/>
      <w:marRight w:val="0"/>
      <w:marTop w:val="0"/>
      <w:marBottom w:val="0"/>
      <w:divBdr>
        <w:top w:val="none" w:sz="0" w:space="0" w:color="auto"/>
        <w:left w:val="none" w:sz="0" w:space="0" w:color="auto"/>
        <w:bottom w:val="none" w:sz="0" w:space="0" w:color="auto"/>
        <w:right w:val="none" w:sz="0" w:space="0" w:color="auto"/>
      </w:divBdr>
    </w:div>
    <w:div w:id="583152309">
      <w:bodyDiv w:val="1"/>
      <w:marLeft w:val="0"/>
      <w:marRight w:val="0"/>
      <w:marTop w:val="0"/>
      <w:marBottom w:val="0"/>
      <w:divBdr>
        <w:top w:val="none" w:sz="0" w:space="0" w:color="auto"/>
        <w:left w:val="none" w:sz="0" w:space="0" w:color="auto"/>
        <w:bottom w:val="none" w:sz="0" w:space="0" w:color="auto"/>
        <w:right w:val="none" w:sz="0" w:space="0" w:color="auto"/>
      </w:divBdr>
    </w:div>
    <w:div w:id="637108184">
      <w:bodyDiv w:val="1"/>
      <w:marLeft w:val="0"/>
      <w:marRight w:val="0"/>
      <w:marTop w:val="0"/>
      <w:marBottom w:val="0"/>
      <w:divBdr>
        <w:top w:val="none" w:sz="0" w:space="0" w:color="auto"/>
        <w:left w:val="none" w:sz="0" w:space="0" w:color="auto"/>
        <w:bottom w:val="none" w:sz="0" w:space="0" w:color="auto"/>
        <w:right w:val="none" w:sz="0" w:space="0" w:color="auto"/>
      </w:divBdr>
    </w:div>
    <w:div w:id="651249697">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707991338">
      <w:bodyDiv w:val="1"/>
      <w:marLeft w:val="0"/>
      <w:marRight w:val="0"/>
      <w:marTop w:val="0"/>
      <w:marBottom w:val="0"/>
      <w:divBdr>
        <w:top w:val="none" w:sz="0" w:space="0" w:color="auto"/>
        <w:left w:val="none" w:sz="0" w:space="0" w:color="auto"/>
        <w:bottom w:val="none" w:sz="0" w:space="0" w:color="auto"/>
        <w:right w:val="none" w:sz="0" w:space="0" w:color="auto"/>
      </w:divBdr>
    </w:div>
    <w:div w:id="806632996">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7760927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017925247">
      <w:bodyDiv w:val="1"/>
      <w:marLeft w:val="0"/>
      <w:marRight w:val="0"/>
      <w:marTop w:val="0"/>
      <w:marBottom w:val="0"/>
      <w:divBdr>
        <w:top w:val="none" w:sz="0" w:space="0" w:color="auto"/>
        <w:left w:val="none" w:sz="0" w:space="0" w:color="auto"/>
        <w:bottom w:val="none" w:sz="0" w:space="0" w:color="auto"/>
        <w:right w:val="none" w:sz="0" w:space="0" w:color="auto"/>
      </w:divBdr>
    </w:div>
    <w:div w:id="1111516680">
      <w:bodyDiv w:val="1"/>
      <w:marLeft w:val="0"/>
      <w:marRight w:val="0"/>
      <w:marTop w:val="0"/>
      <w:marBottom w:val="0"/>
      <w:divBdr>
        <w:top w:val="none" w:sz="0" w:space="0" w:color="auto"/>
        <w:left w:val="none" w:sz="0" w:space="0" w:color="auto"/>
        <w:bottom w:val="none" w:sz="0" w:space="0" w:color="auto"/>
        <w:right w:val="none" w:sz="0" w:space="0" w:color="auto"/>
      </w:divBdr>
    </w:div>
    <w:div w:id="1215701461">
      <w:bodyDiv w:val="1"/>
      <w:marLeft w:val="0"/>
      <w:marRight w:val="0"/>
      <w:marTop w:val="0"/>
      <w:marBottom w:val="0"/>
      <w:divBdr>
        <w:top w:val="none" w:sz="0" w:space="0" w:color="auto"/>
        <w:left w:val="none" w:sz="0" w:space="0" w:color="auto"/>
        <w:bottom w:val="none" w:sz="0" w:space="0" w:color="auto"/>
        <w:right w:val="none" w:sz="0" w:space="0" w:color="auto"/>
      </w:divBdr>
    </w:div>
    <w:div w:id="1452094253">
      <w:bodyDiv w:val="1"/>
      <w:marLeft w:val="0"/>
      <w:marRight w:val="0"/>
      <w:marTop w:val="0"/>
      <w:marBottom w:val="0"/>
      <w:divBdr>
        <w:top w:val="none" w:sz="0" w:space="0" w:color="auto"/>
        <w:left w:val="none" w:sz="0" w:space="0" w:color="auto"/>
        <w:bottom w:val="none" w:sz="0" w:space="0" w:color="auto"/>
        <w:right w:val="none" w:sz="0" w:space="0" w:color="auto"/>
      </w:divBdr>
    </w:div>
    <w:div w:id="1593121609">
      <w:bodyDiv w:val="1"/>
      <w:marLeft w:val="0"/>
      <w:marRight w:val="0"/>
      <w:marTop w:val="0"/>
      <w:marBottom w:val="0"/>
      <w:divBdr>
        <w:top w:val="none" w:sz="0" w:space="0" w:color="auto"/>
        <w:left w:val="none" w:sz="0" w:space="0" w:color="auto"/>
        <w:bottom w:val="none" w:sz="0" w:space="0" w:color="auto"/>
        <w:right w:val="none" w:sz="0" w:space="0" w:color="auto"/>
      </w:divBdr>
    </w:div>
    <w:div w:id="1624460810">
      <w:bodyDiv w:val="1"/>
      <w:marLeft w:val="0"/>
      <w:marRight w:val="0"/>
      <w:marTop w:val="0"/>
      <w:marBottom w:val="0"/>
      <w:divBdr>
        <w:top w:val="none" w:sz="0" w:space="0" w:color="auto"/>
        <w:left w:val="none" w:sz="0" w:space="0" w:color="auto"/>
        <w:bottom w:val="none" w:sz="0" w:space="0" w:color="auto"/>
        <w:right w:val="none" w:sz="0" w:space="0" w:color="auto"/>
      </w:divBdr>
    </w:div>
    <w:div w:id="1627547365">
      <w:bodyDiv w:val="1"/>
      <w:marLeft w:val="0"/>
      <w:marRight w:val="0"/>
      <w:marTop w:val="0"/>
      <w:marBottom w:val="0"/>
      <w:divBdr>
        <w:top w:val="none" w:sz="0" w:space="0" w:color="auto"/>
        <w:left w:val="none" w:sz="0" w:space="0" w:color="auto"/>
        <w:bottom w:val="none" w:sz="0" w:space="0" w:color="auto"/>
        <w:right w:val="none" w:sz="0" w:space="0" w:color="auto"/>
      </w:divBdr>
    </w:div>
    <w:div w:id="1681933746">
      <w:bodyDiv w:val="1"/>
      <w:marLeft w:val="0"/>
      <w:marRight w:val="0"/>
      <w:marTop w:val="0"/>
      <w:marBottom w:val="0"/>
      <w:divBdr>
        <w:top w:val="none" w:sz="0" w:space="0" w:color="auto"/>
        <w:left w:val="none" w:sz="0" w:space="0" w:color="auto"/>
        <w:bottom w:val="none" w:sz="0" w:space="0" w:color="auto"/>
        <w:right w:val="none" w:sz="0" w:space="0" w:color="auto"/>
      </w:divBdr>
    </w:div>
    <w:div w:id="1754661301">
      <w:bodyDiv w:val="1"/>
      <w:marLeft w:val="0"/>
      <w:marRight w:val="0"/>
      <w:marTop w:val="0"/>
      <w:marBottom w:val="0"/>
      <w:divBdr>
        <w:top w:val="none" w:sz="0" w:space="0" w:color="auto"/>
        <w:left w:val="none" w:sz="0" w:space="0" w:color="auto"/>
        <w:bottom w:val="none" w:sz="0" w:space="0" w:color="auto"/>
        <w:right w:val="none" w:sz="0" w:space="0" w:color="auto"/>
      </w:divBdr>
    </w:div>
    <w:div w:id="1810856651">
      <w:bodyDiv w:val="1"/>
      <w:marLeft w:val="0"/>
      <w:marRight w:val="0"/>
      <w:marTop w:val="0"/>
      <w:marBottom w:val="0"/>
      <w:divBdr>
        <w:top w:val="none" w:sz="0" w:space="0" w:color="auto"/>
        <w:left w:val="none" w:sz="0" w:space="0" w:color="auto"/>
        <w:bottom w:val="none" w:sz="0" w:space="0" w:color="auto"/>
        <w:right w:val="none" w:sz="0" w:space="0" w:color="auto"/>
      </w:divBdr>
    </w:div>
    <w:div w:id="1883439699">
      <w:bodyDiv w:val="1"/>
      <w:marLeft w:val="0"/>
      <w:marRight w:val="0"/>
      <w:marTop w:val="0"/>
      <w:marBottom w:val="0"/>
      <w:divBdr>
        <w:top w:val="none" w:sz="0" w:space="0" w:color="auto"/>
        <w:left w:val="none" w:sz="0" w:space="0" w:color="auto"/>
        <w:bottom w:val="none" w:sz="0" w:space="0" w:color="auto"/>
        <w:right w:val="none" w:sz="0" w:space="0" w:color="auto"/>
      </w:divBdr>
    </w:div>
    <w:div w:id="1963725497">
      <w:bodyDiv w:val="1"/>
      <w:marLeft w:val="0"/>
      <w:marRight w:val="0"/>
      <w:marTop w:val="0"/>
      <w:marBottom w:val="0"/>
      <w:divBdr>
        <w:top w:val="none" w:sz="0" w:space="0" w:color="auto"/>
        <w:left w:val="none" w:sz="0" w:space="0" w:color="auto"/>
        <w:bottom w:val="none" w:sz="0" w:space="0" w:color="auto"/>
        <w:right w:val="none" w:sz="0" w:space="0" w:color="auto"/>
      </w:divBdr>
    </w:div>
    <w:div w:id="1967000301">
      <w:bodyDiv w:val="1"/>
      <w:marLeft w:val="0"/>
      <w:marRight w:val="0"/>
      <w:marTop w:val="0"/>
      <w:marBottom w:val="0"/>
      <w:divBdr>
        <w:top w:val="none" w:sz="0" w:space="0" w:color="auto"/>
        <w:left w:val="none" w:sz="0" w:space="0" w:color="auto"/>
        <w:bottom w:val="none" w:sz="0" w:space="0" w:color="auto"/>
        <w:right w:val="none" w:sz="0" w:space="0" w:color="auto"/>
      </w:divBdr>
    </w:div>
    <w:div w:id="1995908642">
      <w:bodyDiv w:val="1"/>
      <w:marLeft w:val="0"/>
      <w:marRight w:val="0"/>
      <w:marTop w:val="0"/>
      <w:marBottom w:val="0"/>
      <w:divBdr>
        <w:top w:val="none" w:sz="0" w:space="0" w:color="auto"/>
        <w:left w:val="none" w:sz="0" w:space="0" w:color="auto"/>
        <w:bottom w:val="none" w:sz="0" w:space="0" w:color="auto"/>
        <w:right w:val="none" w:sz="0" w:space="0" w:color="auto"/>
      </w:divBdr>
    </w:div>
    <w:div w:id="2017146556">
      <w:bodyDiv w:val="1"/>
      <w:marLeft w:val="0"/>
      <w:marRight w:val="0"/>
      <w:marTop w:val="0"/>
      <w:marBottom w:val="0"/>
      <w:divBdr>
        <w:top w:val="none" w:sz="0" w:space="0" w:color="auto"/>
        <w:left w:val="none" w:sz="0" w:space="0" w:color="auto"/>
        <w:bottom w:val="none" w:sz="0" w:space="0" w:color="auto"/>
        <w:right w:val="none" w:sz="0" w:space="0" w:color="auto"/>
      </w:divBdr>
    </w:div>
    <w:div w:id="20661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C964-FC90-4ABB-8132-9508C429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8681</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Termes de Références Missions</vt:lpstr>
      <vt:lpstr>Termes de Références Missions</vt:lpstr>
    </vt:vector>
  </TitlesOfParts>
  <Company>MAE</Company>
  <LinksUpToDate>false</LinksUpToDate>
  <CharactersWithSpaces>10239</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subject/>
  <dc:creator>TRADUTEC</dc:creator>
  <cp:keywords/>
  <dc:description/>
  <cp:lastModifiedBy>Ahmed Zied BENNOUR</cp:lastModifiedBy>
  <cp:revision>2</cp:revision>
  <cp:lastPrinted>2013-05-24T14:05:00Z</cp:lastPrinted>
  <dcterms:created xsi:type="dcterms:W3CDTF">2025-05-16T14:09:00Z</dcterms:created>
  <dcterms:modified xsi:type="dcterms:W3CDTF">2025-05-16T14:09:00Z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83c50e13-2518-4f91-82c9-548f51a17576</vt:lpwstr>
  </property>
</Properties>
</file>