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7448" w14:textId="77777777" w:rsidR="00DF4D0E" w:rsidRPr="00DF4D0E" w:rsidRDefault="00DF4D0E" w:rsidP="002252D1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8"/>
          <w:szCs w:val="6"/>
          <w:lang w:val="fr-FR"/>
        </w:rPr>
      </w:pPr>
    </w:p>
    <w:p w14:paraId="76B38790" w14:textId="3BC580E9" w:rsidR="00C738CC" w:rsidRDefault="00C738CC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28"/>
          <w:szCs w:val="24"/>
          <w:lang w:val="fr-FR"/>
        </w:rPr>
      </w:pPr>
      <w:r>
        <w:rPr>
          <w:rFonts w:asciiTheme="minorHAnsi" w:hAnsiTheme="minorHAnsi" w:cstheme="minorHAnsi"/>
          <w:b/>
          <w:sz w:val="28"/>
          <w:szCs w:val="24"/>
          <w:lang w:val="fr-FR"/>
        </w:rPr>
        <w:t xml:space="preserve">Accompagnement/Appui à la facilitation des </w:t>
      </w:r>
      <w:r w:rsidR="00430DA7">
        <w:rPr>
          <w:rFonts w:asciiTheme="minorHAnsi" w:hAnsiTheme="minorHAnsi" w:cstheme="minorHAnsi"/>
          <w:b/>
          <w:sz w:val="28"/>
          <w:szCs w:val="24"/>
          <w:lang w:val="fr-FR"/>
        </w:rPr>
        <w:t>transports</w:t>
      </w:r>
      <w:r w:rsidR="001434C9" w:rsidRPr="000A40D0">
        <w:rPr>
          <w:rFonts w:asciiTheme="minorHAnsi" w:hAnsiTheme="minorHAnsi" w:cstheme="minorHAnsi"/>
          <w:b/>
          <w:sz w:val="28"/>
          <w:szCs w:val="24"/>
          <w:lang w:val="fr-FR"/>
        </w:rPr>
        <w:t xml:space="preserve"> </w:t>
      </w:r>
      <w:r w:rsidR="00DF4D0E">
        <w:rPr>
          <w:rFonts w:asciiTheme="minorHAnsi" w:hAnsiTheme="minorHAnsi" w:cstheme="minorHAnsi"/>
          <w:b/>
          <w:sz w:val="28"/>
          <w:szCs w:val="24"/>
          <w:lang w:val="fr-FR"/>
        </w:rPr>
        <w:t xml:space="preserve">dans le cadre du programme d’appui aux corridors stratégiques d’Afrique Centrale </w:t>
      </w:r>
    </w:p>
    <w:p w14:paraId="38D64879" w14:textId="0CCA396A" w:rsidR="00DF4D0E" w:rsidRPr="00C738CC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738CC">
        <w:rPr>
          <w:rFonts w:asciiTheme="minorHAnsi" w:hAnsiTheme="minorHAnsi" w:cstheme="minorHAnsi"/>
          <w:b/>
          <w:sz w:val="28"/>
          <w:szCs w:val="24"/>
        </w:rPr>
        <w:t>(</w:t>
      </w:r>
      <w:r w:rsidR="00C738CC">
        <w:rPr>
          <w:rFonts w:asciiTheme="minorHAnsi" w:hAnsiTheme="minorHAnsi" w:cstheme="minorHAnsi"/>
          <w:b/>
          <w:sz w:val="28"/>
          <w:szCs w:val="24"/>
        </w:rPr>
        <w:t>I</w:t>
      </w:r>
      <w:r w:rsidRPr="00C738CC">
        <w:rPr>
          <w:rFonts w:asciiTheme="minorHAnsi" w:hAnsiTheme="minorHAnsi" w:cstheme="minorHAnsi"/>
          <w:b/>
          <w:sz w:val="28"/>
          <w:szCs w:val="24"/>
        </w:rPr>
        <w:t>nitiative Global Gateway de l’UE)</w:t>
      </w:r>
    </w:p>
    <w:p w14:paraId="7729927F" w14:textId="77777777" w:rsidR="00DF4D0E" w:rsidRPr="00C738CC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12"/>
          <w:szCs w:val="10"/>
        </w:rPr>
      </w:pPr>
    </w:p>
    <w:p w14:paraId="2F730B1D" w14:textId="77777777" w:rsidR="00DF4D0E" w:rsidRPr="00DF4D0E" w:rsidRDefault="00DF4D0E" w:rsidP="00DF4D0E">
      <w:pPr>
        <w:shd w:val="clear" w:color="auto" w:fill="002060"/>
        <w:spacing w:after="0"/>
        <w:jc w:val="center"/>
        <w:rPr>
          <w:rFonts w:cstheme="minorHAnsi"/>
          <w:sz w:val="28"/>
          <w:szCs w:val="28"/>
          <w:lang w:val="pt-PT"/>
        </w:rPr>
      </w:pPr>
      <w:r w:rsidRPr="00DF4D0E">
        <w:rPr>
          <w:rFonts w:cstheme="minorHAnsi"/>
          <w:sz w:val="28"/>
          <w:szCs w:val="28"/>
          <w:lang w:val="pt-PT"/>
        </w:rPr>
        <w:t>Corridor n°5 : Libreville-Kribi/Douala-N’Djamena</w:t>
      </w:r>
    </w:p>
    <w:p w14:paraId="24FBCA44" w14:textId="6B7E19D8" w:rsidR="00DF4D0E" w:rsidRPr="00DF4D0E" w:rsidRDefault="00DF4D0E" w:rsidP="00DF4D0E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32"/>
          <w:szCs w:val="28"/>
          <w:lang w:val="pt-PT"/>
        </w:rPr>
      </w:pPr>
      <w:r w:rsidRPr="00DF4D0E">
        <w:rPr>
          <w:rFonts w:cstheme="minorHAnsi"/>
          <w:sz w:val="28"/>
          <w:szCs w:val="28"/>
          <w:lang w:val="pt-PT"/>
        </w:rPr>
        <w:t>Corridor n°6 : Douala/Kribi-Bangui-Kampala</w:t>
      </w:r>
    </w:p>
    <w:p w14:paraId="46887CCE" w14:textId="77777777" w:rsidR="00DF4D0E" w:rsidRPr="00DF4D0E" w:rsidRDefault="00DF4D0E" w:rsidP="002252D1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8"/>
          <w:szCs w:val="6"/>
          <w:lang w:val="pt-PT"/>
        </w:rPr>
      </w:pPr>
    </w:p>
    <w:p w14:paraId="17359490" w14:textId="77777777" w:rsidR="00DE7619" w:rsidRPr="00DF4D0E" w:rsidRDefault="00DE7619" w:rsidP="00DE7619">
      <w:pPr>
        <w:spacing w:after="0"/>
        <w:rPr>
          <w:rFonts w:asciiTheme="minorHAnsi" w:hAnsiTheme="minorHAnsi" w:cstheme="minorHAnsi"/>
          <w:b/>
          <w:lang w:val="pt-PT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5916"/>
      </w:tblGrid>
      <w:tr w:rsidR="007E6D51" w:rsidRPr="005D51A9" w14:paraId="7AE341E3" w14:textId="77777777" w:rsidTr="003A2055">
        <w:trPr>
          <w:trHeight w:val="611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D911886" w14:textId="77777777" w:rsidR="007E6D51" w:rsidRPr="000A40D0" w:rsidRDefault="007E6D51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Objectif de la mission</w:t>
            </w:r>
          </w:p>
        </w:tc>
        <w:tc>
          <w:tcPr>
            <w:tcW w:w="5916" w:type="dxa"/>
            <w:vAlign w:val="center"/>
          </w:tcPr>
          <w:p w14:paraId="4266C012" w14:textId="6C16C4EF" w:rsidR="00DF3166" w:rsidRPr="000A40D0" w:rsidRDefault="00DF3166" w:rsidP="001434C9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 w:rsidRPr="005D51A9">
              <w:rPr>
                <w:rFonts w:asciiTheme="minorHAnsi" w:hAnsiTheme="minorHAnsi" w:cstheme="minorHAnsi"/>
                <w:lang w:val="fr-FR" w:eastAsia="fr-FR"/>
              </w:rPr>
              <w:t>Assistance technique à la mise en œuvre de la composante « Facilitation des transports » dans le cadre du programme d’appui aux corridors stratégiques d’Afrique Centrale</w:t>
            </w:r>
          </w:p>
        </w:tc>
      </w:tr>
      <w:tr w:rsidR="00CB785C" w:rsidRPr="000A40D0" w14:paraId="028664ED" w14:textId="77777777" w:rsidTr="003A2055">
        <w:trPr>
          <w:trHeight w:val="549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B638903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Profil d’expert</w:t>
            </w:r>
          </w:p>
        </w:tc>
        <w:tc>
          <w:tcPr>
            <w:tcW w:w="5916" w:type="dxa"/>
            <w:vAlign w:val="center"/>
          </w:tcPr>
          <w:p w14:paraId="348C397E" w14:textId="05913874" w:rsidR="00CB785C" w:rsidRPr="000A40D0" w:rsidRDefault="00DF4D0E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Expert.e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 xml:space="preserve"> individuel.le</w:t>
            </w:r>
          </w:p>
        </w:tc>
      </w:tr>
      <w:tr w:rsidR="00CB785C" w:rsidRPr="005D51A9" w14:paraId="15AE4E0A" w14:textId="77777777" w:rsidTr="003A2055">
        <w:trPr>
          <w:trHeight w:val="429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78DA9CE1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Type de contrat</w:t>
            </w:r>
          </w:p>
        </w:tc>
        <w:tc>
          <w:tcPr>
            <w:tcW w:w="5916" w:type="dxa"/>
            <w:vAlign w:val="center"/>
          </w:tcPr>
          <w:p w14:paraId="75C15A33" w14:textId="2704D193" w:rsidR="00CB785C" w:rsidRPr="000A40D0" w:rsidRDefault="008F4221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lang w:val="fr-FR" w:eastAsia="fr-FR"/>
              </w:rPr>
              <w:t xml:space="preserve">Contrat de </w:t>
            </w:r>
            <w:r w:rsidR="00DD1FC8">
              <w:rPr>
                <w:rFonts w:asciiTheme="minorHAnsi" w:hAnsiTheme="minorHAnsi" w:cstheme="minorHAnsi"/>
                <w:lang w:val="fr-FR" w:eastAsia="fr-FR"/>
              </w:rPr>
              <w:t>prestation de service</w:t>
            </w:r>
          </w:p>
        </w:tc>
      </w:tr>
      <w:tr w:rsidR="00CB785C" w:rsidRPr="000A40D0" w14:paraId="262A17A0" w14:textId="77777777" w:rsidTr="003A2055">
        <w:trPr>
          <w:trHeight w:val="407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5AF4A4AE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Période de mise en œuvre</w:t>
            </w:r>
          </w:p>
        </w:tc>
        <w:tc>
          <w:tcPr>
            <w:tcW w:w="5916" w:type="dxa"/>
            <w:vAlign w:val="center"/>
          </w:tcPr>
          <w:p w14:paraId="765E9940" w14:textId="4C5FD1C4" w:rsidR="00CB785C" w:rsidRPr="000A40D0" w:rsidRDefault="00224BE9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Septembre 2026 - Novembre 2029</w:t>
            </w:r>
          </w:p>
        </w:tc>
      </w:tr>
      <w:tr w:rsidR="00CB785C" w:rsidRPr="000A40D0" w14:paraId="74BE0B62" w14:textId="77777777" w:rsidTr="003A2055">
        <w:trPr>
          <w:trHeight w:val="414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37D913D7" w14:textId="77777777" w:rsidR="00CB785C" w:rsidRPr="000A40D0" w:rsidRDefault="00CB785C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Nombre estimé de jours </w:t>
            </w:r>
          </w:p>
        </w:tc>
        <w:tc>
          <w:tcPr>
            <w:tcW w:w="5916" w:type="dxa"/>
            <w:vAlign w:val="center"/>
          </w:tcPr>
          <w:p w14:paraId="1DDAFA38" w14:textId="501192C4" w:rsidR="00CB785C" w:rsidRPr="000A40D0" w:rsidRDefault="00224BE9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2</w:t>
            </w:r>
            <w:r w:rsidR="004F313D">
              <w:rPr>
                <w:rFonts w:asciiTheme="minorHAnsi" w:hAnsiTheme="minorHAnsi" w:cstheme="minorHAnsi"/>
                <w:lang w:val="fr-FR" w:eastAsia="fr-FR"/>
              </w:rPr>
              <w:t>0</w:t>
            </w:r>
            <w:r>
              <w:rPr>
                <w:rFonts w:asciiTheme="minorHAnsi" w:hAnsiTheme="minorHAnsi" w:cstheme="minorHAnsi"/>
                <w:lang w:val="fr-FR" w:eastAsia="fr-FR"/>
              </w:rPr>
              <w:t>0</w:t>
            </w:r>
            <w:r w:rsidR="0091428A" w:rsidRPr="000A40D0">
              <w:rPr>
                <w:rFonts w:asciiTheme="minorHAnsi" w:hAnsiTheme="minorHAnsi" w:cstheme="minorHAnsi"/>
                <w:lang w:val="fr-FR" w:eastAsia="fr-FR"/>
              </w:rPr>
              <w:t xml:space="preserve"> jours</w:t>
            </w:r>
          </w:p>
        </w:tc>
      </w:tr>
      <w:tr w:rsidR="008F4221" w:rsidRPr="005D51A9" w14:paraId="5236F748" w14:textId="77777777" w:rsidTr="003A2055">
        <w:trPr>
          <w:trHeight w:val="703"/>
          <w:jc w:val="center"/>
        </w:trPr>
        <w:tc>
          <w:tcPr>
            <w:tcW w:w="3100" w:type="dxa"/>
            <w:shd w:val="clear" w:color="auto" w:fill="D9E2F3"/>
            <w:vAlign w:val="center"/>
          </w:tcPr>
          <w:p w14:paraId="39C7B506" w14:textId="77777777" w:rsidR="008F4221" w:rsidRPr="000A40D0" w:rsidRDefault="008F4221" w:rsidP="008F422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0A40D0">
              <w:rPr>
                <w:rFonts w:asciiTheme="minorHAnsi" w:hAnsiTheme="minorHAnsi" w:cstheme="minorHAnsi"/>
                <w:b/>
                <w:bCs/>
                <w:lang w:val="fr-FR" w:eastAsia="fr-FR"/>
              </w:rPr>
              <w:t>Lieu d’affectation</w:t>
            </w:r>
          </w:p>
        </w:tc>
        <w:tc>
          <w:tcPr>
            <w:tcW w:w="5916" w:type="dxa"/>
            <w:vAlign w:val="center"/>
          </w:tcPr>
          <w:p w14:paraId="3D787BED" w14:textId="155E6539" w:rsidR="008F4221" w:rsidRPr="000A40D0" w:rsidRDefault="00DF4D0E" w:rsidP="008F422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fr-FR" w:eastAsia="fr-FR"/>
              </w:rPr>
            </w:pPr>
            <w:r>
              <w:rPr>
                <w:rFonts w:asciiTheme="minorHAnsi" w:hAnsiTheme="minorHAnsi" w:cstheme="minorHAnsi"/>
                <w:lang w:val="fr-FR" w:eastAsia="fr-FR"/>
              </w:rPr>
              <w:t>En distanciel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avec des </w:t>
            </w:r>
            <w:r>
              <w:rPr>
                <w:rFonts w:asciiTheme="minorHAnsi" w:hAnsiTheme="minorHAnsi" w:cstheme="minorHAnsi"/>
                <w:lang w:val="fr-FR" w:eastAsia="fr-FR"/>
              </w:rPr>
              <w:t>missions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potentiel</w:t>
            </w:r>
            <w:r>
              <w:rPr>
                <w:rFonts w:asciiTheme="minorHAnsi" w:hAnsiTheme="minorHAnsi" w:cstheme="minorHAnsi"/>
                <w:lang w:val="fr-FR" w:eastAsia="fr-FR"/>
              </w:rPr>
              <w:t>le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s vers les 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>pays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d</w:t>
            </w:r>
            <w:r w:rsidR="00224BE9">
              <w:rPr>
                <w:rFonts w:asciiTheme="minorHAnsi" w:hAnsiTheme="minorHAnsi" w:cstheme="minorHAnsi"/>
                <w:lang w:val="fr-FR" w:eastAsia="fr-FR"/>
              </w:rPr>
              <w:t>u</w:t>
            </w:r>
            <w:r w:rsidR="0095491F" w:rsidRPr="000A40D0">
              <w:rPr>
                <w:rFonts w:asciiTheme="minorHAnsi" w:hAnsiTheme="minorHAnsi" w:cstheme="minorHAnsi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 w:eastAsia="fr-FR"/>
              </w:rPr>
              <w:t>projet en Afrique Centrale</w:t>
            </w:r>
          </w:p>
        </w:tc>
      </w:tr>
    </w:tbl>
    <w:p w14:paraId="21B96A3D" w14:textId="77777777" w:rsidR="00451005" w:rsidRPr="000A40D0" w:rsidRDefault="00451005" w:rsidP="007365FD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fr-FR" w:eastAsia="fr-FR"/>
        </w:rPr>
      </w:pPr>
    </w:p>
    <w:p w14:paraId="612D5AE8" w14:textId="751B103D" w:rsidR="00DE7619" w:rsidRPr="00A464D9" w:rsidRDefault="00DF4D0E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64D9">
        <w:rPr>
          <w:rFonts w:asciiTheme="minorHAnsi" w:hAnsiTheme="minorHAnsi" w:cstheme="minorHAnsi"/>
          <w:b/>
          <w:bCs/>
          <w:sz w:val="28"/>
          <w:szCs w:val="28"/>
        </w:rPr>
        <w:t>Description du projet</w:t>
      </w:r>
    </w:p>
    <w:p w14:paraId="7D1F6611" w14:textId="77777777" w:rsidR="00DF4D0E" w:rsidRDefault="00B14D46" w:rsidP="00DF4D0E">
      <w:pPr>
        <w:pStyle w:val="NoSpacing"/>
        <w:jc w:val="both"/>
        <w:rPr>
          <w:rFonts w:cstheme="minorHAnsi"/>
        </w:rPr>
      </w:pPr>
      <w:r w:rsidRPr="000A40D0">
        <w:rPr>
          <w:rFonts w:cstheme="minorHAnsi"/>
          <w:lang w:eastAsia="fr-FR"/>
        </w:rPr>
        <w:br/>
      </w:r>
      <w:r w:rsidR="00DF4D0E">
        <w:rPr>
          <w:rFonts w:cstheme="minorHAnsi"/>
        </w:rPr>
        <w:t xml:space="preserve">Dans le cadre de l’initiative Global Gateway, l’Union européenne a mandaté Expertise France pour la mise en œuvre du projet </w:t>
      </w:r>
      <w:r w:rsidR="00DF4D0E" w:rsidRPr="005728C8">
        <w:rPr>
          <w:rFonts w:cstheme="minorHAnsi"/>
        </w:rPr>
        <w:t>« Mesures d’accompagnement pour la réalisation des corridors stratégiques d’Afrique Centrale »</w:t>
      </w:r>
      <w:r w:rsidR="00DF4D0E">
        <w:rPr>
          <w:rFonts w:cstheme="minorHAnsi"/>
        </w:rPr>
        <w:t>, en l’occurrence le corridor n°5 (</w:t>
      </w:r>
      <w:r w:rsidR="00DF4D0E" w:rsidRPr="005728C8">
        <w:rPr>
          <w:rFonts w:cstheme="minorHAnsi"/>
        </w:rPr>
        <w:t>Libreville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Kribi/Douala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N’Djamena</w:t>
      </w:r>
      <w:r w:rsidR="00DF4D0E">
        <w:rPr>
          <w:rFonts w:cstheme="minorHAnsi"/>
        </w:rPr>
        <w:t>) et le c</w:t>
      </w:r>
      <w:r w:rsidR="00DF4D0E" w:rsidRPr="005728C8">
        <w:rPr>
          <w:rFonts w:cstheme="minorHAnsi"/>
        </w:rPr>
        <w:t xml:space="preserve">orridor </w:t>
      </w:r>
      <w:r w:rsidR="00DF4D0E">
        <w:rPr>
          <w:rFonts w:cstheme="minorHAnsi"/>
        </w:rPr>
        <w:t>n°6</w:t>
      </w:r>
      <w:r w:rsidR="00DF4D0E" w:rsidRPr="005728C8">
        <w:rPr>
          <w:rFonts w:cstheme="minorHAnsi"/>
        </w:rPr>
        <w:t xml:space="preserve"> </w:t>
      </w:r>
      <w:r w:rsidR="00DF4D0E">
        <w:rPr>
          <w:rFonts w:cstheme="minorHAnsi"/>
        </w:rPr>
        <w:t>(</w:t>
      </w:r>
      <w:r w:rsidR="00DF4D0E" w:rsidRPr="005728C8">
        <w:rPr>
          <w:rFonts w:cstheme="minorHAnsi"/>
        </w:rPr>
        <w:t>Douala/Kribi</w:t>
      </w:r>
      <w:r w:rsidR="00DF4D0E">
        <w:rPr>
          <w:rFonts w:cstheme="minorHAnsi"/>
        </w:rPr>
        <w:t>-B</w:t>
      </w:r>
      <w:r w:rsidR="00DF4D0E" w:rsidRPr="005728C8">
        <w:rPr>
          <w:rFonts w:cstheme="minorHAnsi"/>
        </w:rPr>
        <w:t>angui</w:t>
      </w:r>
      <w:r w:rsidR="00DF4D0E">
        <w:rPr>
          <w:rFonts w:cstheme="minorHAnsi"/>
        </w:rPr>
        <w:t>-</w:t>
      </w:r>
      <w:r w:rsidR="00DF4D0E" w:rsidRPr="005728C8">
        <w:rPr>
          <w:rFonts w:cstheme="minorHAnsi"/>
        </w:rPr>
        <w:t>Kampala</w:t>
      </w:r>
      <w:r w:rsidR="00DF4D0E">
        <w:rPr>
          <w:rFonts w:cstheme="minorHAnsi"/>
        </w:rPr>
        <w:t xml:space="preserve">), qui </w:t>
      </w:r>
      <w:r w:rsidR="00DF4D0E" w:rsidRPr="005728C8">
        <w:rPr>
          <w:rFonts w:cstheme="minorHAnsi"/>
        </w:rPr>
        <w:t>vise à renforcer l’intégration régionale en Afrique centrale en améliorant la connectivité, la compétitivité économique et la durabilité de</w:t>
      </w:r>
      <w:r w:rsidR="00DF4D0E">
        <w:rPr>
          <w:rFonts w:cstheme="minorHAnsi"/>
        </w:rPr>
        <w:t xml:space="preserve"> ce</w:t>
      </w:r>
      <w:r w:rsidR="00DF4D0E" w:rsidRPr="005728C8">
        <w:rPr>
          <w:rFonts w:cstheme="minorHAnsi"/>
        </w:rPr>
        <w:t xml:space="preserve">s corridors stratégiques. </w:t>
      </w:r>
    </w:p>
    <w:p w14:paraId="389B85A0" w14:textId="77777777" w:rsidR="00DF4D0E" w:rsidRDefault="00DF4D0E" w:rsidP="00DF4D0E">
      <w:pPr>
        <w:pStyle w:val="NoSpacing"/>
        <w:jc w:val="both"/>
        <w:rPr>
          <w:rFonts w:cstheme="minorHAnsi"/>
        </w:rPr>
      </w:pPr>
    </w:p>
    <w:p w14:paraId="416210E2" w14:textId="6F56F336" w:rsidR="00DF4D0E" w:rsidRPr="005728C8" w:rsidRDefault="00DF4D0E" w:rsidP="00DF4D0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Le projet, plus simplement nommé « Corridors stratégiques 5 et 6 en Afrique Centrale » ou « CORAC 5&amp;6 »,</w:t>
      </w:r>
      <w:r w:rsidRPr="005728C8">
        <w:rPr>
          <w:rFonts w:cstheme="minorHAnsi"/>
        </w:rPr>
        <w:t xml:space="preserve"> promeut une gouvernance harmonisée des États autour d’une vision commune des corridors (OS1), améliore l’efficacité et la sécurité des systèmes de transport (OS2), facilite les échanges commerciaux grâce à des réformes institutionnelles et des solutions numériques (OS3), et dynamise les territoires frontaliers en soutenant les collectivités locales et les opérateurs économiques, notamment les femmes (OS4).</w:t>
      </w:r>
    </w:p>
    <w:p w14:paraId="6A2E8C0F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16C0131D" w14:textId="77777777" w:rsidR="00DF4D0E" w:rsidRDefault="00DF4D0E" w:rsidP="00DF4D0E">
      <w:pPr>
        <w:pStyle w:val="NoSpacing"/>
        <w:jc w:val="both"/>
        <w:rPr>
          <w:rFonts w:cstheme="minorHAnsi"/>
        </w:rPr>
      </w:pPr>
      <w:r w:rsidRPr="005728C8">
        <w:rPr>
          <w:rFonts w:cstheme="minorHAnsi"/>
        </w:rPr>
        <w:t xml:space="preserve">La logique d’intervention du projet est structurée autour de quatre composantes : </w:t>
      </w:r>
    </w:p>
    <w:p w14:paraId="61A9F615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50526675" w14:textId="77777777" w:rsidR="00DF4D0E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1 « Planification, coordination et gestion des corridors »</w:t>
      </w:r>
      <w:r w:rsidRPr="005728C8">
        <w:rPr>
          <w:rFonts w:cstheme="minorHAnsi"/>
        </w:rPr>
        <w:t xml:space="preserve"> : vise à renforcer les capacités institutionnelles des organismes régionaux et nationaux pour coordonner les politiques et stratégies des corridors. </w:t>
      </w:r>
    </w:p>
    <w:p w14:paraId="0F6C6F1C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043186C0" w14:textId="77777777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>Composante 2 « Facilitation des transports »</w:t>
      </w:r>
      <w:r w:rsidRPr="005728C8">
        <w:rPr>
          <w:rFonts w:cstheme="minorHAnsi"/>
        </w:rPr>
        <w:t xml:space="preserve"> : agit pour fluidifier et sécuriser le transport sur les corridors à travers le renforcement des dispositifs de contrôle, notamment les charges à l’essieu, la mise en œuvre d’outils modernes de suivi (CTMS, TRIPS, TTTFP), et la réduction de l’empreinte carbone du transport routier. </w:t>
      </w:r>
    </w:p>
    <w:p w14:paraId="7B0B2AF8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767C6746" w14:textId="77777777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lastRenderedPageBreak/>
        <w:t>Composante 3 « Facilitation des échanges »</w:t>
      </w:r>
      <w:r w:rsidRPr="005728C8">
        <w:rPr>
          <w:rFonts w:cstheme="minorHAnsi"/>
        </w:rPr>
        <w:t xml:space="preserve"> : a pour objectif de simplifier et d’harmoniser les réglementations commerciales et douanières à l’échelle régionale. </w:t>
      </w:r>
    </w:p>
    <w:p w14:paraId="1D92D9F3" w14:textId="77777777" w:rsidR="00DF4D0E" w:rsidRPr="005728C8" w:rsidRDefault="00DF4D0E" w:rsidP="00DF4D0E">
      <w:pPr>
        <w:pStyle w:val="NoSpacing"/>
        <w:ind w:left="720"/>
        <w:jc w:val="both"/>
        <w:rPr>
          <w:rFonts w:cstheme="minorHAnsi"/>
        </w:rPr>
      </w:pPr>
    </w:p>
    <w:p w14:paraId="25BFF9F3" w14:textId="615DE60A" w:rsidR="00DF4D0E" w:rsidRPr="005728C8" w:rsidRDefault="00DF4D0E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5728C8">
        <w:rPr>
          <w:rFonts w:cstheme="minorHAnsi"/>
          <w:b/>
          <w:bCs/>
        </w:rPr>
        <w:t xml:space="preserve">Composante 4 « Facilitation aux petits commerces et infrastructures transfrontaliers » </w:t>
      </w:r>
      <w:r w:rsidRPr="005728C8">
        <w:rPr>
          <w:rFonts w:cstheme="minorHAnsi"/>
        </w:rPr>
        <w:t xml:space="preserve">: vise à appuyer directement les collectivités locales et les petits commerces frontaliers, notamment ceux gérés par les femmes. </w:t>
      </w:r>
    </w:p>
    <w:p w14:paraId="50E49B5E" w14:textId="77777777" w:rsidR="00DF4D0E" w:rsidRPr="005728C8" w:rsidRDefault="00DF4D0E" w:rsidP="00DF4D0E">
      <w:pPr>
        <w:pStyle w:val="NoSpacing"/>
        <w:jc w:val="both"/>
        <w:rPr>
          <w:rFonts w:cstheme="minorHAnsi"/>
        </w:rPr>
      </w:pPr>
    </w:p>
    <w:p w14:paraId="6306C0CE" w14:textId="75BD61F7" w:rsidR="008F4221" w:rsidRPr="000A40D0" w:rsidRDefault="00DF4D0E" w:rsidP="00DF4D0E">
      <w:pPr>
        <w:pStyle w:val="NoSpacing"/>
        <w:jc w:val="both"/>
        <w:rPr>
          <w:rFonts w:cstheme="minorHAnsi"/>
        </w:rPr>
      </w:pPr>
      <w:r w:rsidRPr="005728C8">
        <w:rPr>
          <w:rFonts w:cstheme="minorHAnsi"/>
        </w:rPr>
        <w:t xml:space="preserve">Le projet, financé à hauteur de 30 M€ par l’Union </w:t>
      </w:r>
      <w:r>
        <w:rPr>
          <w:rFonts w:cstheme="minorHAnsi"/>
        </w:rPr>
        <w:t>e</w:t>
      </w:r>
      <w:r w:rsidRPr="005728C8">
        <w:rPr>
          <w:rFonts w:cstheme="minorHAnsi"/>
        </w:rPr>
        <w:t>uropéenne, est mis en œuvre par Expertise France en tant que chef de file, en partenariat avec la FAO, la CNUCED et l’OMD, pour une durée de 48 mois (2026</w:t>
      </w:r>
      <w:r>
        <w:rPr>
          <w:rFonts w:cstheme="minorHAnsi"/>
        </w:rPr>
        <w:t>-</w:t>
      </w:r>
      <w:r w:rsidRPr="005728C8">
        <w:rPr>
          <w:rFonts w:cstheme="minorHAnsi"/>
        </w:rPr>
        <w:t>2029).</w:t>
      </w:r>
    </w:p>
    <w:p w14:paraId="151F98F9" w14:textId="77777777" w:rsidR="008F4221" w:rsidRDefault="008F4221" w:rsidP="008F4221">
      <w:pPr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79CCC74B" w14:textId="77777777" w:rsidR="00A464D9" w:rsidRPr="000A40D0" w:rsidRDefault="00A464D9" w:rsidP="008F4221">
      <w:pPr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783C3EC7" w14:textId="77777777" w:rsidR="008844EC" w:rsidRPr="00DF4D0E" w:rsidRDefault="00585C3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4D0E">
        <w:rPr>
          <w:rFonts w:asciiTheme="minorHAnsi" w:hAnsiTheme="minorHAnsi" w:cstheme="minorHAnsi"/>
          <w:b/>
          <w:bCs/>
          <w:sz w:val="28"/>
          <w:szCs w:val="28"/>
        </w:rPr>
        <w:t>Objectif de la mission</w:t>
      </w:r>
    </w:p>
    <w:p w14:paraId="3A414C95" w14:textId="77777777" w:rsidR="008844EC" w:rsidRPr="000A40D0" w:rsidRDefault="008844EC" w:rsidP="008844EC">
      <w:pPr>
        <w:spacing w:after="0" w:line="240" w:lineRule="auto"/>
        <w:jc w:val="both"/>
        <w:rPr>
          <w:rFonts w:asciiTheme="minorHAnsi" w:hAnsiTheme="minorHAnsi" w:cstheme="minorHAnsi"/>
          <w:b/>
          <w:bCs/>
          <w:lang w:val="fr-FR" w:eastAsia="fr-FR"/>
        </w:rPr>
      </w:pPr>
    </w:p>
    <w:p w14:paraId="4C5D76FB" w14:textId="4164FDE9" w:rsidR="00BB28EA" w:rsidRDefault="00092213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 w:rsidRPr="005D51A9">
        <w:rPr>
          <w:rFonts w:asciiTheme="minorHAnsi" w:hAnsiTheme="minorHAnsi" w:cstheme="minorHAnsi"/>
          <w:lang w:val="fr-FR" w:eastAsia="fr-FR"/>
        </w:rPr>
        <w:t>L’objectif de la mission est d’accompagner la mise en œuvre opérationnelle, la coordination technique et le suivi des activités de la Composante 2 « Facilitation des transports », conformément au plan de travail du projet CORAC 5-6.</w:t>
      </w:r>
    </w:p>
    <w:p w14:paraId="5A6DA8FD" w14:textId="77777777" w:rsidR="00092213" w:rsidRDefault="00092213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3A1A1CA9" w14:textId="6BF0A8C8" w:rsidR="00BB28EA" w:rsidRDefault="00BB28EA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 xml:space="preserve">L’objectif stratégique de la composante </w:t>
      </w:r>
      <w:r w:rsidR="00CB7676">
        <w:rPr>
          <w:rFonts w:asciiTheme="minorHAnsi" w:hAnsiTheme="minorHAnsi" w:cstheme="minorHAnsi"/>
          <w:lang w:val="fr-FR" w:eastAsia="fr-FR"/>
        </w:rPr>
        <w:t>2</w:t>
      </w:r>
      <w:r>
        <w:rPr>
          <w:rFonts w:asciiTheme="minorHAnsi" w:hAnsiTheme="minorHAnsi" w:cstheme="minorHAnsi"/>
          <w:lang w:val="fr-FR" w:eastAsia="fr-FR"/>
        </w:rPr>
        <w:t xml:space="preserve"> est que l</w:t>
      </w:r>
      <w:r w:rsidRPr="00BB28EA">
        <w:rPr>
          <w:rFonts w:asciiTheme="minorHAnsi" w:hAnsiTheme="minorHAnsi" w:cstheme="minorHAnsi"/>
          <w:lang w:val="fr-FR" w:eastAsia="fr-FR"/>
        </w:rPr>
        <w:t xml:space="preserve">es </w:t>
      </w:r>
      <w:r w:rsidR="00CB7676" w:rsidRPr="00CB7676">
        <w:rPr>
          <w:lang w:val="fr-FR"/>
        </w:rPr>
        <w:t>systèmes de transport déploient des mesures pour réduire les temps de transit, l’impact écologique et les risques sécuritaires pour une circulation des biens et des personnes améliorées</w:t>
      </w:r>
      <w:r w:rsidR="00CB7676" w:rsidRPr="00BB28EA">
        <w:rPr>
          <w:rFonts w:asciiTheme="minorHAnsi" w:hAnsiTheme="minorHAnsi" w:cstheme="minorHAnsi"/>
          <w:lang w:val="fr-FR" w:eastAsia="fr-FR"/>
        </w:rPr>
        <w:t xml:space="preserve"> </w:t>
      </w:r>
      <w:r w:rsidRPr="00BB28EA">
        <w:rPr>
          <w:rFonts w:asciiTheme="minorHAnsi" w:hAnsiTheme="minorHAnsi" w:cstheme="minorHAnsi"/>
          <w:lang w:val="fr-FR" w:eastAsia="fr-FR"/>
        </w:rPr>
        <w:t>le long des corridors.</w:t>
      </w:r>
    </w:p>
    <w:p w14:paraId="575ABCFD" w14:textId="77777777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E173917" w14:textId="1AEF93C7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 xml:space="preserve">Le schéma opérationnel de la composante </w:t>
      </w:r>
      <w:r w:rsidR="00CB7676">
        <w:rPr>
          <w:rFonts w:asciiTheme="minorHAnsi" w:hAnsiTheme="minorHAnsi" w:cstheme="minorHAnsi"/>
          <w:lang w:val="fr-FR" w:eastAsia="fr-FR"/>
        </w:rPr>
        <w:t>2</w:t>
      </w:r>
      <w:r>
        <w:rPr>
          <w:rFonts w:asciiTheme="minorHAnsi" w:hAnsiTheme="minorHAnsi" w:cstheme="minorHAnsi"/>
          <w:lang w:val="fr-FR" w:eastAsia="fr-FR"/>
        </w:rPr>
        <w:t xml:space="preserve"> est le suivant :</w:t>
      </w:r>
    </w:p>
    <w:p w14:paraId="62D87E5B" w14:textId="77777777" w:rsidR="00270541" w:rsidRDefault="00270541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725ACFB" w14:textId="69EEDDC6" w:rsidR="00270541" w:rsidRDefault="00CB7676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 w:rsidRPr="00CB7676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0BBEF37D" wp14:editId="7F7C1D89">
            <wp:extent cx="5731510" cy="4367530"/>
            <wp:effectExtent l="0" t="0" r="2540" b="0"/>
            <wp:docPr id="16107530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530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6191" w14:textId="77777777" w:rsidR="00BB28EA" w:rsidRDefault="00BB28EA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51AF0405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47759FDA" w14:textId="77777777" w:rsidR="00A464D9" w:rsidRDefault="00A464D9" w:rsidP="00BB28EA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</w:p>
    <w:p w14:paraId="4243217C" w14:textId="77FFF05D" w:rsidR="00C57DD5" w:rsidRDefault="00A464D9" w:rsidP="00B76F1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lang w:val="fr-FR" w:eastAsia="fr-FR"/>
        </w:rPr>
      </w:pPr>
      <w:r>
        <w:rPr>
          <w:rFonts w:asciiTheme="minorHAnsi" w:hAnsiTheme="minorHAnsi" w:cstheme="minorHAnsi"/>
          <w:lang w:val="fr-FR" w:eastAsia="fr-FR"/>
        </w:rPr>
        <w:t>L</w:t>
      </w:r>
      <w:r w:rsidR="00BB28EA">
        <w:rPr>
          <w:rFonts w:asciiTheme="minorHAnsi" w:hAnsiTheme="minorHAnsi" w:cstheme="minorHAnsi"/>
          <w:lang w:val="fr-FR" w:eastAsia="fr-FR"/>
        </w:rPr>
        <w:t xml:space="preserve">’expert.e individuel.le interviendra sur </w:t>
      </w:r>
      <w:r w:rsidR="001C3B3B">
        <w:rPr>
          <w:rFonts w:asciiTheme="minorHAnsi" w:hAnsiTheme="minorHAnsi" w:cstheme="minorHAnsi"/>
          <w:lang w:val="fr-FR" w:eastAsia="fr-FR"/>
        </w:rPr>
        <w:t>tous les</w:t>
      </w:r>
      <w:r>
        <w:rPr>
          <w:rFonts w:asciiTheme="minorHAnsi" w:hAnsiTheme="minorHAnsi" w:cstheme="minorHAnsi"/>
          <w:lang w:val="fr-FR" w:eastAsia="fr-FR"/>
        </w:rPr>
        <w:t xml:space="preserve"> </w:t>
      </w:r>
      <w:r w:rsidR="00BB28EA">
        <w:rPr>
          <w:rFonts w:asciiTheme="minorHAnsi" w:hAnsiTheme="minorHAnsi" w:cstheme="minorHAnsi"/>
          <w:lang w:val="fr-FR" w:eastAsia="fr-FR"/>
        </w:rPr>
        <w:t>axes</w:t>
      </w:r>
      <w:r w:rsidR="001C3B3B">
        <w:rPr>
          <w:rFonts w:asciiTheme="minorHAnsi" w:hAnsiTheme="minorHAnsi" w:cstheme="minorHAnsi"/>
          <w:lang w:val="fr-FR" w:eastAsia="fr-FR"/>
        </w:rPr>
        <w:t xml:space="preserve"> de la composante</w:t>
      </w:r>
      <w:r w:rsidR="00BB28EA">
        <w:rPr>
          <w:rFonts w:asciiTheme="minorHAnsi" w:hAnsiTheme="minorHAnsi" w:cstheme="minorHAnsi"/>
          <w:lang w:val="fr-FR" w:eastAsia="fr-FR"/>
        </w:rPr>
        <w:t> :</w:t>
      </w:r>
    </w:p>
    <w:p w14:paraId="6CF6BD72" w14:textId="317EC914" w:rsidR="005D51A9" w:rsidRPr="005D51A9" w:rsidRDefault="00B76F12" w:rsidP="005D51A9">
      <w:pPr>
        <w:pStyle w:val="ListParagraph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>Professionnalisation, autonomisation et harmonisation des dispositifs et acteurs responsables de la fluidité et du contrôle des systèmes de transport :</w:t>
      </w:r>
    </w:p>
    <w:p w14:paraId="736B25E7" w14:textId="6520080B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Renforcement de l’OPA-AC, </w:t>
      </w:r>
    </w:p>
    <w:p w14:paraId="1F0AD85C" w14:textId="7C241986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Renforcement du contrôle des charges à l’essieu, </w:t>
      </w:r>
    </w:p>
    <w:p w14:paraId="25704F6B" w14:textId="5A51FE3A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Appui à la mise en œuvre des règles et méthodes CTMS, TRIPS et TTTFP, </w:t>
      </w:r>
    </w:p>
    <w:p w14:paraId="025FE8AE" w14:textId="4AA46215" w:rsidR="009E5799" w:rsidRPr="009E5799" w:rsidRDefault="00B76F12" w:rsidP="009E5799">
      <w:pPr>
        <w:pStyle w:val="ListParagraph"/>
        <w:numPr>
          <w:ilvl w:val="1"/>
          <w:numId w:val="6"/>
        </w:numPr>
        <w:tabs>
          <w:tab w:val="left" w:pos="0"/>
        </w:tabs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>Appui à la professionnalisation de la chaine de valeur des transports,</w:t>
      </w:r>
    </w:p>
    <w:p w14:paraId="667833A6" w14:textId="77777777" w:rsidR="009E5799" w:rsidRDefault="009E5799" w:rsidP="009E5799">
      <w:pPr>
        <w:pStyle w:val="ListParagraph"/>
        <w:tabs>
          <w:tab w:val="left" w:pos="0"/>
        </w:tabs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AF7F8B4" w14:textId="1F53A1F0" w:rsidR="00B76F12" w:rsidRPr="009E5799" w:rsidRDefault="00B76F12" w:rsidP="009E5799">
      <w:pPr>
        <w:pStyle w:val="ListParagraph"/>
        <w:numPr>
          <w:ilvl w:val="0"/>
          <w:numId w:val="6"/>
        </w:numPr>
        <w:tabs>
          <w:tab w:val="left" w:pos="0"/>
        </w:tabs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>Evaluation de l’empreinte carbone des corridors et appui à la mise en place d’une stratégie de sa réduction :</w:t>
      </w:r>
    </w:p>
    <w:p w14:paraId="67A9C9E5" w14:textId="4C7AD5E3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Réalisation d’un diagnostic environnemental des corridors pour mesurer leur empreinte carbone, </w:t>
      </w:r>
    </w:p>
    <w:p w14:paraId="18DEECD4" w14:textId="0E1B10DC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Elaboration d’une stratégie régionale de réduction des émissions carbone liée au transport routier sur les corridors, </w:t>
      </w:r>
    </w:p>
    <w:p w14:paraId="3A5061FA" w14:textId="4B49D32D" w:rsidR="00B76F12" w:rsidRPr="009E5799" w:rsidRDefault="00B76F12" w:rsidP="009E5799">
      <w:pPr>
        <w:pStyle w:val="ListParagraph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Mise en place d’un système régional de suivi et de reporting des émissions carbones le long des corridors, </w:t>
      </w:r>
    </w:p>
    <w:p w14:paraId="554C61DB" w14:textId="77777777" w:rsidR="009E5799" w:rsidRDefault="009E5799" w:rsidP="009E5799">
      <w:pPr>
        <w:pStyle w:val="ListParagraph"/>
        <w:tabs>
          <w:tab w:val="left" w:pos="0"/>
        </w:tabs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B0DA44C" w14:textId="2C6261BD" w:rsidR="00B76F12" w:rsidRPr="009E5799" w:rsidRDefault="00B76F12" w:rsidP="009E5799">
      <w:pPr>
        <w:pStyle w:val="ListParagraph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>Renforcement de la sûreté des corridors et sensibilisation à la sécurité routière des opérateurs de transport et des usagers, y compris les associations de femmes :</w:t>
      </w:r>
    </w:p>
    <w:p w14:paraId="56995DEC" w14:textId="00CAA2E3" w:rsidR="00B76F12" w:rsidRPr="009E5799" w:rsidRDefault="00B76F12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Appui à la sûreté des corridors, </w:t>
      </w:r>
    </w:p>
    <w:p w14:paraId="5330DA9C" w14:textId="31779975" w:rsidR="009E5799" w:rsidRPr="009E5799" w:rsidRDefault="009E5799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 xml:space="preserve">Organisation de campagnes de sensibilisation à la sécurité routière ciblant les usagers des corridors, y compris les femmes et jeunes opérateurs du secteur, </w:t>
      </w:r>
    </w:p>
    <w:p w14:paraId="3FF66EE0" w14:textId="05097ABA" w:rsidR="009E5799" w:rsidRPr="009E5799" w:rsidRDefault="009E5799" w:rsidP="00B76F12">
      <w:pPr>
        <w:pStyle w:val="ListParagraph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E5799">
        <w:rPr>
          <w:rFonts w:asciiTheme="minorHAnsi" w:hAnsiTheme="minorHAnsi" w:cstheme="minorHAnsi"/>
          <w:sz w:val="22"/>
          <w:szCs w:val="22"/>
        </w:rPr>
        <w:t>Mise en place de sessions de formation pratique en sécurité routière à l’intention des transporteurs et associations de femmes opérant sur les corridors</w:t>
      </w:r>
    </w:p>
    <w:p w14:paraId="4EEF84EE" w14:textId="5A019300" w:rsidR="00A464D9" w:rsidRPr="00B76F12" w:rsidRDefault="00856685" w:rsidP="00B76F12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 plus, i</w:t>
      </w:r>
      <w:r w:rsidR="00A464D9" w:rsidRPr="00B76F12">
        <w:rPr>
          <w:rFonts w:asciiTheme="minorHAnsi" w:hAnsiTheme="minorHAnsi" w:cstheme="minorHAnsi"/>
          <w:lang w:val="fr-FR"/>
        </w:rPr>
        <w:t xml:space="preserve">l accompagnera le responsable de la Composante </w:t>
      </w:r>
      <w:r w:rsidR="001C3B3B" w:rsidRPr="00B76F12">
        <w:rPr>
          <w:rFonts w:asciiTheme="minorHAnsi" w:hAnsiTheme="minorHAnsi" w:cstheme="minorHAnsi"/>
          <w:lang w:val="fr-FR"/>
        </w:rPr>
        <w:t>2</w:t>
      </w:r>
      <w:r w:rsidR="00A464D9" w:rsidRPr="00B76F12">
        <w:rPr>
          <w:rFonts w:asciiTheme="minorHAnsi" w:hAnsiTheme="minorHAnsi" w:cstheme="minorHAnsi"/>
          <w:lang w:val="fr-FR"/>
        </w:rPr>
        <w:t xml:space="preserve"> dans les activités de :</w:t>
      </w:r>
    </w:p>
    <w:p w14:paraId="7CF6E70E" w14:textId="135035A5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planification opérationnelle et le suivi de la mise en œuvre des activités de la composante ;</w:t>
      </w:r>
    </w:p>
    <w:p w14:paraId="270B087C" w14:textId="63A95985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préparation des termes de référence, dossiers de consultation et cahiers des charges des prestations techniques ;</w:t>
      </w:r>
    </w:p>
    <w:p w14:paraId="6D515563" w14:textId="6EC0230F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suivi et la supervision des experts court terme et prestataires mobilisés ;</w:t>
      </w:r>
    </w:p>
    <w:p w14:paraId="644596B9" w14:textId="4BC7BFF2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contrôle qualité des livrables techniques produits dans le cadre des activités ;</w:t>
      </w:r>
    </w:p>
    <w:p w14:paraId="5CB41671" w14:textId="12822B62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organisation et l’animation des ateliers, réunions techniques et missions de terrain ;</w:t>
      </w:r>
    </w:p>
    <w:p w14:paraId="03CDC1B9" w14:textId="3CA05822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suivi des indicateurs de performance et des résultats de la composante ;</w:t>
      </w:r>
    </w:p>
    <w:p w14:paraId="078D936D" w14:textId="06DDB4A6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préparation des rapports techniques et financiers de la composante ;</w:t>
      </w:r>
    </w:p>
    <w:p w14:paraId="35731355" w14:textId="088356A3" w:rsidR="00092213" w:rsidRPr="005D51A9" w:rsidRDefault="00092213" w:rsidP="00092213">
      <w:pPr>
        <w:pStyle w:val="List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5D51A9">
        <w:rPr>
          <w:rFonts w:asciiTheme="minorHAnsi" w:hAnsiTheme="minorHAnsi" w:cstheme="minorHAnsi"/>
          <w:bCs/>
          <w:snapToGrid w:val="0"/>
          <w:sz w:val="22"/>
          <w:szCs w:val="22"/>
        </w:rPr>
        <w:t>préparation des réunions de gouvernance du projet (COPIL, COTECH, réunions bailleurs et partenaires).</w:t>
      </w:r>
    </w:p>
    <w:p w14:paraId="79547955" w14:textId="77777777" w:rsidR="00A464D9" w:rsidRPr="00A464D9" w:rsidRDefault="00A464D9" w:rsidP="00A464D9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065EB900" w14:textId="7FF4B29C" w:rsidR="00A464D9" w:rsidRDefault="00A464D9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  <w:r w:rsidRPr="00A464D9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 xml:space="preserve">Par ailleurs, il </w:t>
      </w:r>
      <w:r w:rsidR="004F313D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>pourra ponctuellement intervenir</w:t>
      </w:r>
      <w:r w:rsidRPr="00A464D9">
        <w:rPr>
          <w:rFonts w:asciiTheme="minorHAnsi" w:eastAsia="Times New Roman" w:hAnsiTheme="minorHAnsi" w:cstheme="minorHAnsi"/>
          <w:bCs/>
          <w:snapToGrid w:val="0"/>
          <w:lang w:val="fr-FR" w:eastAsia="fr-FR"/>
        </w:rPr>
        <w:t xml:space="preserve"> en appui aux autres composantes du projet. </w:t>
      </w:r>
    </w:p>
    <w:p w14:paraId="469E895D" w14:textId="0EC8002A" w:rsidR="00A464D9" w:rsidRDefault="00A464D9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29BAF30C" w14:textId="77777777" w:rsidR="00E13AE7" w:rsidRDefault="00E13AE7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7BD7C783" w14:textId="1E557393" w:rsidR="00092213" w:rsidRPr="00E13AE7" w:rsidRDefault="00092213" w:rsidP="00092213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13AE7">
        <w:rPr>
          <w:rFonts w:asciiTheme="minorHAnsi" w:hAnsiTheme="minorHAnsi" w:cstheme="minorHAnsi"/>
          <w:b/>
          <w:bCs/>
          <w:sz w:val="28"/>
          <w:szCs w:val="28"/>
        </w:rPr>
        <w:t>Résultats attendus</w:t>
      </w:r>
    </w:p>
    <w:p w14:paraId="07B2D733" w14:textId="39827BDC" w:rsidR="003A41A2" w:rsidRPr="00E13AE7" w:rsidRDefault="003A41A2" w:rsidP="00092213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val="fr-FR" w:eastAsia="fr-FR"/>
        </w:rPr>
      </w:pPr>
      <w:r w:rsidRPr="00E13AE7">
        <w:rPr>
          <w:rFonts w:asciiTheme="minorHAnsi" w:eastAsia="Times New Roman" w:hAnsiTheme="minorHAnsi" w:cstheme="minorHAnsi"/>
          <w:lang w:val="fr-FR" w:eastAsia="fr-FR"/>
        </w:rPr>
        <w:t>Les résultats attendus de la mission sont notamment :</w:t>
      </w:r>
    </w:p>
    <w:p w14:paraId="6CFEA6E2" w14:textId="77777777" w:rsidR="00092213" w:rsidRPr="00E13AE7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Les activités de la composante 2 sont mises en œuvre conformément au calendrier validé ;</w:t>
      </w:r>
    </w:p>
    <w:p w14:paraId="00550FE9" w14:textId="77777777" w:rsidR="00092213" w:rsidRPr="00E13AE7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lastRenderedPageBreak/>
        <w:t>Les études, diagnostics et prestations techniques sont réalisés dans les délais et selon les standards de qualité attendus ;</w:t>
      </w:r>
    </w:p>
    <w:p w14:paraId="5A500F05" w14:textId="77777777" w:rsidR="00092213" w:rsidRPr="00E13AE7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Les partenaires régionaux et nationaux sont mobilisés et impliqués dans la mise en œuvre des activités ;</w:t>
      </w:r>
    </w:p>
    <w:p w14:paraId="4C5D278E" w14:textId="77777777" w:rsidR="00092213" w:rsidRPr="00E13AE7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Les indicateurs de performance de la composante sont régulièrement renseignés ;</w:t>
      </w:r>
    </w:p>
    <w:p w14:paraId="2CC35AAA" w14:textId="77777777" w:rsidR="00092213" w:rsidRPr="00E13AE7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Les rapports techniques et financiers sont produits dans les délais requis ;</w:t>
      </w:r>
    </w:p>
    <w:p w14:paraId="546EB631" w14:textId="067C87DE" w:rsidR="00092213" w:rsidRDefault="00092213" w:rsidP="00E13AE7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Les recommandations formulées dans le cadre des études et ateliers sont suivies et valorisées.</w:t>
      </w:r>
    </w:p>
    <w:p w14:paraId="7274FB1B" w14:textId="77777777" w:rsidR="00E13AE7" w:rsidRPr="00E13AE7" w:rsidRDefault="00E13AE7" w:rsidP="00E13AE7">
      <w:pPr>
        <w:spacing w:after="0"/>
        <w:ind w:left="360"/>
        <w:jc w:val="both"/>
        <w:rPr>
          <w:rFonts w:asciiTheme="minorHAnsi" w:hAnsiTheme="minorHAnsi" w:cstheme="minorHAnsi"/>
          <w:bCs/>
        </w:rPr>
      </w:pPr>
    </w:p>
    <w:p w14:paraId="561D806B" w14:textId="3DE5C8A6" w:rsidR="00092213" w:rsidRDefault="00092213" w:rsidP="00092213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92213">
        <w:rPr>
          <w:rFonts w:asciiTheme="minorHAnsi" w:hAnsiTheme="minorHAnsi" w:cstheme="minorHAnsi"/>
          <w:b/>
          <w:bCs/>
          <w:sz w:val="28"/>
          <w:szCs w:val="28"/>
        </w:rPr>
        <w:t>Livrables</w:t>
      </w:r>
    </w:p>
    <w:p w14:paraId="3350E661" w14:textId="7A24F692" w:rsidR="00092213" w:rsidRDefault="00092213" w:rsidP="00092213">
      <w:pPr>
        <w:spacing w:after="0"/>
        <w:ind w:left="36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24C895F" w14:textId="05179DE2" w:rsidR="00092213" w:rsidRPr="00E13AE7" w:rsidRDefault="00092213" w:rsidP="00092213">
      <w:pPr>
        <w:spacing w:after="0"/>
        <w:ind w:left="360"/>
        <w:jc w:val="both"/>
        <w:rPr>
          <w:rFonts w:asciiTheme="minorHAnsi" w:hAnsiTheme="minorHAnsi" w:cstheme="minorHAnsi"/>
          <w:bCs/>
          <w:lang w:val="fr-FR"/>
        </w:rPr>
      </w:pPr>
      <w:r w:rsidRPr="00E13AE7">
        <w:rPr>
          <w:rFonts w:asciiTheme="minorHAnsi" w:hAnsiTheme="minorHAnsi" w:cstheme="minorHAnsi"/>
          <w:bCs/>
          <w:lang w:val="fr-FR"/>
        </w:rPr>
        <w:t>L’expert contribuera à la production des livrables suivants :</w:t>
      </w:r>
    </w:p>
    <w:p w14:paraId="65754AEF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Plans de travail annuels et semestriels ;</w:t>
      </w:r>
    </w:p>
    <w:p w14:paraId="04BD92BD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Termes de référence des activités et expertises ;</w:t>
      </w:r>
    </w:p>
    <w:p w14:paraId="0DD35E37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Rapports de missions ;</w:t>
      </w:r>
    </w:p>
    <w:p w14:paraId="25386535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Notes techniques ;</w:t>
      </w:r>
    </w:p>
    <w:p w14:paraId="4C8F5729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Comptes rendus d’ateliers et de réunions ;</w:t>
      </w:r>
    </w:p>
    <w:p w14:paraId="79BC5CB0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Rapports de suivi des indicateurs ;</w:t>
      </w:r>
    </w:p>
    <w:p w14:paraId="1565ED96" w14:textId="77777777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Rapports techniques périodiques de la composante ;</w:t>
      </w:r>
    </w:p>
    <w:p w14:paraId="76109794" w14:textId="08C8AB72" w:rsidR="003A41A2" w:rsidRPr="00E13AE7" w:rsidRDefault="003A41A2" w:rsidP="003A41A2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AE7">
        <w:rPr>
          <w:rFonts w:asciiTheme="minorHAnsi" w:hAnsiTheme="minorHAnsi" w:cstheme="minorHAnsi"/>
          <w:bCs/>
          <w:sz w:val="22"/>
          <w:szCs w:val="22"/>
        </w:rPr>
        <w:t>Contributions aux rapports narratifs du projet.</w:t>
      </w:r>
    </w:p>
    <w:p w14:paraId="1F168CCE" w14:textId="77777777" w:rsidR="00092213" w:rsidRPr="00E13AE7" w:rsidRDefault="00092213" w:rsidP="00092213">
      <w:pPr>
        <w:spacing w:after="0"/>
        <w:ind w:left="360"/>
        <w:jc w:val="both"/>
        <w:rPr>
          <w:rFonts w:asciiTheme="minorHAnsi" w:hAnsiTheme="minorHAnsi" w:cstheme="minorHAnsi"/>
          <w:bCs/>
          <w:szCs w:val="28"/>
          <w:lang w:val="fr-FR"/>
        </w:rPr>
      </w:pPr>
    </w:p>
    <w:p w14:paraId="4AE61933" w14:textId="5CCD96C2" w:rsidR="00A464D9" w:rsidRDefault="00A464D9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464D9">
        <w:rPr>
          <w:rFonts w:asciiTheme="minorHAnsi" w:hAnsiTheme="minorHAnsi" w:cstheme="minorHAnsi"/>
          <w:b/>
          <w:bCs/>
          <w:sz w:val="28"/>
          <w:szCs w:val="28"/>
        </w:rPr>
        <w:t xml:space="preserve">Interlocuteurs de la mission </w:t>
      </w:r>
    </w:p>
    <w:p w14:paraId="0CF855B4" w14:textId="77777777" w:rsidR="00092213" w:rsidRPr="00A464D9" w:rsidRDefault="00092213" w:rsidP="00092213">
      <w:pPr>
        <w:pStyle w:val="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F844B00" w14:textId="42F1CB75" w:rsidR="00A464D9" w:rsidRDefault="00A464D9" w:rsidP="00A464D9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  <w:r w:rsidRPr="00A464D9">
        <w:rPr>
          <w:rFonts w:asciiTheme="minorHAnsi" w:hAnsiTheme="minorHAnsi" w:cstheme="minorHAnsi"/>
          <w:color w:val="000000" w:themeColor="text1"/>
          <w:lang w:val="fr-FR"/>
        </w:rPr>
        <w:t>L</w:t>
      </w:r>
      <w:r w:rsidR="004F313D">
        <w:rPr>
          <w:rFonts w:asciiTheme="minorHAnsi" w:hAnsiTheme="minorHAnsi" w:cstheme="minorHAnsi"/>
          <w:color w:val="000000" w:themeColor="text1"/>
          <w:lang w:val="fr-FR"/>
        </w:rPr>
        <w:t>’</w:t>
      </w:r>
      <w:r w:rsidR="004F313D">
        <w:rPr>
          <w:rFonts w:asciiTheme="minorHAnsi" w:hAnsiTheme="minorHAnsi" w:cstheme="minorHAnsi"/>
          <w:lang w:val="fr-FR" w:eastAsia="fr-FR"/>
        </w:rPr>
        <w:t xml:space="preserve">expert.e individuel.le </w:t>
      </w:r>
      <w:r w:rsidRPr="00A464D9">
        <w:rPr>
          <w:rFonts w:asciiTheme="minorHAnsi" w:hAnsiTheme="minorHAnsi" w:cstheme="minorHAnsi"/>
          <w:color w:val="000000" w:themeColor="text1"/>
          <w:lang w:val="fr-FR"/>
        </w:rPr>
        <w:t>interviendra sous la supervision d’Expertise France, en lien avec :</w:t>
      </w:r>
    </w:p>
    <w:p w14:paraId="51171175" w14:textId="77777777" w:rsidR="00E13AE7" w:rsidRPr="00A464D9" w:rsidRDefault="00E13AE7" w:rsidP="00A464D9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</w:p>
    <w:p w14:paraId="565D0100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bailleur de fonds, notamment la DUE de Yaoundé, mais également les DUE des autres pays d’intervention du projet, </w:t>
      </w:r>
    </w:p>
    <w:p w14:paraId="599E697C" w14:textId="7B5F2235" w:rsidR="00A464D9" w:rsidRPr="000E470F" w:rsidRDefault="00A464D9" w:rsidP="000E470F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partenaires du consortium : </w:t>
      </w:r>
      <w:r w:rsidRPr="000E470F">
        <w:rPr>
          <w:rFonts w:asciiTheme="minorHAnsi" w:hAnsiTheme="minorHAnsi" w:cstheme="minorHAnsi"/>
          <w:color w:val="000000" w:themeColor="text1"/>
          <w:sz w:val="22"/>
          <w:szCs w:val="22"/>
        </w:rPr>
        <w:t>CNUCED,</w:t>
      </w:r>
      <w:r w:rsidR="000E470F" w:rsidRPr="000E47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E470F">
        <w:rPr>
          <w:rFonts w:asciiTheme="minorHAnsi" w:hAnsiTheme="minorHAnsi" w:cstheme="minorHAnsi"/>
          <w:color w:val="000000" w:themeColor="text1"/>
          <w:sz w:val="22"/>
          <w:szCs w:val="22"/>
        </w:rPr>
        <w:t>OMD, FAO/CIPV</w:t>
      </w:r>
      <w:r w:rsidR="000E470F" w:rsidRPr="000E470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0E470F">
        <w:rPr>
          <w:rFonts w:asciiTheme="minorHAnsi" w:hAnsiTheme="minorHAnsi" w:cstheme="minorHAnsi"/>
          <w:color w:val="000000" w:themeColor="text1"/>
        </w:rPr>
        <w:t xml:space="preserve"> </w:t>
      </w:r>
    </w:p>
    <w:p w14:paraId="2D41A62B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autres grands bailleurs de fonds type Banque Mondiale, BEI, BAD, BEAC, BDEAC, BID, AFD, etc., et leurs projets/initiatives en cours : PAGIRN, PAIRIAC, PCDN, PRACAC, PURIC, projets de réhabilitation/construction routière, SCOPE Africa, etc., </w:t>
      </w:r>
    </w:p>
    <w:p w14:paraId="4A909D95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Les Communautés Economiques Régionales (CER) :</w:t>
      </w:r>
    </w:p>
    <w:p w14:paraId="28FA2E6E" w14:textId="0D0C3523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CEMAC, </w:t>
      </w:r>
      <w:r w:rsidR="000E47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dont les experts transport, et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dont ses organes type Observatoire des Pratiques Anormales en Afrique Centrale (OPA-AC), Groupe de Haut Niveau Transport et Sécurité Routière, Comité des Chefs de Police d’Afrique Centrale et sa Brigade mixte, </w:t>
      </w:r>
    </w:p>
    <w:p w14:paraId="68190F40" w14:textId="21D2FD8B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CEEAC</w:t>
      </w:r>
      <w:r w:rsidR="000E470F">
        <w:rPr>
          <w:rFonts w:asciiTheme="minorHAnsi" w:hAnsiTheme="minorHAnsi" w:cstheme="minorHAnsi"/>
          <w:color w:val="000000" w:themeColor="text1"/>
          <w:sz w:val="22"/>
          <w:szCs w:val="22"/>
        </w:rPr>
        <w:t>, dont les experts transport,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ses organes type </w:t>
      </w:r>
      <w:r w:rsidR="000E470F" w:rsidRPr="000E470F">
        <w:rPr>
          <w:rFonts w:asciiTheme="minorHAnsi" w:hAnsiTheme="minorHAnsi" w:cstheme="minorHAnsi"/>
          <w:color w:val="000000" w:themeColor="text1"/>
          <w:sz w:val="22"/>
          <w:szCs w:val="22"/>
        </w:rPr>
        <w:t>Fédération régionale des Transports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46AED02" w14:textId="77777777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autorités nationales : </w:t>
      </w:r>
    </w:p>
    <w:p w14:paraId="351328A3" w14:textId="5983D27B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Ministères de tutelle : Planification et/ou Economie</w:t>
      </w:r>
      <w:r w:rsidR="00B76F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et/ou Finances et/ou Coopération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3B0AD6EC" w14:textId="0B5E858D" w:rsidR="00A464D9" w:rsidRPr="00A464D9" w:rsidRDefault="00A464D9">
      <w:pPr>
        <w:pStyle w:val="ListParagraph"/>
        <w:numPr>
          <w:ilvl w:val="1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Ministères sectoriels : </w:t>
      </w:r>
      <w:r w:rsidR="00B76F12">
        <w:rPr>
          <w:rFonts w:asciiTheme="minorHAnsi" w:hAnsiTheme="minorHAnsi" w:cstheme="minorHAnsi"/>
          <w:color w:val="000000" w:themeColor="text1"/>
          <w:sz w:val="22"/>
          <w:szCs w:val="22"/>
        </w:rPr>
        <w:t>Transports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76F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Travaux publics, Infrastructures,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Finances</w:t>
      </w:r>
      <w:r w:rsidR="004F31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>Directions Générales des Douanes, etc.</w:t>
      </w:r>
    </w:p>
    <w:p w14:paraId="29E3F02E" w14:textId="443637FB" w:rsidR="00A464D9" w:rsidRPr="00A464D9" w:rsidRDefault="00A464D9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L’ensemble des partenaires techniques publics et privés : ports, ports secs, fonds d’entretien routier, entreprises routières/ferroviaires/fluviales, bureaux de gestion du fret terrestre, </w:t>
      </w:r>
      <w:r w:rsidRPr="00A464D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comités nationaux de facilitation des échanges, Guichets Uniques du Commerce Extérieur, chargeurs/transporteurs/transitaires, secteur privé de manière large, etc.</w:t>
      </w:r>
    </w:p>
    <w:p w14:paraId="77CD93A9" w14:textId="77777777" w:rsidR="004F313D" w:rsidRPr="004F313D" w:rsidRDefault="004F313D" w:rsidP="00A464D9">
      <w:pPr>
        <w:tabs>
          <w:tab w:val="left" w:pos="0"/>
        </w:tabs>
        <w:spacing w:after="0"/>
        <w:jc w:val="both"/>
        <w:rPr>
          <w:rFonts w:asciiTheme="minorHAnsi" w:eastAsia="Times New Roman" w:hAnsiTheme="minorHAnsi" w:cstheme="minorHAnsi"/>
          <w:bCs/>
          <w:snapToGrid w:val="0"/>
          <w:lang w:val="fr-FR" w:eastAsia="fr-FR"/>
        </w:rPr>
      </w:pPr>
    </w:p>
    <w:p w14:paraId="24A6BE1F" w14:textId="09E10AAD" w:rsidR="004F313D" w:rsidRDefault="004F313D" w:rsidP="004F313D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color w:val="000000" w:themeColor="text1"/>
          <w:lang w:val="fr-FR"/>
        </w:rPr>
        <w:t>Chez</w:t>
      </w:r>
      <w:r w:rsidRPr="004F313D">
        <w:rPr>
          <w:rFonts w:asciiTheme="minorHAnsi" w:hAnsiTheme="minorHAnsi" w:cstheme="minorHAnsi"/>
          <w:color w:val="000000" w:themeColor="text1"/>
          <w:lang w:val="fr-FR"/>
        </w:rPr>
        <w:t xml:space="preserve"> Expertise France, </w:t>
      </w:r>
      <w:r>
        <w:rPr>
          <w:rFonts w:asciiTheme="minorHAnsi" w:hAnsiTheme="minorHAnsi" w:cstheme="minorHAnsi"/>
          <w:color w:val="000000" w:themeColor="text1"/>
          <w:lang w:val="fr-FR"/>
        </w:rPr>
        <w:t>l’</w:t>
      </w:r>
      <w:r>
        <w:rPr>
          <w:rFonts w:asciiTheme="minorHAnsi" w:hAnsiTheme="minorHAnsi" w:cstheme="minorHAnsi"/>
          <w:lang w:val="fr-FR" w:eastAsia="fr-FR"/>
        </w:rPr>
        <w:t>expert.e individuel.le</w:t>
      </w:r>
      <w:r w:rsidRPr="004F313D">
        <w:rPr>
          <w:rFonts w:asciiTheme="minorHAnsi" w:hAnsiTheme="minorHAnsi" w:cstheme="minorHAnsi"/>
          <w:color w:val="000000" w:themeColor="text1"/>
          <w:lang w:val="fr-FR"/>
        </w:rPr>
        <w:t xml:space="preserve"> travaillera en collaboration avec :</w:t>
      </w:r>
    </w:p>
    <w:p w14:paraId="19633BBB" w14:textId="77777777" w:rsidR="00E13AE7" w:rsidRPr="004F313D" w:rsidRDefault="00E13AE7" w:rsidP="004F313D">
      <w:p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</w:p>
    <w:p w14:paraId="2BD86B54" w14:textId="6756F25C" w:rsidR="004F313D" w:rsidRPr="004F313D" w:rsidRDefault="004F313D">
      <w:pPr>
        <w:pStyle w:val="ListParagraph"/>
        <w:numPr>
          <w:ilvl w:val="0"/>
          <w:numId w:val="4"/>
        </w:numPr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4F31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coordinateur de l’ensemble des projets corridors chez Expertise France, </w:t>
      </w:r>
    </w:p>
    <w:p w14:paraId="34687E7E" w14:textId="5F24F20D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Le</w:t>
      </w:r>
      <w:r w:rsidRPr="004F313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chef de projet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C410FC0" w14:textId="238DFA0F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L’adjoint au chef de projet, </w:t>
      </w:r>
    </w:p>
    <w:p w14:paraId="589D58AD" w14:textId="73023340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 responsable de la composante </w:t>
      </w:r>
      <w:r w:rsidR="00B76F1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dédiée à la facilitation des </w:t>
      </w:r>
      <w:r w:rsidR="00B76F12">
        <w:rPr>
          <w:rFonts w:asciiTheme="minorHAnsi" w:hAnsiTheme="minorHAnsi" w:cstheme="minorHAnsi"/>
          <w:color w:val="000000" w:themeColor="text1"/>
          <w:sz w:val="22"/>
          <w:szCs w:val="22"/>
        </w:rPr>
        <w:t>transports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5631E77" w14:textId="77777777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responsables des 3 autres composantes du projet, </w:t>
      </w:r>
    </w:p>
    <w:p w14:paraId="6F1C3153" w14:textId="1188EE07" w:rsidR="004F313D" w:rsidRPr="004F313D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Cs/>
          <w:snapToGrid w:val="0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Les coordinateurs des 2 corridors (n°5 et n°6) du projet, </w:t>
      </w:r>
    </w:p>
    <w:p w14:paraId="7C1D418A" w14:textId="4A34C341" w:rsidR="00270965" w:rsidRPr="00270965" w:rsidRDefault="004F313D">
      <w:pPr>
        <w:pStyle w:val="ListParagraph"/>
        <w:numPr>
          <w:ilvl w:val="0"/>
          <w:numId w:val="4"/>
        </w:numPr>
        <w:tabs>
          <w:tab w:val="left" w:pos="0"/>
        </w:tabs>
        <w:spacing w:before="0" w:beforeAutospacing="0" w:after="0" w:afterAutospacing="0" w:line="259" w:lineRule="auto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70965">
        <w:rPr>
          <w:rFonts w:asciiTheme="minorHAnsi" w:hAnsiTheme="minorHAnsi" w:cstheme="minorHAnsi"/>
          <w:color w:val="000000" w:themeColor="text1"/>
          <w:sz w:val="22"/>
          <w:szCs w:val="22"/>
        </w:rPr>
        <w:t>Toute autre staff de l’équipe-projet et/ou de l’équipe-support.</w:t>
      </w:r>
    </w:p>
    <w:p w14:paraId="02978320" w14:textId="77777777" w:rsidR="00270965" w:rsidRPr="00141867" w:rsidRDefault="00270965" w:rsidP="00270965">
      <w:pPr>
        <w:tabs>
          <w:tab w:val="left" w:pos="0"/>
        </w:tabs>
        <w:spacing w:after="0"/>
        <w:contextualSpacing/>
        <w:jc w:val="both"/>
        <w:rPr>
          <w:rFonts w:asciiTheme="minorHAnsi" w:hAnsiTheme="minorHAnsi" w:cstheme="minorHAnsi"/>
          <w:b/>
          <w:bCs/>
          <w:lang w:val="fr-FR"/>
        </w:rPr>
      </w:pPr>
    </w:p>
    <w:p w14:paraId="27586107" w14:textId="6D9AF3AB" w:rsidR="00270965" w:rsidRDefault="00270965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70965">
        <w:rPr>
          <w:rFonts w:asciiTheme="minorHAnsi" w:hAnsiTheme="minorHAnsi" w:cstheme="minorHAnsi"/>
          <w:b/>
          <w:bCs/>
          <w:sz w:val="28"/>
          <w:szCs w:val="28"/>
        </w:rPr>
        <w:t>Qualifications et compétences</w:t>
      </w:r>
    </w:p>
    <w:p w14:paraId="73C63A59" w14:textId="77777777" w:rsidR="00270965" w:rsidRDefault="00270965" w:rsidP="00270965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AF66B93" w14:textId="50E1598A" w:rsidR="00DF3166" w:rsidRPr="00E13AE7" w:rsidRDefault="00DF3166" w:rsidP="00DF3166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E13AE7">
        <w:rPr>
          <w:rFonts w:cstheme="minorHAnsi"/>
          <w:color w:val="000000" w:themeColor="text1"/>
          <w:lang w:val="fr-FR"/>
        </w:rPr>
        <w:t>Au moins 15 ans d’expérience professionnelle pertinente dans les secteurs du transport, des corridors de transport et de l’intégration régionale ;</w:t>
      </w:r>
    </w:p>
    <w:p w14:paraId="68B7106F" w14:textId="0AA65ACF" w:rsidR="00270965" w:rsidRPr="00E13AE7" w:rsidRDefault="00270965" w:rsidP="00DF3166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E13AE7">
        <w:rPr>
          <w:rFonts w:cstheme="minorHAnsi"/>
          <w:color w:val="000000" w:themeColor="text1"/>
          <w:lang w:val="fr-FR"/>
        </w:rPr>
        <w:t xml:space="preserve">Expertise avérée </w:t>
      </w:r>
      <w:r w:rsidR="00856685" w:rsidRPr="00E13AE7">
        <w:rPr>
          <w:rFonts w:cstheme="minorHAnsi"/>
          <w:color w:val="000000" w:themeColor="text1"/>
          <w:lang w:val="fr-FR"/>
        </w:rPr>
        <w:t>dans le secteur tourier et des transports, dont planification, entretien, aspects économiques, études techniques routières, ainsi que dans le renforcement de capacités institutionnelles dans c</w:t>
      </w:r>
      <w:bookmarkStart w:id="0" w:name="_GoBack"/>
      <w:bookmarkEnd w:id="0"/>
      <w:r w:rsidR="00856685" w:rsidRPr="00E13AE7">
        <w:rPr>
          <w:rFonts w:cstheme="minorHAnsi"/>
          <w:color w:val="000000" w:themeColor="text1"/>
          <w:lang w:val="fr-FR"/>
        </w:rPr>
        <w:t>es secteurs</w:t>
      </w:r>
      <w:r w:rsidRPr="00E13AE7">
        <w:rPr>
          <w:rFonts w:cstheme="minorHAnsi"/>
          <w:color w:val="000000" w:themeColor="text1"/>
          <w:lang w:val="fr-FR"/>
        </w:rPr>
        <w:t xml:space="preserve"> ;</w:t>
      </w:r>
    </w:p>
    <w:p w14:paraId="6F5E1467" w14:textId="77777777" w:rsidR="00DF3166" w:rsidRPr="00E13AE7" w:rsidRDefault="00DF3166" w:rsidP="00DF3166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E13AE7">
        <w:rPr>
          <w:rFonts w:cstheme="minorHAnsi"/>
          <w:color w:val="000000" w:themeColor="text1"/>
          <w:lang w:val="fr-FR"/>
        </w:rPr>
        <w:t>Expérience avérée dans la coordination opérationnelle et le suivi de projets financés par des bailleurs internationaux, notamment l’Union européenne.</w:t>
      </w:r>
    </w:p>
    <w:p w14:paraId="074A98B5" w14:textId="5BA8A210" w:rsidR="00270965" w:rsidRPr="00270965" w:rsidRDefault="00270965" w:rsidP="00DF3166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E13AE7">
        <w:rPr>
          <w:rFonts w:cstheme="minorHAnsi"/>
          <w:color w:val="000000" w:themeColor="text1"/>
          <w:lang w:val="fr-FR"/>
        </w:rPr>
        <w:t>Maîtrise des exigences de l’Union européenne en tant que bailleur</w:t>
      </w:r>
      <w:r>
        <w:rPr>
          <w:rFonts w:cstheme="minorHAnsi"/>
          <w:color w:val="000000" w:themeColor="text1"/>
          <w:lang w:val="fr-FR"/>
        </w:rPr>
        <w:t xml:space="preserve"> et des Délégations de l’Union européenne en tant qu’interlocuteurs de mise en œuvre, la maîtrise des enjeux de l’initiative Global Gateway de l’UE étant un atout</w:t>
      </w:r>
      <w:r w:rsidRPr="00270965">
        <w:rPr>
          <w:rFonts w:cstheme="minorHAnsi"/>
          <w:color w:val="000000" w:themeColor="text1"/>
          <w:lang w:val="fr-FR"/>
        </w:rPr>
        <w:t xml:space="preserve"> ;</w:t>
      </w:r>
    </w:p>
    <w:p w14:paraId="1D798D53" w14:textId="77777777" w:rsidR="00270965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 w:rsidRPr="00270965">
        <w:rPr>
          <w:rFonts w:cstheme="minorHAnsi"/>
          <w:color w:val="000000" w:themeColor="text1"/>
          <w:lang w:val="fr-FR"/>
        </w:rPr>
        <w:t>Bonne connaissance des organisations régionales africaines (CEMAC, CEEAC) ;</w:t>
      </w:r>
    </w:p>
    <w:p w14:paraId="4318F71F" w14:textId="23E3CDC7" w:rsidR="001531D8" w:rsidRDefault="001531D8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>
        <w:rPr>
          <w:rFonts w:cstheme="minorHAnsi"/>
          <w:color w:val="000000" w:themeColor="text1"/>
          <w:lang w:val="fr-FR"/>
        </w:rPr>
        <w:t>Très bonne connaissance des pays d’intervention du projet, notamment Cameroun, Tchad, RCA, Gabon et RDC ;</w:t>
      </w:r>
    </w:p>
    <w:p w14:paraId="1B14ADEA" w14:textId="18D56A2A" w:rsidR="00270965" w:rsidRPr="00270965" w:rsidRDefault="00270965">
      <w:pPr>
        <w:numPr>
          <w:ilvl w:val="0"/>
          <w:numId w:val="5"/>
        </w:numPr>
        <w:spacing w:after="0" w:line="259" w:lineRule="auto"/>
        <w:jc w:val="both"/>
        <w:rPr>
          <w:rFonts w:cstheme="minorHAnsi"/>
          <w:color w:val="000000" w:themeColor="text1"/>
          <w:lang w:val="fr-FR"/>
        </w:rPr>
      </w:pPr>
      <w:r>
        <w:rPr>
          <w:rFonts w:cstheme="minorHAnsi"/>
          <w:color w:val="000000" w:themeColor="text1"/>
          <w:lang w:val="fr-FR"/>
        </w:rPr>
        <w:t xml:space="preserve">Connaissance de la CIPV de la FAO, et leur certification phytosanitaire ePhyto est un atout ; </w:t>
      </w:r>
    </w:p>
    <w:p w14:paraId="58CCF098" w14:textId="266077C9" w:rsidR="00270965" w:rsidRPr="00856685" w:rsidRDefault="00270965" w:rsidP="002D70E3">
      <w:pPr>
        <w:numPr>
          <w:ilvl w:val="0"/>
          <w:numId w:val="5"/>
        </w:numPr>
        <w:tabs>
          <w:tab w:val="num" w:pos="180"/>
        </w:tabs>
        <w:spacing w:after="0" w:line="259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856685">
        <w:rPr>
          <w:rFonts w:cstheme="minorHAnsi"/>
          <w:color w:val="000000" w:themeColor="text1"/>
          <w:lang w:val="fr-FR"/>
        </w:rPr>
        <w:t xml:space="preserve">Excellentes capacités de coordination et de rédaction en français et en anglais. </w:t>
      </w:r>
    </w:p>
    <w:p w14:paraId="26955223" w14:textId="77777777" w:rsidR="00270965" w:rsidRPr="000A40D0" w:rsidRDefault="00270965" w:rsidP="00F52758">
      <w:pPr>
        <w:pStyle w:val="Grilleclaire-Accent31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fr-FR" w:eastAsia="fr-FR"/>
        </w:rPr>
      </w:pPr>
    </w:p>
    <w:sectPr w:rsidR="00270965" w:rsidRPr="000A40D0" w:rsidSect="006656CA">
      <w:headerReference w:type="default" r:id="rId9"/>
      <w:footerReference w:type="default" r:id="rId10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6C217D" w16cex:dateUtc="2026-05-25T16:46:00Z"/>
  <w16cex:commentExtensible w16cex:durableId="1FAF3F82" w16cex:dateUtc="2026-05-25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AD1CF8" w16cid:durableId="5D6C217D"/>
  <w16cid:commentId w16cid:paraId="09D43749" w16cid:durableId="1FAF3F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90E2" w14:textId="77777777" w:rsidR="00955B09" w:rsidRDefault="00955B09" w:rsidP="00B14D46">
      <w:pPr>
        <w:spacing w:after="0" w:line="240" w:lineRule="auto"/>
      </w:pPr>
      <w:r>
        <w:separator/>
      </w:r>
    </w:p>
  </w:endnote>
  <w:endnote w:type="continuationSeparator" w:id="0">
    <w:p w14:paraId="67058CD8" w14:textId="77777777" w:rsidR="00955B09" w:rsidRDefault="00955B09" w:rsidP="00B1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165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82C308" w14:textId="4222046E" w:rsidR="00C86139" w:rsidRPr="00C86139" w:rsidRDefault="00C86139">
        <w:pPr>
          <w:pStyle w:val="Footer"/>
          <w:jc w:val="right"/>
          <w:rPr>
            <w:sz w:val="20"/>
            <w:szCs w:val="20"/>
          </w:rPr>
        </w:pPr>
        <w:r w:rsidRPr="00C86139">
          <w:rPr>
            <w:sz w:val="20"/>
            <w:szCs w:val="20"/>
          </w:rPr>
          <w:fldChar w:fldCharType="begin"/>
        </w:r>
        <w:r w:rsidRPr="00C86139">
          <w:rPr>
            <w:sz w:val="20"/>
            <w:szCs w:val="20"/>
          </w:rPr>
          <w:instrText>PAGE   \* MERGEFORMAT</w:instrText>
        </w:r>
        <w:r w:rsidRPr="00C86139">
          <w:rPr>
            <w:sz w:val="20"/>
            <w:szCs w:val="20"/>
          </w:rPr>
          <w:fldChar w:fldCharType="separate"/>
        </w:r>
        <w:r w:rsidR="00E13AE7" w:rsidRPr="00E13AE7">
          <w:rPr>
            <w:noProof/>
            <w:sz w:val="20"/>
            <w:szCs w:val="20"/>
            <w:lang w:val="fr-FR"/>
          </w:rPr>
          <w:t>5</w:t>
        </w:r>
        <w:r w:rsidRPr="00C8613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CC57" w14:textId="77777777" w:rsidR="00955B09" w:rsidRDefault="00955B09" w:rsidP="00B14D46">
      <w:pPr>
        <w:spacing w:after="0" w:line="240" w:lineRule="auto"/>
      </w:pPr>
      <w:r>
        <w:separator/>
      </w:r>
    </w:p>
  </w:footnote>
  <w:footnote w:type="continuationSeparator" w:id="0">
    <w:p w14:paraId="79F6438F" w14:textId="77777777" w:rsidR="00955B09" w:rsidRDefault="00955B09" w:rsidP="00B1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879F" w14:textId="77C09F79" w:rsidR="00B14D46" w:rsidRDefault="00910B8C">
    <w:pPr>
      <w:pStyle w:val="Header"/>
    </w:pPr>
    <w:r w:rsidRPr="00BC3B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2D6B20" wp14:editId="16CDABA4">
          <wp:simplePos x="0" y="0"/>
          <wp:positionH relativeFrom="margin">
            <wp:posOffset>4846320</wp:posOffset>
          </wp:positionH>
          <wp:positionV relativeFrom="paragraph">
            <wp:posOffset>-167640</wp:posOffset>
          </wp:positionV>
          <wp:extent cx="930275" cy="621030"/>
          <wp:effectExtent l="0" t="0" r="3175" b="7620"/>
          <wp:wrapTight wrapText="bothSides">
            <wp:wrapPolygon edited="0">
              <wp:start x="0" y="0"/>
              <wp:lineTo x="0" y="21202"/>
              <wp:lineTo x="21231" y="21202"/>
              <wp:lineTo x="21231" y="0"/>
              <wp:lineTo x="0" y="0"/>
            </wp:wrapPolygon>
          </wp:wrapTight>
          <wp:docPr id="1252919294" name="Image 1252919294" descr="C:\Users\JULIET~1.GUI\AppData\Local\Temp\7zOC263AEBD\normal-reproduction-low-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T~1.GUI\AppData\Local\Temp\7zOC263AEBD\normal-reproduction-low-resolut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8DC">
      <w:rPr>
        <w:noProof/>
        <w:lang w:eastAsia="en-GB"/>
      </w:rPr>
      <w:drawing>
        <wp:inline distT="0" distB="0" distL="0" distR="0" wp14:anchorId="37BA668B" wp14:editId="421EAE72">
          <wp:extent cx="1136650" cy="395605"/>
          <wp:effectExtent l="0" t="0" r="0" b="0"/>
          <wp:docPr id="7835447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4221" w:rsidRPr="008F422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E2"/>
    <w:multiLevelType w:val="hybridMultilevel"/>
    <w:tmpl w:val="94B44976"/>
    <w:lvl w:ilvl="0" w:tplc="A85A3614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850"/>
    <w:multiLevelType w:val="multilevel"/>
    <w:tmpl w:val="359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E4B4A"/>
    <w:multiLevelType w:val="hybridMultilevel"/>
    <w:tmpl w:val="35F0B4A6"/>
    <w:lvl w:ilvl="0" w:tplc="363C1A24">
      <w:start w:val="3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3D3"/>
    <w:multiLevelType w:val="hybridMultilevel"/>
    <w:tmpl w:val="B94ABBE2"/>
    <w:lvl w:ilvl="0" w:tplc="680892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34BAB"/>
    <w:multiLevelType w:val="hybridMultilevel"/>
    <w:tmpl w:val="95CC3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77026"/>
    <w:multiLevelType w:val="multilevel"/>
    <w:tmpl w:val="885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B33AF"/>
    <w:multiLevelType w:val="hybridMultilevel"/>
    <w:tmpl w:val="AF7843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A5"/>
    <w:rsid w:val="0000683D"/>
    <w:rsid w:val="00010689"/>
    <w:rsid w:val="00027BBE"/>
    <w:rsid w:val="00046A86"/>
    <w:rsid w:val="00051480"/>
    <w:rsid w:val="00056037"/>
    <w:rsid w:val="0006166F"/>
    <w:rsid w:val="00063D37"/>
    <w:rsid w:val="00084599"/>
    <w:rsid w:val="00087E3D"/>
    <w:rsid w:val="00092213"/>
    <w:rsid w:val="000A40D0"/>
    <w:rsid w:val="000C0EB6"/>
    <w:rsid w:val="000D0140"/>
    <w:rsid w:val="000E470F"/>
    <w:rsid w:val="000F5FFE"/>
    <w:rsid w:val="0010563F"/>
    <w:rsid w:val="00112C4B"/>
    <w:rsid w:val="001232DB"/>
    <w:rsid w:val="00136C42"/>
    <w:rsid w:val="00141867"/>
    <w:rsid w:val="001434C9"/>
    <w:rsid w:val="0014790D"/>
    <w:rsid w:val="00152610"/>
    <w:rsid w:val="001531D8"/>
    <w:rsid w:val="001633D1"/>
    <w:rsid w:val="0016434D"/>
    <w:rsid w:val="0017328E"/>
    <w:rsid w:val="0017554F"/>
    <w:rsid w:val="00184618"/>
    <w:rsid w:val="001863EA"/>
    <w:rsid w:val="001923C1"/>
    <w:rsid w:val="001C3B3B"/>
    <w:rsid w:val="001D2D94"/>
    <w:rsid w:val="001F3D77"/>
    <w:rsid w:val="001F6618"/>
    <w:rsid w:val="001F6B0A"/>
    <w:rsid w:val="00201AE8"/>
    <w:rsid w:val="00201EE5"/>
    <w:rsid w:val="00202E8D"/>
    <w:rsid w:val="00215BD7"/>
    <w:rsid w:val="002219C3"/>
    <w:rsid w:val="00224BE9"/>
    <w:rsid w:val="002252D1"/>
    <w:rsid w:val="00240111"/>
    <w:rsid w:val="00247D2B"/>
    <w:rsid w:val="002550E0"/>
    <w:rsid w:val="00265CCD"/>
    <w:rsid w:val="00270541"/>
    <w:rsid w:val="00270965"/>
    <w:rsid w:val="00275ABF"/>
    <w:rsid w:val="00281E0D"/>
    <w:rsid w:val="00291A35"/>
    <w:rsid w:val="002920D5"/>
    <w:rsid w:val="00295159"/>
    <w:rsid w:val="002B7AF8"/>
    <w:rsid w:val="002D58D6"/>
    <w:rsid w:val="002E117A"/>
    <w:rsid w:val="002F7B35"/>
    <w:rsid w:val="00310EC0"/>
    <w:rsid w:val="00325832"/>
    <w:rsid w:val="0032730C"/>
    <w:rsid w:val="00327935"/>
    <w:rsid w:val="00345E3F"/>
    <w:rsid w:val="003618C4"/>
    <w:rsid w:val="00366CE3"/>
    <w:rsid w:val="003A2055"/>
    <w:rsid w:val="003A3500"/>
    <w:rsid w:val="003A41A2"/>
    <w:rsid w:val="003B3276"/>
    <w:rsid w:val="003D46D2"/>
    <w:rsid w:val="003E3891"/>
    <w:rsid w:val="004129D0"/>
    <w:rsid w:val="004242F1"/>
    <w:rsid w:val="00426D7E"/>
    <w:rsid w:val="00430DA7"/>
    <w:rsid w:val="00436D5E"/>
    <w:rsid w:val="00451005"/>
    <w:rsid w:val="004600A7"/>
    <w:rsid w:val="00472DC3"/>
    <w:rsid w:val="00476902"/>
    <w:rsid w:val="004A3025"/>
    <w:rsid w:val="004A3255"/>
    <w:rsid w:val="004A70FA"/>
    <w:rsid w:val="004B2DCE"/>
    <w:rsid w:val="004D140E"/>
    <w:rsid w:val="004D7EB4"/>
    <w:rsid w:val="004F313D"/>
    <w:rsid w:val="004F33BE"/>
    <w:rsid w:val="004F3E0D"/>
    <w:rsid w:val="00507F78"/>
    <w:rsid w:val="00521568"/>
    <w:rsid w:val="00524B17"/>
    <w:rsid w:val="005459EC"/>
    <w:rsid w:val="00553684"/>
    <w:rsid w:val="00554ED1"/>
    <w:rsid w:val="005718F1"/>
    <w:rsid w:val="00585C36"/>
    <w:rsid w:val="005A0E8C"/>
    <w:rsid w:val="005A4EEB"/>
    <w:rsid w:val="005B6AA6"/>
    <w:rsid w:val="005D51A9"/>
    <w:rsid w:val="005D5C74"/>
    <w:rsid w:val="005E5B44"/>
    <w:rsid w:val="005E6ADF"/>
    <w:rsid w:val="005F4F13"/>
    <w:rsid w:val="00617E3D"/>
    <w:rsid w:val="00621DC3"/>
    <w:rsid w:val="0063006F"/>
    <w:rsid w:val="00632E61"/>
    <w:rsid w:val="00633787"/>
    <w:rsid w:val="006349F8"/>
    <w:rsid w:val="0063723A"/>
    <w:rsid w:val="00640F86"/>
    <w:rsid w:val="006535D5"/>
    <w:rsid w:val="006656CA"/>
    <w:rsid w:val="00666536"/>
    <w:rsid w:val="00672D21"/>
    <w:rsid w:val="0068255F"/>
    <w:rsid w:val="00686F4B"/>
    <w:rsid w:val="00691FA1"/>
    <w:rsid w:val="006936A4"/>
    <w:rsid w:val="00696F4E"/>
    <w:rsid w:val="006B52BC"/>
    <w:rsid w:val="006B6A97"/>
    <w:rsid w:val="006C2573"/>
    <w:rsid w:val="006F3F7D"/>
    <w:rsid w:val="007015E0"/>
    <w:rsid w:val="00702FF3"/>
    <w:rsid w:val="00715DAB"/>
    <w:rsid w:val="00716EF1"/>
    <w:rsid w:val="00722E14"/>
    <w:rsid w:val="00724591"/>
    <w:rsid w:val="00725CB1"/>
    <w:rsid w:val="007365FD"/>
    <w:rsid w:val="0076617A"/>
    <w:rsid w:val="007670B6"/>
    <w:rsid w:val="0078122B"/>
    <w:rsid w:val="00785877"/>
    <w:rsid w:val="007A3999"/>
    <w:rsid w:val="007C65A5"/>
    <w:rsid w:val="007E6D51"/>
    <w:rsid w:val="007F04B7"/>
    <w:rsid w:val="008009FB"/>
    <w:rsid w:val="00805ECB"/>
    <w:rsid w:val="0083680B"/>
    <w:rsid w:val="00853066"/>
    <w:rsid w:val="00855774"/>
    <w:rsid w:val="00855D07"/>
    <w:rsid w:val="008565F1"/>
    <w:rsid w:val="00856685"/>
    <w:rsid w:val="00867E95"/>
    <w:rsid w:val="0088045B"/>
    <w:rsid w:val="008844EC"/>
    <w:rsid w:val="00891BBE"/>
    <w:rsid w:val="008B21BE"/>
    <w:rsid w:val="008D4B40"/>
    <w:rsid w:val="008E08A0"/>
    <w:rsid w:val="008E1D45"/>
    <w:rsid w:val="008E65B9"/>
    <w:rsid w:val="008E7E68"/>
    <w:rsid w:val="008F1BD8"/>
    <w:rsid w:val="008F4221"/>
    <w:rsid w:val="008F6796"/>
    <w:rsid w:val="00905781"/>
    <w:rsid w:val="00910B8C"/>
    <w:rsid w:val="00911FA0"/>
    <w:rsid w:val="0091428A"/>
    <w:rsid w:val="0095491F"/>
    <w:rsid w:val="00955B09"/>
    <w:rsid w:val="00962020"/>
    <w:rsid w:val="00962A50"/>
    <w:rsid w:val="00966A01"/>
    <w:rsid w:val="00996048"/>
    <w:rsid w:val="00996F5C"/>
    <w:rsid w:val="009A125F"/>
    <w:rsid w:val="009A15FD"/>
    <w:rsid w:val="009A1C20"/>
    <w:rsid w:val="009B3011"/>
    <w:rsid w:val="009D1B84"/>
    <w:rsid w:val="009D73FC"/>
    <w:rsid w:val="009E0939"/>
    <w:rsid w:val="009E2A20"/>
    <w:rsid w:val="009E5799"/>
    <w:rsid w:val="009F06D6"/>
    <w:rsid w:val="00A109B0"/>
    <w:rsid w:val="00A11D89"/>
    <w:rsid w:val="00A141C7"/>
    <w:rsid w:val="00A239DF"/>
    <w:rsid w:val="00A2416C"/>
    <w:rsid w:val="00A328C2"/>
    <w:rsid w:val="00A34FDC"/>
    <w:rsid w:val="00A378F2"/>
    <w:rsid w:val="00A464D9"/>
    <w:rsid w:val="00A56334"/>
    <w:rsid w:val="00A65609"/>
    <w:rsid w:val="00A731BE"/>
    <w:rsid w:val="00A81FE3"/>
    <w:rsid w:val="00A91AF4"/>
    <w:rsid w:val="00AA5BC8"/>
    <w:rsid w:val="00AB6841"/>
    <w:rsid w:val="00AD222F"/>
    <w:rsid w:val="00AE4816"/>
    <w:rsid w:val="00AE5100"/>
    <w:rsid w:val="00AF104C"/>
    <w:rsid w:val="00AF1278"/>
    <w:rsid w:val="00AF62F6"/>
    <w:rsid w:val="00B11E92"/>
    <w:rsid w:val="00B13922"/>
    <w:rsid w:val="00B14D46"/>
    <w:rsid w:val="00B15A30"/>
    <w:rsid w:val="00B30FA5"/>
    <w:rsid w:val="00B43B7F"/>
    <w:rsid w:val="00B66AF8"/>
    <w:rsid w:val="00B76F12"/>
    <w:rsid w:val="00B9160C"/>
    <w:rsid w:val="00BA061D"/>
    <w:rsid w:val="00BA3B90"/>
    <w:rsid w:val="00BB22B1"/>
    <w:rsid w:val="00BB28EA"/>
    <w:rsid w:val="00BC19DD"/>
    <w:rsid w:val="00BD1B35"/>
    <w:rsid w:val="00BE7EAC"/>
    <w:rsid w:val="00BF6C3E"/>
    <w:rsid w:val="00C043D4"/>
    <w:rsid w:val="00C20F07"/>
    <w:rsid w:val="00C35A35"/>
    <w:rsid w:val="00C4184F"/>
    <w:rsid w:val="00C57DD5"/>
    <w:rsid w:val="00C738CC"/>
    <w:rsid w:val="00C73D8B"/>
    <w:rsid w:val="00C86139"/>
    <w:rsid w:val="00C9377C"/>
    <w:rsid w:val="00C95BE0"/>
    <w:rsid w:val="00CB7676"/>
    <w:rsid w:val="00CB785C"/>
    <w:rsid w:val="00CC24EE"/>
    <w:rsid w:val="00CC73F9"/>
    <w:rsid w:val="00CD4917"/>
    <w:rsid w:val="00CE55D0"/>
    <w:rsid w:val="00D27964"/>
    <w:rsid w:val="00D36DD7"/>
    <w:rsid w:val="00D40F01"/>
    <w:rsid w:val="00D42B7A"/>
    <w:rsid w:val="00D94234"/>
    <w:rsid w:val="00DA48C0"/>
    <w:rsid w:val="00DC0174"/>
    <w:rsid w:val="00DC5F7B"/>
    <w:rsid w:val="00DD1FC8"/>
    <w:rsid w:val="00DD635A"/>
    <w:rsid w:val="00DE7619"/>
    <w:rsid w:val="00DF3166"/>
    <w:rsid w:val="00DF4413"/>
    <w:rsid w:val="00DF4D0E"/>
    <w:rsid w:val="00E13AE7"/>
    <w:rsid w:val="00E17072"/>
    <w:rsid w:val="00E200C7"/>
    <w:rsid w:val="00E205F8"/>
    <w:rsid w:val="00E607F5"/>
    <w:rsid w:val="00E72B85"/>
    <w:rsid w:val="00E92344"/>
    <w:rsid w:val="00EB24E2"/>
    <w:rsid w:val="00EB3AB5"/>
    <w:rsid w:val="00ED0488"/>
    <w:rsid w:val="00ED38DC"/>
    <w:rsid w:val="00ED5BAC"/>
    <w:rsid w:val="00EE024C"/>
    <w:rsid w:val="00EF7760"/>
    <w:rsid w:val="00F00542"/>
    <w:rsid w:val="00F1206C"/>
    <w:rsid w:val="00F24E4F"/>
    <w:rsid w:val="00F33D0D"/>
    <w:rsid w:val="00F41ADE"/>
    <w:rsid w:val="00F42753"/>
    <w:rsid w:val="00F44FED"/>
    <w:rsid w:val="00F47BF3"/>
    <w:rsid w:val="00F52758"/>
    <w:rsid w:val="00F539E1"/>
    <w:rsid w:val="00F5446C"/>
    <w:rsid w:val="00F61B7F"/>
    <w:rsid w:val="00F62B6F"/>
    <w:rsid w:val="00F65303"/>
    <w:rsid w:val="00F72AC5"/>
    <w:rsid w:val="00F7498E"/>
    <w:rsid w:val="00F928B5"/>
    <w:rsid w:val="00FB3998"/>
    <w:rsid w:val="00FC27E1"/>
    <w:rsid w:val="00FC50D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B1135"/>
  <w15:docId w15:val="{C4C7BD3A-9AD0-403E-8C18-405BC3E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40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3D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A5"/>
    <w:rPr>
      <w:rFonts w:ascii="Verdana" w:hAnsi="Verdana" w:cs="Times New Roman"/>
      <w:color w:val="2B7696"/>
      <w:u w:val="none"/>
      <w:effect w:val="none"/>
    </w:rPr>
  </w:style>
  <w:style w:type="paragraph" w:styleId="NormalWeb">
    <w:name w:val="Normal (Web)"/>
    <w:basedOn w:val="Normal"/>
    <w:uiPriority w:val="99"/>
    <w:rsid w:val="007C65A5"/>
    <w:pPr>
      <w:spacing w:after="120" w:line="240" w:lineRule="atLeast"/>
    </w:pPr>
    <w:rPr>
      <w:rFonts w:ascii="Verdana" w:eastAsia="Times New Roman" w:hAnsi="Verdana"/>
      <w:color w:val="000000"/>
      <w:sz w:val="18"/>
      <w:szCs w:val="18"/>
      <w:lang w:eastAsia="en-GB"/>
    </w:rPr>
  </w:style>
  <w:style w:type="paragraph" w:customStyle="1" w:styleId="Listeafsnit1">
    <w:name w:val="Listeafsnit1"/>
    <w:basedOn w:val="Normal"/>
    <w:uiPriority w:val="99"/>
    <w:qFormat/>
    <w:rsid w:val="00F62B6F"/>
    <w:pPr>
      <w:ind w:left="720"/>
      <w:contextualSpacing/>
    </w:pPr>
  </w:style>
  <w:style w:type="character" w:customStyle="1" w:styleId="beskrivelse1">
    <w:name w:val="beskrivelse1"/>
    <w:uiPriority w:val="99"/>
    <w:rsid w:val="00D2796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6F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996F5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Pr>
      <w:lang w:val="en-GB" w:eastAsia="en-US"/>
    </w:rPr>
  </w:style>
  <w:style w:type="paragraph" w:customStyle="1" w:styleId="Test">
    <w:name w:val="Test"/>
    <w:basedOn w:val="Normal"/>
    <w:uiPriority w:val="99"/>
    <w:rsid w:val="00996F5C"/>
    <w:pPr>
      <w:spacing w:after="0" w:line="240" w:lineRule="auto"/>
    </w:pPr>
    <w:rPr>
      <w:rFonts w:ascii="Arial" w:hAnsi="Arial"/>
      <w:szCs w:val="20"/>
      <w:lang w:val="da-DK"/>
    </w:rPr>
  </w:style>
  <w:style w:type="character" w:styleId="CommentReference">
    <w:name w:val="annotation reference"/>
    <w:uiPriority w:val="99"/>
    <w:semiHidden/>
    <w:unhideWhenUsed/>
    <w:rsid w:val="002F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B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F7B35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7B35"/>
    <w:rPr>
      <w:b/>
      <w:bCs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14D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4D46"/>
    <w:rPr>
      <w:sz w:val="22"/>
      <w:szCs w:val="22"/>
      <w:lang w:val="en-GB" w:eastAsia="en-US"/>
    </w:rPr>
  </w:style>
  <w:style w:type="paragraph" w:customStyle="1" w:styleId="Grilleclaire-Accent31">
    <w:name w:val="Grille claire - Accent 31"/>
    <w:basedOn w:val="Normal"/>
    <w:uiPriority w:val="34"/>
    <w:qFormat/>
    <w:rsid w:val="00426D7E"/>
    <w:pPr>
      <w:spacing w:after="0" w:line="240" w:lineRule="auto"/>
      <w:ind w:left="708"/>
    </w:pPr>
    <w:rPr>
      <w:rFonts w:ascii="New York" w:eastAsia="Times New Roman" w:hAnsi="New York"/>
      <w:sz w:val="24"/>
      <w:szCs w:val="24"/>
    </w:rPr>
  </w:style>
  <w:style w:type="character" w:styleId="Strong">
    <w:name w:val="Strong"/>
    <w:uiPriority w:val="22"/>
    <w:qFormat/>
    <w:locked/>
    <w:rsid w:val="00DE7619"/>
    <w:rPr>
      <w:b/>
      <w:bCs/>
    </w:rPr>
  </w:style>
  <w:style w:type="paragraph" w:styleId="ListParagraph">
    <w:name w:val="List Paragraph"/>
    <w:aliases w:val="Bullet Points,Listenabsatz1,Numbered paragraph,List Paragraph1,List Paragraph2,Medium Grid 1 - Accent 21,Citation List,List Bullet-OpsManual,References,Title Style 1,List Paragraph (numbered (a)),List_Paragraph,Yellow Bullet,Bullets"/>
    <w:basedOn w:val="Normal"/>
    <w:link w:val="ListParagraphChar"/>
    <w:uiPriority w:val="1"/>
    <w:qFormat/>
    <w:rsid w:val="00DE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Light">
    <w:name w:val="Grid Table Light"/>
    <w:basedOn w:val="TableNormal"/>
    <w:uiPriority w:val="40"/>
    <w:rsid w:val="00DE7619"/>
    <w:rPr>
      <w:rFonts w:cs="Arial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6C2573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link w:val="FootnoteText"/>
    <w:uiPriority w:val="99"/>
    <w:rsid w:val="006C2573"/>
    <w:rPr>
      <w:lang w:eastAsia="en-US"/>
    </w:rPr>
  </w:style>
  <w:style w:type="character" w:styleId="FootnoteReference">
    <w:name w:val="footnote reference"/>
    <w:link w:val="BVIfnrChar1"/>
    <w:uiPriority w:val="99"/>
    <w:unhideWhenUsed/>
    <w:qFormat/>
    <w:rsid w:val="006C2573"/>
    <w:rPr>
      <w:vertAlign w:val="superscript"/>
    </w:rPr>
  </w:style>
  <w:style w:type="paragraph" w:customStyle="1" w:styleId="BVIfnrChar1">
    <w:name w:val="BVI fnr Char1"/>
    <w:basedOn w:val="Normal"/>
    <w:link w:val="FootnoteReference"/>
    <w:uiPriority w:val="99"/>
    <w:rsid w:val="006C2573"/>
    <w:pPr>
      <w:spacing w:after="0" w:line="240" w:lineRule="exact"/>
      <w:jc w:val="both"/>
    </w:pPr>
    <w:rPr>
      <w:sz w:val="20"/>
      <w:szCs w:val="20"/>
      <w:vertAlign w:val="superscript"/>
      <w:lang w:val="fr-FR" w:eastAsia="fr-FR"/>
    </w:rPr>
  </w:style>
  <w:style w:type="paragraph" w:customStyle="1" w:styleId="Default">
    <w:name w:val="Default"/>
    <w:rsid w:val="008F42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ullet Points Char,Listenabsatz1 Char,Numbered paragraph Char,List Paragraph1 Char,List Paragraph2 Char,Medium Grid 1 - Accent 21 Char,Citation List Char,List Bullet-OpsManual Char,References Char,Title Style 1 Char,Bullets Char"/>
    <w:link w:val="ListParagraph"/>
    <w:uiPriority w:val="34"/>
    <w:qFormat/>
    <w:rsid w:val="008F4221"/>
    <w:rPr>
      <w:rFonts w:ascii="Times New Roman" w:eastAsia="Times New Roman" w:hAnsi="Times New Roman"/>
      <w:sz w:val="24"/>
      <w:szCs w:val="24"/>
    </w:rPr>
  </w:style>
  <w:style w:type="character" w:customStyle="1" w:styleId="Mentionnonrsolue1">
    <w:name w:val="Mention non résolue1"/>
    <w:uiPriority w:val="99"/>
    <w:semiHidden/>
    <w:unhideWhenUsed/>
    <w:rsid w:val="00B66A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4D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75ABF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8D96-4B62-44CC-8C1E-AE85B67F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Brouillon de l’offre d’emploi</vt:lpstr>
      <vt:lpstr>Brouillon de l’offre d’emploi</vt:lpstr>
    </vt:vector>
  </TitlesOfParts>
  <Company>Hewlett-Packard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Brouillon de l’offre d’emploi</dc:title>
  <dc:subject/>
  <dc:creator>Craig McDiarmid;Sarah Holt</dc:creator>
  <cp:keywords/>
  <dc:description/>
  <cp:lastModifiedBy>Kervin KUMAPLEY</cp:lastModifiedBy>
  <cp:revision>2</cp:revision>
  <cp:lastPrinted>2013-04-09T10:14:00Z</cp:lastPrinted>
  <dcterms:created xsi:type="dcterms:W3CDTF">2026-06-09T11:28:00Z</dcterms:created>
  <dcterms:modified xsi:type="dcterms:W3CDTF">2026-06-09T11:28:00Z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1fcdac46-8103-40c5-bd8a-c148337586c4</vt:lpwstr>
  </property>
</Properties>
</file>