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DF1C3" w14:textId="77777777" w:rsidR="00581FFF" w:rsidRDefault="00581FFF">
      <w:pPr>
        <w:spacing w:after="0"/>
        <w:contextualSpacing/>
        <w:jc w:val="center"/>
        <w:rPr>
          <w:rFonts w:ascii="Arial" w:hAnsi="Arial"/>
          <w:b/>
          <w:bCs/>
          <w:sz w:val="36"/>
          <w:szCs w:val="36"/>
          <w:lang w:val="en-GB"/>
        </w:rPr>
      </w:pPr>
    </w:p>
    <w:p w14:paraId="516176F8" w14:textId="77777777" w:rsidR="00B66B91" w:rsidRDefault="00FF4132">
      <w:pPr>
        <w:spacing w:after="0"/>
        <w:contextualSpacing/>
        <w:jc w:val="center"/>
        <w:rPr>
          <w:rFonts w:ascii="Arial" w:hAnsi="Arial"/>
          <w:b/>
          <w:bCs/>
          <w:sz w:val="36"/>
          <w:szCs w:val="36"/>
          <w:lang w:val="en-GB"/>
        </w:rPr>
      </w:pPr>
      <w:r>
        <w:rPr>
          <w:rFonts w:ascii="Arial" w:hAnsi="Arial"/>
          <w:b/>
          <w:bCs/>
          <w:sz w:val="36"/>
          <w:szCs w:val="36"/>
          <w:lang w:val="en-GB"/>
        </w:rPr>
        <w:t>EXPERTISE FRANCE IN LIBYA</w:t>
      </w:r>
    </w:p>
    <w:p w14:paraId="231DFC16" w14:textId="77777777" w:rsidR="00B66B91" w:rsidRDefault="00B66B91">
      <w:pPr>
        <w:spacing w:after="0"/>
        <w:contextualSpacing/>
        <w:jc w:val="center"/>
        <w:rPr>
          <w:rFonts w:ascii="Arial" w:hAnsi="Arial"/>
          <w:b/>
          <w:bCs/>
          <w:sz w:val="36"/>
          <w:szCs w:val="36"/>
          <w:lang w:val="en-GB"/>
        </w:rPr>
      </w:pPr>
    </w:p>
    <w:p w14:paraId="505C925C" w14:textId="77777777" w:rsidR="00B66B91" w:rsidRDefault="00FF4132">
      <w:pPr>
        <w:spacing w:after="0"/>
        <w:contextualSpacing/>
        <w:jc w:val="center"/>
        <w:rPr>
          <w:rFonts w:ascii="Arial" w:hAnsi="Arial"/>
          <w:b/>
          <w:bCs/>
          <w:sz w:val="36"/>
          <w:szCs w:val="36"/>
          <w:lang w:val="en-GB"/>
        </w:rPr>
      </w:pPr>
      <w:r>
        <w:rPr>
          <w:rFonts w:ascii="Arial" w:hAnsi="Arial"/>
          <w:b/>
          <w:bCs/>
          <w:sz w:val="36"/>
          <w:szCs w:val="36"/>
          <w:lang w:val="en-GB"/>
        </w:rPr>
        <w:t>National blood transfusion system strengthening</w:t>
      </w:r>
    </w:p>
    <w:p w14:paraId="0A67C05F" w14:textId="77777777" w:rsidR="00B66B91" w:rsidRDefault="00FF4132">
      <w:pPr>
        <w:spacing w:after="0"/>
        <w:contextualSpacing/>
        <w:jc w:val="center"/>
        <w:rPr>
          <w:rFonts w:ascii="Arial" w:hAnsi="Arial"/>
          <w:b/>
          <w:bCs/>
          <w:sz w:val="36"/>
          <w:szCs w:val="36"/>
          <w:lang w:val="en-GB"/>
        </w:rPr>
      </w:pPr>
      <w:r>
        <w:rPr>
          <w:rFonts w:ascii="Arial" w:hAnsi="Arial"/>
          <w:b/>
          <w:bCs/>
          <w:sz w:val="36"/>
          <w:szCs w:val="36"/>
          <w:lang w:val="en-GB"/>
        </w:rPr>
        <w:t>MENDAMI 2</w:t>
      </w:r>
    </w:p>
    <w:p w14:paraId="494BB409" w14:textId="77777777" w:rsidR="00B66B91" w:rsidRDefault="00B66B91">
      <w:pPr>
        <w:spacing w:after="0"/>
        <w:contextualSpacing/>
        <w:jc w:val="center"/>
        <w:rPr>
          <w:rFonts w:ascii="Arial" w:hAnsi="Arial"/>
          <w:b/>
          <w:bCs/>
          <w:sz w:val="36"/>
          <w:szCs w:val="36"/>
          <w:lang w:val="en-GB"/>
        </w:rPr>
      </w:pPr>
    </w:p>
    <w:p w14:paraId="78468798" w14:textId="77777777" w:rsidR="00B66B91" w:rsidRDefault="00FF4132">
      <w:pPr>
        <w:spacing w:after="0" w:line="240" w:lineRule="auto"/>
        <w:jc w:val="center"/>
        <w:rPr>
          <w:rFonts w:ascii="Arial" w:hAnsi="Arial"/>
          <w:b/>
          <w:bCs/>
          <w:sz w:val="36"/>
          <w:szCs w:val="36"/>
          <w:lang w:val="en-US" w:eastAsia="fr-FR"/>
        </w:rPr>
      </w:pPr>
      <w:r>
        <w:rPr>
          <w:rFonts w:ascii="Arial" w:hAnsi="Arial"/>
          <w:b/>
          <w:bCs/>
          <w:sz w:val="36"/>
          <w:szCs w:val="36"/>
          <w:lang w:val="en-US" w:eastAsia="fr-FR"/>
        </w:rPr>
        <w:t>Terms of Reference</w:t>
      </w:r>
    </w:p>
    <w:p w14:paraId="44CCD99D" w14:textId="77777777" w:rsidR="00B66B91" w:rsidRDefault="00B66B91">
      <w:pPr>
        <w:spacing w:after="0" w:line="240" w:lineRule="auto"/>
        <w:jc w:val="center"/>
        <w:rPr>
          <w:rFonts w:ascii="Arial" w:hAnsi="Arial"/>
          <w:b/>
          <w:bCs/>
          <w:sz w:val="36"/>
          <w:szCs w:val="36"/>
          <w:lang w:val="en-US" w:eastAsia="fr-FR"/>
        </w:rPr>
      </w:pPr>
    </w:p>
    <w:p w14:paraId="5C7A3511" w14:textId="6554A41D" w:rsidR="00B66B91" w:rsidRDefault="00D61D50" w:rsidP="00A3792B">
      <w:pPr>
        <w:spacing w:after="0" w:line="240" w:lineRule="auto"/>
        <w:jc w:val="center"/>
        <w:rPr>
          <w:rFonts w:cs="Calibri"/>
          <w:b/>
          <w:bCs/>
          <w:lang w:val="en-US" w:eastAsia="fr-FR"/>
        </w:rPr>
      </w:pPr>
      <w:r>
        <w:rPr>
          <w:rFonts w:ascii="Arial" w:hAnsi="Arial"/>
          <w:b/>
          <w:bCs/>
          <w:sz w:val="36"/>
          <w:szCs w:val="36"/>
          <w:lang w:val="en-US" w:eastAsia="fr-FR"/>
        </w:rPr>
        <w:t xml:space="preserve">E-LEARNING PLATFORM </w:t>
      </w:r>
      <w:r w:rsidR="00A3792B">
        <w:rPr>
          <w:rFonts w:ascii="Arial" w:hAnsi="Arial"/>
          <w:b/>
          <w:bCs/>
          <w:sz w:val="36"/>
          <w:szCs w:val="36"/>
          <w:lang w:val="en-US" w:eastAsia="fr-FR"/>
        </w:rPr>
        <w:t>ENGLISH INTEGRATION</w:t>
      </w:r>
    </w:p>
    <w:p w14:paraId="6DC1A39E" w14:textId="77777777" w:rsidR="004204A9" w:rsidRDefault="004204A9">
      <w:pPr>
        <w:spacing w:after="0" w:line="240" w:lineRule="auto"/>
        <w:jc w:val="both"/>
        <w:rPr>
          <w:rFonts w:cs="Calibri"/>
          <w:b/>
          <w:bCs/>
          <w:lang w:val="en-US" w:eastAsia="fr-FR"/>
        </w:rPr>
      </w:pPr>
    </w:p>
    <w:p w14:paraId="5752B77D" w14:textId="2E2B5A97" w:rsidR="00B66B91" w:rsidRDefault="00FF4132" w:rsidP="00F873E2">
      <w:pPr>
        <w:pBdr>
          <w:top w:val="single" w:sz="4" w:space="1" w:color="auto"/>
          <w:left w:val="single" w:sz="4" w:space="4" w:color="auto"/>
          <w:bottom w:val="single" w:sz="4" w:space="1" w:color="auto"/>
          <w:right w:val="single" w:sz="4" w:space="4" w:color="auto"/>
        </w:pBdr>
        <w:spacing w:line="240" w:lineRule="auto"/>
        <w:jc w:val="both"/>
        <w:rPr>
          <w:rFonts w:cs="Calibri"/>
          <w:lang w:val="en-GB"/>
        </w:rPr>
      </w:pPr>
      <w:r>
        <w:rPr>
          <w:rFonts w:cs="Calibri"/>
          <w:lang w:val="en-GB"/>
        </w:rPr>
        <w:t>Expertise France is a public agency and the interministerial actor in international technical cooperation, subsidiary of the Agence Française de Développement Group (AFD Group). As the second largest agency in Europe, it designs and implements projects that sustainably strengthen public policies in developing and emerging countries, in the sectors of governance, security, climate, health, education. It operates in key areas of development and contributes alongside its partners to the implementation of the Sustainable Development Goals (SDGs).</w:t>
      </w:r>
    </w:p>
    <w:p w14:paraId="1B561DAA" w14:textId="77777777" w:rsidR="00B66B91" w:rsidRDefault="00B66B91">
      <w:pPr>
        <w:spacing w:after="0" w:line="240" w:lineRule="auto"/>
        <w:jc w:val="both"/>
        <w:rPr>
          <w:rFonts w:cs="Calibri"/>
          <w:b/>
          <w:bCs/>
          <w:lang w:val="en-US" w:eastAsia="fr-FR"/>
        </w:rPr>
      </w:pPr>
    </w:p>
    <w:p w14:paraId="30950769" w14:textId="77777777" w:rsidR="001079BC" w:rsidRPr="009A6401" w:rsidRDefault="001079BC" w:rsidP="001079BC">
      <w:pPr>
        <w:pStyle w:val="EXP-Titre1"/>
      </w:pPr>
      <w:r w:rsidRPr="009A6401">
        <w:t>General Information</w:t>
      </w:r>
    </w:p>
    <w:tbl>
      <w:tblPr>
        <w:tblStyle w:val="Grilledutableau"/>
        <w:tblW w:w="8931" w:type="dxa"/>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98"/>
        <w:gridCol w:w="4433"/>
      </w:tblGrid>
      <w:tr w:rsidR="001079BC" w:rsidRPr="00AC1BA1" w14:paraId="01078489" w14:textId="77777777" w:rsidTr="00120EEB">
        <w:tc>
          <w:tcPr>
            <w:tcW w:w="4498" w:type="dxa"/>
          </w:tcPr>
          <w:p w14:paraId="604A269A" w14:textId="77777777" w:rsidR="001079BC" w:rsidRPr="009A6401" w:rsidRDefault="001079BC" w:rsidP="00120EEB">
            <w:pPr>
              <w:rPr>
                <w:i/>
                <w:lang w:val="en-US"/>
              </w:rPr>
            </w:pPr>
            <w:r w:rsidRPr="00E5430F">
              <w:t>Mission title</w:t>
            </w:r>
          </w:p>
        </w:tc>
        <w:tc>
          <w:tcPr>
            <w:tcW w:w="4433" w:type="dxa"/>
            <w:vAlign w:val="center"/>
          </w:tcPr>
          <w:p w14:paraId="17B7CB86" w14:textId="39123928" w:rsidR="001079BC" w:rsidRPr="009A6401" w:rsidRDefault="001079BC" w:rsidP="00A3792B">
            <w:pPr>
              <w:rPr>
                <w:i/>
                <w:lang w:val="en-US"/>
              </w:rPr>
            </w:pPr>
            <w:r>
              <w:rPr>
                <w:i/>
                <w:lang w:val="en-US"/>
              </w:rPr>
              <w:t xml:space="preserve">E-learning platform </w:t>
            </w:r>
            <w:r w:rsidR="00A3792B">
              <w:rPr>
                <w:i/>
                <w:lang w:val="en-US"/>
              </w:rPr>
              <w:t>English integration</w:t>
            </w:r>
            <w:r>
              <w:rPr>
                <w:i/>
                <w:lang w:val="en-US"/>
              </w:rPr>
              <w:t xml:space="preserve"> for </w:t>
            </w:r>
            <w:r w:rsidRPr="009A6401">
              <w:rPr>
                <w:i/>
                <w:lang w:val="en-US"/>
              </w:rPr>
              <w:t>MENDAMI 2</w:t>
            </w:r>
            <w:r>
              <w:rPr>
                <w:i/>
                <w:lang w:val="en-US"/>
              </w:rPr>
              <w:t xml:space="preserve"> project</w:t>
            </w:r>
          </w:p>
        </w:tc>
      </w:tr>
      <w:tr w:rsidR="001079BC" w:rsidRPr="00AC1BA1" w14:paraId="17043D77" w14:textId="77777777" w:rsidTr="00120EEB">
        <w:tc>
          <w:tcPr>
            <w:tcW w:w="4498" w:type="dxa"/>
          </w:tcPr>
          <w:p w14:paraId="18743FBB" w14:textId="77777777" w:rsidR="001079BC" w:rsidRPr="009A6401" w:rsidRDefault="001079BC" w:rsidP="00120EEB">
            <w:pPr>
              <w:rPr>
                <w:i/>
                <w:lang w:val="en-US"/>
              </w:rPr>
            </w:pPr>
            <w:r w:rsidRPr="00E5430F">
              <w:t>Beneficiary(ies)</w:t>
            </w:r>
          </w:p>
        </w:tc>
        <w:tc>
          <w:tcPr>
            <w:tcW w:w="4433" w:type="dxa"/>
            <w:shd w:val="clear" w:color="auto" w:fill="auto"/>
            <w:vAlign w:val="center"/>
          </w:tcPr>
          <w:p w14:paraId="3EBDB91C" w14:textId="77777777" w:rsidR="001079BC" w:rsidRDefault="001079BC" w:rsidP="00120EEB">
            <w:pPr>
              <w:rPr>
                <w:i/>
                <w:lang w:val="en-US"/>
              </w:rPr>
            </w:pPr>
            <w:r w:rsidRPr="009A6401">
              <w:rPr>
                <w:i/>
                <w:lang w:val="en-US"/>
              </w:rPr>
              <w:t>the National Blood Transfu</w:t>
            </w:r>
            <w:r>
              <w:rPr>
                <w:i/>
                <w:lang w:val="en-US"/>
              </w:rPr>
              <w:t>sion Services Authority (NBTSA);</w:t>
            </w:r>
          </w:p>
          <w:p w14:paraId="0F7333CA" w14:textId="77777777" w:rsidR="001079BC" w:rsidRDefault="001079BC" w:rsidP="00120EEB">
            <w:pPr>
              <w:rPr>
                <w:i/>
                <w:lang w:val="en-US"/>
              </w:rPr>
            </w:pPr>
            <w:r>
              <w:rPr>
                <w:i/>
                <w:lang w:val="en-US"/>
              </w:rPr>
              <w:t>Libya’s blood banks</w:t>
            </w:r>
          </w:p>
          <w:p w14:paraId="519688A0" w14:textId="77777777" w:rsidR="001079BC" w:rsidRPr="009A6401" w:rsidRDefault="001079BC" w:rsidP="00120EEB">
            <w:pPr>
              <w:rPr>
                <w:i/>
                <w:lang w:val="en-US"/>
              </w:rPr>
            </w:pPr>
            <w:r>
              <w:rPr>
                <w:i/>
                <w:lang w:val="en-US"/>
              </w:rPr>
              <w:t>General population</w:t>
            </w:r>
          </w:p>
        </w:tc>
      </w:tr>
      <w:tr w:rsidR="001079BC" w:rsidRPr="009A6401" w14:paraId="5AA6A37A" w14:textId="77777777" w:rsidTr="00120EEB">
        <w:tc>
          <w:tcPr>
            <w:tcW w:w="4498" w:type="dxa"/>
          </w:tcPr>
          <w:p w14:paraId="18B6C1D2" w14:textId="77777777" w:rsidR="001079BC" w:rsidRPr="009A6401" w:rsidRDefault="001079BC" w:rsidP="00120EEB">
            <w:pPr>
              <w:rPr>
                <w:i/>
                <w:lang w:val="en-US"/>
              </w:rPr>
            </w:pPr>
            <w:r w:rsidRPr="00E5430F">
              <w:t>Country</w:t>
            </w:r>
          </w:p>
        </w:tc>
        <w:tc>
          <w:tcPr>
            <w:tcW w:w="4433" w:type="dxa"/>
            <w:vAlign w:val="center"/>
          </w:tcPr>
          <w:p w14:paraId="3636429F" w14:textId="77777777" w:rsidR="001079BC" w:rsidRPr="009A6401" w:rsidRDefault="001079BC" w:rsidP="00120EEB">
            <w:pPr>
              <w:rPr>
                <w:i/>
                <w:highlight w:val="yellow"/>
                <w:lang w:val="en-US"/>
              </w:rPr>
            </w:pPr>
            <w:r>
              <w:rPr>
                <w:lang w:val="en-US"/>
              </w:rPr>
              <w:t>Libya</w:t>
            </w:r>
          </w:p>
        </w:tc>
      </w:tr>
      <w:tr w:rsidR="001079BC" w:rsidRPr="009A6401" w14:paraId="47D33DDD" w14:textId="77777777" w:rsidTr="00120EEB">
        <w:tc>
          <w:tcPr>
            <w:tcW w:w="4498" w:type="dxa"/>
          </w:tcPr>
          <w:p w14:paraId="7383D420" w14:textId="77777777" w:rsidR="001079BC" w:rsidRPr="009A6401" w:rsidRDefault="001079BC" w:rsidP="00120EEB">
            <w:pPr>
              <w:rPr>
                <w:i/>
                <w:lang w:val="en-US"/>
              </w:rPr>
            </w:pPr>
            <w:r w:rsidRPr="009A6401">
              <w:rPr>
                <w:lang w:val="en-US"/>
              </w:rPr>
              <w:t>Minimum number of days required</w:t>
            </w:r>
          </w:p>
        </w:tc>
        <w:tc>
          <w:tcPr>
            <w:tcW w:w="4433" w:type="dxa"/>
            <w:vAlign w:val="center"/>
          </w:tcPr>
          <w:p w14:paraId="236DD6B9" w14:textId="5297F499" w:rsidR="001079BC" w:rsidRPr="009A6401" w:rsidRDefault="004D5CB9" w:rsidP="00120EEB">
            <w:pPr>
              <w:rPr>
                <w:i/>
                <w:lang w:val="en-US"/>
              </w:rPr>
            </w:pPr>
            <w:r>
              <w:rPr>
                <w:lang w:val="en-US"/>
              </w:rPr>
              <w:t>60</w:t>
            </w:r>
            <w:r w:rsidR="001079BC" w:rsidRPr="00A94525">
              <w:rPr>
                <w:lang w:val="en-US"/>
              </w:rPr>
              <w:t xml:space="preserve"> workdays</w:t>
            </w:r>
          </w:p>
        </w:tc>
      </w:tr>
      <w:tr w:rsidR="001079BC" w:rsidRPr="00AC1BA1" w14:paraId="6532FCED" w14:textId="77777777" w:rsidTr="00120EEB">
        <w:tc>
          <w:tcPr>
            <w:tcW w:w="4498" w:type="dxa"/>
          </w:tcPr>
          <w:p w14:paraId="0DF92C24" w14:textId="77777777" w:rsidR="001079BC" w:rsidRPr="009A6401" w:rsidRDefault="001079BC" w:rsidP="00120EEB">
            <w:pPr>
              <w:rPr>
                <w:i/>
                <w:highlight w:val="yellow"/>
                <w:lang w:val="en-US"/>
              </w:rPr>
            </w:pPr>
            <w:r w:rsidRPr="00EA5D58">
              <w:t>Application deadline</w:t>
            </w:r>
          </w:p>
        </w:tc>
        <w:tc>
          <w:tcPr>
            <w:tcW w:w="4433" w:type="dxa"/>
            <w:vAlign w:val="center"/>
          </w:tcPr>
          <w:p w14:paraId="2B1F274A" w14:textId="48B4E7C7" w:rsidR="001079BC" w:rsidRPr="00A94525" w:rsidRDefault="001079BC" w:rsidP="00AC1BA1">
            <w:pPr>
              <w:rPr>
                <w:i/>
                <w:lang w:val="en-US"/>
              </w:rPr>
            </w:pPr>
            <w:r w:rsidRPr="00A94525">
              <w:rPr>
                <w:lang w:val="en-US"/>
              </w:rPr>
              <w:t xml:space="preserve">All application documents must be submitted no later than 17:00 Tunis time on </w:t>
            </w:r>
            <w:r w:rsidR="00AC1BA1">
              <w:rPr>
                <w:lang w:val="en-US"/>
              </w:rPr>
              <w:t xml:space="preserve">October </w:t>
            </w:r>
            <w:r w:rsidR="00AC1BA1">
              <w:rPr>
                <w:shd w:val="clear" w:color="auto" w:fill="FFFF00"/>
                <w:lang w:val="en-US"/>
              </w:rPr>
              <w:t>21</w:t>
            </w:r>
            <w:r w:rsidRPr="006040E2">
              <w:rPr>
                <w:shd w:val="clear" w:color="auto" w:fill="FFFF00"/>
                <w:vertAlign w:val="superscript"/>
                <w:lang w:val="en-US"/>
              </w:rPr>
              <w:t>th</w:t>
            </w:r>
            <w:r w:rsidRPr="00A94525">
              <w:rPr>
                <w:lang w:val="en-US"/>
              </w:rPr>
              <w:t xml:space="preserve"> 2024, by the close of business.</w:t>
            </w:r>
          </w:p>
        </w:tc>
      </w:tr>
    </w:tbl>
    <w:p w14:paraId="304B4EFB" w14:textId="77777777" w:rsidR="001079BC" w:rsidRDefault="001079BC">
      <w:pPr>
        <w:spacing w:after="0" w:line="240" w:lineRule="auto"/>
        <w:jc w:val="both"/>
        <w:rPr>
          <w:rFonts w:cs="Calibri"/>
          <w:b/>
          <w:bCs/>
          <w:lang w:val="en-GB" w:eastAsia="fr-FR"/>
        </w:rPr>
      </w:pPr>
    </w:p>
    <w:p w14:paraId="35C95426" w14:textId="77777777" w:rsidR="00A94525" w:rsidRDefault="00A94525">
      <w:pPr>
        <w:spacing w:after="0" w:line="240" w:lineRule="auto"/>
        <w:jc w:val="both"/>
        <w:rPr>
          <w:rFonts w:cs="Calibri"/>
          <w:b/>
          <w:bCs/>
          <w:lang w:val="en-GB" w:eastAsia="fr-FR"/>
        </w:rPr>
      </w:pPr>
    </w:p>
    <w:p w14:paraId="44DC26C3" w14:textId="77777777" w:rsidR="001079BC" w:rsidRDefault="001079BC">
      <w:pPr>
        <w:spacing w:after="0" w:line="240" w:lineRule="auto"/>
        <w:jc w:val="both"/>
        <w:rPr>
          <w:rFonts w:cs="Calibri"/>
          <w:b/>
          <w:bCs/>
          <w:lang w:val="en-GB" w:eastAsia="fr-FR"/>
        </w:rPr>
      </w:pPr>
    </w:p>
    <w:p w14:paraId="56A15AD1" w14:textId="77777777" w:rsidR="001079BC" w:rsidRPr="001079BC" w:rsidRDefault="001079BC">
      <w:pPr>
        <w:spacing w:after="0" w:line="240" w:lineRule="auto"/>
        <w:jc w:val="both"/>
        <w:rPr>
          <w:rFonts w:cs="Calibri"/>
          <w:b/>
          <w:bCs/>
          <w:lang w:val="en-GB" w:eastAsia="fr-FR"/>
        </w:rPr>
      </w:pPr>
    </w:p>
    <w:p w14:paraId="51BCC1C6" w14:textId="77777777" w:rsidR="00B66B91" w:rsidRDefault="00FF4132" w:rsidP="00D646FF">
      <w:pPr>
        <w:pStyle w:val="EXP-Titre1"/>
      </w:pPr>
      <w:bookmarkStart w:id="0" w:name="_Toc462930292"/>
      <w:bookmarkStart w:id="1" w:name="_Toc75345349"/>
      <w:bookmarkStart w:id="2" w:name="_Toc462930120"/>
      <w:r>
        <w:lastRenderedPageBreak/>
        <w:t>Context of the project</w:t>
      </w:r>
      <w:bookmarkEnd w:id="0"/>
      <w:bookmarkEnd w:id="1"/>
      <w:bookmarkEnd w:id="2"/>
      <w:r>
        <w:t xml:space="preserve">  </w:t>
      </w:r>
    </w:p>
    <w:p w14:paraId="5162998D" w14:textId="77777777" w:rsidR="00B66B91" w:rsidRDefault="00FF4132" w:rsidP="00D646FF">
      <w:pPr>
        <w:pStyle w:val="EXP-Titre2"/>
        <w:spacing w:before="240"/>
        <w:jc w:val="both"/>
        <w:rPr>
          <w:rFonts w:ascii="Calibri" w:hAnsi="Calibri" w:cs="Calibri"/>
          <w:lang w:val="en-US"/>
        </w:rPr>
      </w:pPr>
      <w:r>
        <w:rPr>
          <w:rFonts w:ascii="Calibri" w:hAnsi="Calibri" w:cs="Calibri"/>
          <w:lang w:val="en-US"/>
        </w:rPr>
        <w:t>1.1 General context</w:t>
      </w:r>
    </w:p>
    <w:p w14:paraId="4EA9A125" w14:textId="073D2ABC" w:rsidR="00B66B91" w:rsidRDefault="00F873E2" w:rsidP="001768EA">
      <w:pPr>
        <w:spacing w:after="120" w:line="240" w:lineRule="auto"/>
        <w:jc w:val="both"/>
        <w:rPr>
          <w:rFonts w:cs="Calibri"/>
          <w:lang w:val="en-GB"/>
        </w:rPr>
      </w:pPr>
      <w:r>
        <w:rPr>
          <w:rFonts w:cs="Calibri"/>
          <w:lang w:val="en-GB"/>
        </w:rPr>
        <w:t>Since</w:t>
      </w:r>
      <w:r w:rsidR="00FF4132">
        <w:rPr>
          <w:rFonts w:cs="Calibri"/>
          <w:lang w:val="en-GB"/>
        </w:rPr>
        <w:t xml:space="preserve"> </w:t>
      </w:r>
      <w:r>
        <w:rPr>
          <w:rFonts w:cs="Calibri"/>
          <w:lang w:val="en-GB"/>
        </w:rPr>
        <w:t xml:space="preserve">2011, </w:t>
      </w:r>
      <w:r w:rsidR="00FF4132">
        <w:rPr>
          <w:rFonts w:cs="Calibri"/>
          <w:lang w:val="en-GB"/>
        </w:rPr>
        <w:t>Libya has lived through numerous political and economic tribulations. The</w:t>
      </w:r>
      <w:r w:rsidR="00B62859">
        <w:rPr>
          <w:rFonts w:cs="Calibri"/>
          <w:lang w:val="en-GB"/>
        </w:rPr>
        <w:t xml:space="preserve"> protracted</w:t>
      </w:r>
      <w:r w:rsidR="00FF4132">
        <w:rPr>
          <w:rFonts w:cs="Calibri"/>
          <w:lang w:val="en-GB"/>
        </w:rPr>
        <w:t xml:space="preserve"> conflict has caused a collapse in oil revenues with severe consequences to the capacity of the Libyan institutions to raise public revenues and deliver basic services. The economic situation deteriorated (inflation, high inflation rates, liquidity crisis and black market), further deepening vulnerabilities of Libyan population. </w:t>
      </w:r>
    </w:p>
    <w:p w14:paraId="5C97E9FF" w14:textId="77777777" w:rsidR="00B66B91" w:rsidRDefault="00FF4132" w:rsidP="001768EA">
      <w:pPr>
        <w:spacing w:after="120" w:line="240" w:lineRule="auto"/>
        <w:jc w:val="both"/>
        <w:rPr>
          <w:rFonts w:cs="Calibri"/>
          <w:lang w:val="en-GB"/>
        </w:rPr>
      </w:pPr>
      <w:r>
        <w:rPr>
          <w:rFonts w:cs="Calibri"/>
          <w:lang w:val="en-GB"/>
        </w:rPr>
        <w:t xml:space="preserve">The Libyan Political Agreement signed in December 2015 aimed at bringing the two governments in Tripoli and Tobruk together by forming a Presidential Council in Tripoli and to appoint an interim Government of National Accord (GNA). However, although installed in Tripoli since March 2016, the GNA has never been recognized by the House of Representative, based in Tobruk, which was one of the conditions set by the agreement. The internationally backed GNA continues to struggle for legitimacy and with it to restore security and build institutions that can provide basic services across the country. </w:t>
      </w:r>
    </w:p>
    <w:p w14:paraId="4AF8C882" w14:textId="77777777" w:rsidR="00B66B91" w:rsidRDefault="00FF4132" w:rsidP="001768EA">
      <w:pPr>
        <w:spacing w:after="120" w:line="240" w:lineRule="auto"/>
        <w:jc w:val="both"/>
        <w:rPr>
          <w:rFonts w:cs="Calibri"/>
          <w:lang w:val="en-GB"/>
        </w:rPr>
      </w:pPr>
      <w:r>
        <w:rPr>
          <w:rFonts w:cs="Calibri"/>
          <w:lang w:val="en-GB"/>
        </w:rPr>
        <w:t xml:space="preserve">Overall, Libya’s macro-economic situation remains unchanged through the political upheavals: the economy suffers from these political divisions and the conflict has destroyed the recovery that had begun in 2017, on the basis of increased oil production, after oil fields were taken over by the Government. </w:t>
      </w:r>
    </w:p>
    <w:p w14:paraId="4530FA25" w14:textId="509D182E" w:rsidR="00B66B91" w:rsidRDefault="00FF4132" w:rsidP="001768EA">
      <w:pPr>
        <w:spacing w:after="120" w:line="240" w:lineRule="auto"/>
        <w:jc w:val="both"/>
        <w:rPr>
          <w:rFonts w:cs="Calibri"/>
          <w:lang w:val="en-GB"/>
        </w:rPr>
      </w:pPr>
      <w:r>
        <w:rPr>
          <w:rFonts w:cs="Calibri"/>
          <w:lang w:val="en-GB"/>
        </w:rPr>
        <w:t>Since GNA came into power, the country’s security situation faced several challenges with the worst being in April 2019. This is when a military campaign was launched by the Libyan National Army (LNA), led by General Hafter, to take over the capital, Tripoli. The LNA's offensive against Tripoli has resulted in an increased destabilization of Libya.</w:t>
      </w:r>
    </w:p>
    <w:p w14:paraId="02F92BE5" w14:textId="77777777" w:rsidR="00B66B91" w:rsidRDefault="00FF4132" w:rsidP="00D646FF">
      <w:pPr>
        <w:spacing w:after="240" w:line="240" w:lineRule="auto"/>
        <w:jc w:val="both"/>
        <w:rPr>
          <w:rFonts w:cs="Calibri"/>
          <w:lang w:val="en-GB"/>
        </w:rPr>
      </w:pPr>
      <w:r>
        <w:rPr>
          <w:rFonts w:cs="Calibri"/>
          <w:lang w:val="en-GB"/>
        </w:rPr>
        <w:t xml:space="preserve">The Berlin Process eventually brought about a new government of national Unity, sworn in on 15 march 2021. As general elections were foreseen at the end of 2021 but are yet to be held, Libya remains de facto divided in two, with co-existence of competing governments. Consequently, Libya continues to suffer from the impact of this protracted political crisis, which leads to outbreaks of violence, displacements and a general worsening of people’s living conditions. </w:t>
      </w:r>
    </w:p>
    <w:p w14:paraId="2C15AA7D" w14:textId="77777777" w:rsidR="00B66B91" w:rsidRDefault="00FF4132" w:rsidP="00D646FF">
      <w:pPr>
        <w:pStyle w:val="EXP-Titre2"/>
        <w:spacing w:before="240"/>
        <w:jc w:val="both"/>
        <w:rPr>
          <w:rFonts w:ascii="Calibri" w:hAnsi="Calibri" w:cs="Calibri"/>
          <w:lang w:val="en-US"/>
        </w:rPr>
      </w:pPr>
      <w:bookmarkStart w:id="3" w:name="_Toc17314333"/>
      <w:bookmarkStart w:id="4" w:name="_Toc74912918"/>
      <w:bookmarkStart w:id="5" w:name="_Toc75345351"/>
      <w:bookmarkStart w:id="6" w:name="_Toc13409847"/>
      <w:r>
        <w:rPr>
          <w:rFonts w:ascii="Calibri" w:hAnsi="Calibri" w:cs="Calibri"/>
          <w:lang w:val="en-US"/>
        </w:rPr>
        <w:t>1.2 Health context</w:t>
      </w:r>
      <w:bookmarkEnd w:id="3"/>
      <w:bookmarkEnd w:id="4"/>
      <w:bookmarkEnd w:id="5"/>
      <w:bookmarkEnd w:id="6"/>
    </w:p>
    <w:p w14:paraId="563A3D07" w14:textId="37342CAA" w:rsidR="00B66B91" w:rsidRDefault="006078E2" w:rsidP="001768EA">
      <w:pPr>
        <w:pStyle w:val="EXP-Titre2"/>
        <w:spacing w:after="120" w:line="240" w:lineRule="auto"/>
        <w:jc w:val="both"/>
        <w:rPr>
          <w:rFonts w:ascii="Calibri" w:hAnsi="Calibri" w:cs="Calibri"/>
          <w:color w:val="auto"/>
          <w:shd w:val="clear" w:color="auto" w:fill="auto"/>
          <w:lang w:val="en-GB" w:eastAsia="en-US"/>
        </w:rPr>
      </w:pPr>
      <w:r>
        <w:rPr>
          <w:rFonts w:ascii="Calibri" w:hAnsi="Calibri" w:cs="Calibri"/>
          <w:color w:val="000000"/>
          <w:shd w:val="clear" w:color="auto" w:fill="auto"/>
          <w:lang w:val="en-GB" w:eastAsia="en-US"/>
        </w:rPr>
        <w:t>Following</w:t>
      </w:r>
      <w:r w:rsidR="00FF4132">
        <w:rPr>
          <w:rFonts w:ascii="Calibri" w:hAnsi="Calibri" w:cs="Calibri"/>
          <w:color w:val="000000"/>
          <w:shd w:val="clear" w:color="auto" w:fill="auto"/>
          <w:lang w:val="en-GB" w:eastAsia="en-US"/>
        </w:rPr>
        <w:t xml:space="preserve"> the general tendency, the Libyan health system has been severely weakened by the past and current political situation and does not guarantee the provision of sufficient public and therefore health services. </w:t>
      </w:r>
    </w:p>
    <w:p w14:paraId="13440831" w14:textId="77777777" w:rsidR="00B66B91" w:rsidRDefault="00FF4132" w:rsidP="001768EA">
      <w:pPr>
        <w:pStyle w:val="EXP-Titre2"/>
        <w:spacing w:after="120" w:line="240" w:lineRule="auto"/>
        <w:jc w:val="both"/>
        <w:rPr>
          <w:rFonts w:ascii="Calibri" w:hAnsi="Calibri" w:cs="Calibri"/>
          <w:color w:val="auto"/>
          <w:shd w:val="clear" w:color="auto" w:fill="auto"/>
          <w:lang w:val="en-GB" w:eastAsia="en-US"/>
        </w:rPr>
      </w:pPr>
      <w:r>
        <w:rPr>
          <w:rFonts w:ascii="Calibri" w:hAnsi="Calibri" w:cs="Calibri"/>
          <w:color w:val="000000"/>
          <w:shd w:val="clear" w:color="auto" w:fill="auto"/>
          <w:lang w:val="en-GB" w:eastAsia="en-US"/>
        </w:rPr>
        <w:t>While the country’s security environment could provide a logical justification for all the challenges the Libyan health system is currently facing, such as medicines and health products supply disruptions, qualified health professionals departure as well as a restricted access to medical and paramedical infrastructures for the general population, it is definitely not the sector woes only reason. The continuing shortcomings of the health system in Libya, which continue to deeply affect the Libyan population, are also a sign of a fragmented public commitment towards this sector that does not guarantee an adequate continuum of training of health personnel nor a sustainable administration of infrastructures and equipment (investment, maintenance and renewal). The deployment of health policies with limited interrelationships on the basis of general funding that still has to strive towards equity and from which emerges a supply of care that does not systematically correspond to the most pressing or larger national needs, is symptomatic of the country’s ambivalent situation. While legal orientations - from health related decrees to medical protocols - should apply, their implementation in full compliance is not systematic due to management and appropriation differences between sites, but also to the fact that they became over time theories often invalidated by common practices which have evolved negatively because of an increasingly hostile implementation environment, leading to an obvious deterioration in patient care and management.</w:t>
      </w:r>
    </w:p>
    <w:p w14:paraId="33FB00B1" w14:textId="77777777" w:rsidR="00B66B91" w:rsidRDefault="00FF4132" w:rsidP="001768EA">
      <w:pPr>
        <w:pStyle w:val="EXP-Titre2"/>
        <w:spacing w:after="120" w:line="240" w:lineRule="auto"/>
        <w:jc w:val="both"/>
        <w:rPr>
          <w:rFonts w:ascii="Calibri" w:hAnsi="Calibri" w:cs="Calibri"/>
          <w:color w:val="auto"/>
          <w:shd w:val="clear" w:color="auto" w:fill="auto"/>
          <w:lang w:val="en-GB" w:eastAsia="en-US"/>
        </w:rPr>
      </w:pPr>
      <w:r>
        <w:rPr>
          <w:rFonts w:ascii="Calibri" w:hAnsi="Calibri" w:cs="Calibri"/>
          <w:color w:val="000000"/>
          <w:shd w:val="clear" w:color="auto" w:fill="auto"/>
          <w:lang w:val="en-GB" w:eastAsia="en-US"/>
        </w:rPr>
        <w:t>Although the cycle of civil violence recently appears to be slowing down, generating a period of relative stability, the Libyan context restrain a proper holistic approach on healthcare issues and public or private health services delivery. The Libyan healthcare system was already under pressure before the COVID-19 outbreak and the situation has logically worsened as a result of the spread of the pandemic with discrimination threatening the right of minorities to health in some parts of the country, who had already been fighting for years for equal access to healthcare.</w:t>
      </w:r>
    </w:p>
    <w:p w14:paraId="3F564551" w14:textId="77777777" w:rsidR="00B66B91" w:rsidRDefault="00FF4132" w:rsidP="001768EA">
      <w:pPr>
        <w:pStyle w:val="EXP-Titre2"/>
        <w:spacing w:after="120" w:line="240" w:lineRule="auto"/>
        <w:jc w:val="both"/>
        <w:rPr>
          <w:rFonts w:ascii="Calibri" w:hAnsi="Calibri" w:cs="Calibri"/>
          <w:color w:val="auto"/>
          <w:shd w:val="clear" w:color="auto" w:fill="auto"/>
          <w:lang w:val="en-GB" w:eastAsia="en-US"/>
        </w:rPr>
      </w:pPr>
      <w:r>
        <w:rPr>
          <w:rFonts w:ascii="Calibri" w:hAnsi="Calibri" w:cs="Calibri"/>
          <w:color w:val="000000"/>
          <w:shd w:val="clear" w:color="auto" w:fill="auto"/>
          <w:lang w:val="en-GB" w:eastAsia="en-US"/>
        </w:rPr>
        <w:t xml:space="preserve">Militia attacks on healthcare facilities in Libya were still reported during summer 2022 and in some areas, teams of ambulance attendants and other medical personnel were unable to assist civilians due to the intensity of the conflict between belligerents. Several health infrastructures have also been critically damaged as a direct result of the numerous fighting. </w:t>
      </w:r>
    </w:p>
    <w:p w14:paraId="6BAE050C" w14:textId="77777777" w:rsidR="00B66B91" w:rsidRDefault="00FF4132" w:rsidP="00D646FF">
      <w:pPr>
        <w:pStyle w:val="EXP-Titre2"/>
        <w:spacing w:line="240" w:lineRule="auto"/>
        <w:jc w:val="both"/>
        <w:rPr>
          <w:rFonts w:ascii="Calibri" w:hAnsi="Calibri" w:cs="Calibri"/>
          <w:color w:val="auto"/>
          <w:shd w:val="clear" w:color="auto" w:fill="auto"/>
          <w:lang w:val="en-GB" w:eastAsia="en-US"/>
        </w:rPr>
      </w:pPr>
      <w:r>
        <w:rPr>
          <w:rFonts w:ascii="Calibri" w:hAnsi="Calibri" w:cs="Calibri"/>
          <w:color w:val="000000"/>
          <w:shd w:val="clear" w:color="auto" w:fill="auto"/>
          <w:lang w:val="en-GB" w:eastAsia="en-US"/>
        </w:rPr>
        <w:t xml:space="preserve">To this day, the widespread risk of insecurity still mainly prevents the few international organizations working on health support to propose new initiatives, to develop or sometimes even maintain their current activities within the country. </w:t>
      </w:r>
    </w:p>
    <w:p w14:paraId="0E048849" w14:textId="77777777" w:rsidR="00B66B91" w:rsidRDefault="00FF4132" w:rsidP="00D646FF">
      <w:pPr>
        <w:pStyle w:val="EXP-Titre2"/>
        <w:spacing w:before="240"/>
        <w:jc w:val="both"/>
        <w:rPr>
          <w:rFonts w:ascii="Calibri" w:hAnsi="Calibri" w:cs="Calibri"/>
          <w:lang w:val="en-US"/>
        </w:rPr>
      </w:pPr>
      <w:bookmarkStart w:id="7" w:name="_Toc17314335"/>
      <w:bookmarkStart w:id="8" w:name="_Toc74912920"/>
      <w:bookmarkStart w:id="9" w:name="_Toc75345353"/>
      <w:bookmarkStart w:id="10" w:name="_Toc13409848"/>
      <w:r>
        <w:rPr>
          <w:rFonts w:ascii="Calibri" w:hAnsi="Calibri" w:cs="Calibri"/>
          <w:lang w:val="en-US"/>
        </w:rPr>
        <w:t>1.3 Blood Transfusion context</w:t>
      </w:r>
      <w:bookmarkEnd w:id="7"/>
      <w:bookmarkEnd w:id="8"/>
      <w:bookmarkEnd w:id="9"/>
      <w:bookmarkEnd w:id="10"/>
    </w:p>
    <w:p w14:paraId="5EED13C9" w14:textId="09FBE7C6" w:rsidR="00B66B91" w:rsidRDefault="00FF4132">
      <w:pPr>
        <w:spacing w:line="240" w:lineRule="auto"/>
        <w:jc w:val="both"/>
        <w:rPr>
          <w:rFonts w:cs="Calibri"/>
          <w:lang w:val="en-GB"/>
        </w:rPr>
      </w:pPr>
      <w:r>
        <w:rPr>
          <w:rFonts w:cs="Calibri"/>
          <w:b/>
          <w:lang w:val="en-GB"/>
        </w:rPr>
        <w:t>Blood transfusion</w:t>
      </w:r>
      <w:r>
        <w:rPr>
          <w:rFonts w:cs="Calibri"/>
          <w:lang w:val="en-GB"/>
        </w:rPr>
        <w:t xml:space="preserve"> is an indispensable component of healthcare services, and is particularly important for maternal and child health and survival. It contributes to saving millions of lives each year in both routine and emergency situations, permits increasingly complex medical and surgical interventions and improves the outcome of patients with a variety of acute and chronic pathologies. It is today impossible de quantify the number of individuals saved by transfusion medicine. It is however common knowledge in the field of haematology that Libya has a weak data collection process that still cannot generate trustable figures. The number is arguably high according to the estimation of the Director of the National</w:t>
      </w:r>
      <w:r w:rsidR="004B3AE7">
        <w:rPr>
          <w:rFonts w:cs="Calibri"/>
          <w:lang w:val="en-GB"/>
        </w:rPr>
        <w:t xml:space="preserve"> Blood Transfusion Services Authority (NBTSA)</w:t>
      </w:r>
      <w:r>
        <w:rPr>
          <w:rFonts w:cs="Calibri"/>
          <w:lang w:val="en-GB"/>
        </w:rPr>
        <w:t xml:space="preserve">. </w:t>
      </w:r>
    </w:p>
    <w:p w14:paraId="481CF9DC" w14:textId="77777777" w:rsidR="00B66B91" w:rsidRDefault="00FF4132">
      <w:pPr>
        <w:spacing w:line="240" w:lineRule="auto"/>
        <w:jc w:val="both"/>
        <w:rPr>
          <w:rFonts w:cs="Calibri"/>
          <w:lang w:val="en-GB"/>
        </w:rPr>
      </w:pPr>
      <w:r>
        <w:rPr>
          <w:rFonts w:cs="Calibri"/>
          <w:lang w:val="en-GB"/>
        </w:rPr>
        <w:t>In countries where diagnostic facilities and treatment options are limited, the majority of transfusions are prescribed for the treatment of complications during pregnancy and childbirth, trauma and the management of acquired and congenital blood disorders.</w:t>
      </w:r>
    </w:p>
    <w:p w14:paraId="1AAA3FB8" w14:textId="77777777" w:rsidR="00B66B91" w:rsidRDefault="00FF4132">
      <w:pPr>
        <w:spacing w:line="240" w:lineRule="auto"/>
        <w:jc w:val="both"/>
        <w:rPr>
          <w:rFonts w:cs="Calibri"/>
          <w:lang w:val="en-GB"/>
        </w:rPr>
      </w:pPr>
      <w:r>
        <w:rPr>
          <w:rFonts w:cs="Calibri"/>
          <w:lang w:val="en-GB"/>
        </w:rPr>
        <w:t xml:space="preserve">The availability of safe blood will contribute to achieving the United Nations Sustainable Development Goals (SDG) 3 including direct contribution to: </w:t>
      </w:r>
    </w:p>
    <w:p w14:paraId="105B44AC" w14:textId="77777777" w:rsidR="00B66B91" w:rsidRDefault="00FF4132">
      <w:pPr>
        <w:pStyle w:val="Paragraphedeliste"/>
        <w:numPr>
          <w:ilvl w:val="0"/>
          <w:numId w:val="5"/>
        </w:numPr>
        <w:spacing w:line="240" w:lineRule="auto"/>
        <w:jc w:val="both"/>
        <w:rPr>
          <w:rFonts w:cs="Calibri"/>
          <w:lang w:val="en-GB"/>
        </w:rPr>
      </w:pPr>
      <w:r>
        <w:rPr>
          <w:rFonts w:cs="Calibri"/>
          <w:lang w:val="en-GB"/>
        </w:rPr>
        <w:t>3.1 - By 2030, reduce the global maternal mortality ratio to less than 70 per 100 000 live births.</w:t>
      </w:r>
    </w:p>
    <w:p w14:paraId="18663142" w14:textId="0DA25188" w:rsidR="00B66B91" w:rsidRDefault="00FF4132" w:rsidP="00A94525">
      <w:pPr>
        <w:pStyle w:val="Paragraphedeliste"/>
        <w:numPr>
          <w:ilvl w:val="0"/>
          <w:numId w:val="5"/>
        </w:numPr>
        <w:spacing w:line="240" w:lineRule="auto"/>
        <w:jc w:val="both"/>
        <w:rPr>
          <w:rFonts w:cs="Calibri"/>
          <w:lang w:val="en-GB"/>
        </w:rPr>
      </w:pPr>
      <w:r>
        <w:rPr>
          <w:rFonts w:cs="Calibri"/>
          <w:lang w:val="en-GB"/>
        </w:rPr>
        <w:t xml:space="preserve">3.2 - By 2030, end preventable deaths of </w:t>
      </w:r>
      <w:r w:rsidR="00A94525">
        <w:rPr>
          <w:rFonts w:cs="Calibri"/>
          <w:lang w:val="en-GB"/>
        </w:rPr>
        <w:t>new-borns</w:t>
      </w:r>
      <w:r>
        <w:rPr>
          <w:rFonts w:cs="Calibri"/>
          <w:lang w:val="en-GB"/>
        </w:rPr>
        <w:t xml:space="preserve"> and children under 5 years of age, with all countries aiming to reduce neonatal mortality to at least as low as 12 per 1 000 live births and under-5 mortality to at least as low as 25 per 1 000 live births.</w:t>
      </w:r>
    </w:p>
    <w:p w14:paraId="237C825A" w14:textId="54F1DF00" w:rsidR="00B66B91" w:rsidRDefault="006078E2">
      <w:pPr>
        <w:pStyle w:val="Paragraphedeliste"/>
        <w:numPr>
          <w:ilvl w:val="0"/>
          <w:numId w:val="5"/>
        </w:numPr>
        <w:spacing w:line="240" w:lineRule="auto"/>
        <w:jc w:val="both"/>
        <w:rPr>
          <w:rFonts w:cs="Calibri"/>
          <w:lang w:val="en-GB"/>
        </w:rPr>
      </w:pPr>
      <w:r>
        <w:rPr>
          <w:rFonts w:cs="Calibri"/>
          <w:lang w:val="en-GB"/>
        </w:rPr>
        <w:t>3.6 - By 203</w:t>
      </w:r>
      <w:r w:rsidR="00FF4132">
        <w:rPr>
          <w:rFonts w:cs="Calibri"/>
          <w:lang w:val="en-GB"/>
        </w:rPr>
        <w:t>0, halve the number of global deaths and injuries from road traffic accidents.</w:t>
      </w:r>
    </w:p>
    <w:p w14:paraId="7AA17435" w14:textId="77777777" w:rsidR="00B66B91" w:rsidRDefault="00FF4132">
      <w:pPr>
        <w:spacing w:line="240" w:lineRule="auto"/>
        <w:jc w:val="both"/>
        <w:rPr>
          <w:rFonts w:cs="Calibri"/>
          <w:lang w:val="en-GB"/>
        </w:rPr>
      </w:pPr>
      <w:r>
        <w:rPr>
          <w:rFonts w:cs="Calibri"/>
          <w:lang w:val="en-GB"/>
        </w:rPr>
        <w:t>The Libyan blood transfusion system (BTS) currently faces two critical challenges that prevents it from adequately delivering its mission and providing the Libyan population with sufficient safe blood products:</w:t>
      </w:r>
    </w:p>
    <w:p w14:paraId="1EF41A54" w14:textId="77777777" w:rsidR="00B66B91" w:rsidRDefault="00FF4132">
      <w:pPr>
        <w:pStyle w:val="Paragraphedeliste"/>
        <w:numPr>
          <w:ilvl w:val="0"/>
          <w:numId w:val="6"/>
        </w:numPr>
        <w:spacing w:line="240" w:lineRule="auto"/>
        <w:jc w:val="both"/>
        <w:rPr>
          <w:rFonts w:cs="Calibri"/>
          <w:lang w:val="en-GB"/>
        </w:rPr>
      </w:pPr>
      <w:r>
        <w:rPr>
          <w:rFonts w:cs="Calibri"/>
          <w:lang w:val="en-GB"/>
        </w:rPr>
        <w:t xml:space="preserve">The first challenge is the fragmented nature of the BTS institutional organisation. </w:t>
      </w:r>
    </w:p>
    <w:p w14:paraId="15A2D2C6" w14:textId="77777777" w:rsidR="00B66B91" w:rsidRDefault="00FF4132">
      <w:pPr>
        <w:pStyle w:val="Paragraphedeliste"/>
        <w:numPr>
          <w:ilvl w:val="0"/>
          <w:numId w:val="6"/>
        </w:numPr>
        <w:spacing w:line="240" w:lineRule="auto"/>
        <w:jc w:val="both"/>
        <w:rPr>
          <w:rFonts w:cs="Calibri"/>
          <w:lang w:val="en-GB"/>
        </w:rPr>
      </w:pPr>
      <w:r>
        <w:rPr>
          <w:rFonts w:cs="Calibri"/>
          <w:lang w:val="en-GB"/>
        </w:rPr>
        <w:t xml:space="preserve">The second one is the very low number of voluntary non-remunerated blood donors in the country. </w:t>
      </w:r>
    </w:p>
    <w:p w14:paraId="4A60D095" w14:textId="77777777" w:rsidR="006C3551" w:rsidRDefault="00FF4132">
      <w:pPr>
        <w:spacing w:line="240" w:lineRule="auto"/>
        <w:jc w:val="both"/>
        <w:rPr>
          <w:rFonts w:cs="Calibri"/>
          <w:lang w:val="en-GB"/>
        </w:rPr>
      </w:pPr>
      <w:r>
        <w:rPr>
          <w:rFonts w:cs="Calibri"/>
          <w:lang w:val="en-GB"/>
        </w:rPr>
        <w:t xml:space="preserve">Both challenges regularly translate into acute problems in the daily work of blood establishments. The first typically generates issues of supply of consumables, funding, shortages of qualified and competent human resources, poor enforcement of quality and technical standards. The second challenge - partially induced by the first – results into low stocks and/or shortages of blood products. Such fragile basis makes the Libyan blood transfusion system ill-prepared to withstand sudden changes in its environment. The severe effects of the current political and security situation as well as the COVID-19 pandemic showed this point: blood banks outside Tripoli or Benghazi face regular shortages and some are even forced into temporary closure. </w:t>
      </w:r>
    </w:p>
    <w:p w14:paraId="3DDED46A" w14:textId="77777777" w:rsidR="006C3551" w:rsidRDefault="00FF4132">
      <w:pPr>
        <w:spacing w:line="240" w:lineRule="auto"/>
        <w:jc w:val="both"/>
        <w:rPr>
          <w:rFonts w:cs="Calibri"/>
          <w:lang w:val="en-GB"/>
        </w:rPr>
      </w:pPr>
      <w:r>
        <w:rPr>
          <w:rFonts w:cs="Calibri"/>
          <w:lang w:val="en-GB"/>
        </w:rPr>
        <w:t>The absence of a centralised and efficient national management of blood supply made it difficult for the system to reform and improve from within. Two previous reports</w:t>
      </w:r>
      <w:r>
        <w:rPr>
          <w:rStyle w:val="Appelnotedebasdep"/>
          <w:rFonts w:cs="Calibri"/>
        </w:rPr>
        <w:footnoteReference w:id="1"/>
      </w:r>
      <w:r>
        <w:rPr>
          <w:rFonts w:cs="Calibri"/>
          <w:lang w:val="en-GB"/>
        </w:rPr>
        <w:t xml:space="preserve"> by the WHO already highlighted this absence of leadership and recommended for it to be addressed swiftly. The critical change needed to improve the fragmented and fragile Libyan BTS can only come from a drastic improvement of its working standards in blood establishments. In that respect, Libya's </w:t>
      </w:r>
      <w:r w:rsidR="004B3AE7">
        <w:rPr>
          <w:rFonts w:cs="Calibri"/>
          <w:lang w:val="en-GB"/>
        </w:rPr>
        <w:t>NBTSA</w:t>
      </w:r>
      <w:r>
        <w:rPr>
          <w:rFonts w:cs="Calibri"/>
          <w:lang w:val="en-GB"/>
        </w:rPr>
        <w:t xml:space="preserve"> formally established in November 2022, is arguably an essential step forward to improve the national transfusion system. </w:t>
      </w:r>
    </w:p>
    <w:p w14:paraId="23846C11" w14:textId="2887BFE6" w:rsidR="00B66B91" w:rsidRDefault="00FF4132" w:rsidP="00D646FF">
      <w:pPr>
        <w:spacing w:after="240" w:line="240" w:lineRule="auto"/>
        <w:jc w:val="both"/>
        <w:rPr>
          <w:rFonts w:cs="Calibri"/>
          <w:lang w:val="en-GB"/>
        </w:rPr>
      </w:pPr>
      <w:r>
        <w:rPr>
          <w:rFonts w:cs="Calibri"/>
          <w:lang w:val="en-GB"/>
        </w:rPr>
        <w:t xml:space="preserve">Until November 2022, Libya managed its entire national blood transfusion system from a department of the Ministry of Health, bringing together both the country's blood banks and laboratories. This mixed system did not correspond to WHO recommendations and severely limited the overall development of the blood transfusion system. By often reducing it to the laboratory work alone, this set-up it hampered the creation of an effective interface of blood banks and hospitals, it could not foster a culture of data collection, documentation or more broadly instil the concept of quality assurance in transfusion medicine. Both this new agency and the newly minted department of quality management of the Ministry of Health will become the first partners and beneficiaries of the MENDAMI project in its phase 2. </w:t>
      </w:r>
    </w:p>
    <w:p w14:paraId="7192BB3D" w14:textId="77777777" w:rsidR="00B66B91" w:rsidRDefault="00B66B91">
      <w:pPr>
        <w:spacing w:after="0" w:line="240" w:lineRule="auto"/>
        <w:jc w:val="both"/>
        <w:rPr>
          <w:rFonts w:cs="Calibri"/>
          <w:b/>
          <w:bCs/>
          <w:lang w:val="en-GB" w:eastAsia="fr-FR"/>
        </w:rPr>
      </w:pPr>
    </w:p>
    <w:p w14:paraId="2525FAB7" w14:textId="77777777" w:rsidR="00B66B91" w:rsidRPr="006C3551" w:rsidRDefault="00FF4132" w:rsidP="00D646FF">
      <w:pPr>
        <w:pStyle w:val="EXP-Titre1"/>
        <w:rPr>
          <w:lang w:val="en-GB"/>
        </w:rPr>
      </w:pPr>
      <w:bookmarkStart w:id="11" w:name="_Toc75345355"/>
      <w:r w:rsidRPr="006C3551">
        <w:rPr>
          <w:lang w:val="en-GB"/>
        </w:rPr>
        <w:t>MAIN OBJECTIVES OF THE PROJECT</w:t>
      </w:r>
      <w:bookmarkEnd w:id="11"/>
      <w:r w:rsidRPr="006C3551">
        <w:rPr>
          <w:lang w:val="en-GB"/>
        </w:rPr>
        <w:t>S</w:t>
      </w:r>
    </w:p>
    <w:p w14:paraId="30A7EDEB" w14:textId="6A14DDC4" w:rsidR="006C3551" w:rsidRDefault="006C3551">
      <w:pPr>
        <w:spacing w:line="240" w:lineRule="auto"/>
        <w:jc w:val="both"/>
        <w:rPr>
          <w:rFonts w:cs="Calibri"/>
          <w:lang w:val="en-GB"/>
        </w:rPr>
      </w:pPr>
      <w:r w:rsidRPr="006C3551">
        <w:rPr>
          <w:rFonts w:cs="Calibri"/>
          <w:lang w:val="en-GB"/>
        </w:rPr>
        <w:t>Since 2019, the Ministry of Health and Expertise France have worked jointly through the MENDAMI programme, to strengthen elements of the Libyan Blood Transfusion System. This initiative has managed some encouraging successes in the fields of continuing education for blood banks staff, clinical use of blood and national awareness campaigning, proving that is still possible to bring changes to a weak and fragile national system. With its network of scientific consultants, the MENDAMI programme offers an ideal platform to continue building a much needed resilience into the public blood transfusion system.</w:t>
      </w:r>
    </w:p>
    <w:p w14:paraId="3D0FF328" w14:textId="77777777" w:rsidR="00B66B91" w:rsidRDefault="00FF4132">
      <w:pPr>
        <w:spacing w:line="240" w:lineRule="auto"/>
        <w:jc w:val="both"/>
        <w:rPr>
          <w:rFonts w:cs="Calibri"/>
          <w:lang w:val="en-GB"/>
        </w:rPr>
      </w:pPr>
      <w:r>
        <w:rPr>
          <w:rFonts w:cs="Calibri"/>
          <w:lang w:val="en-GB"/>
        </w:rPr>
        <w:t xml:space="preserve">To tackle some of these issues, Expertise France, the French technical cooperation agency, together with the European Union, and in close cooperation with both international and local Libyan partners, have developed a set of targeted activities based on several years of experience in order to improve Libya’s health environment and support the national blood transfusion system. </w:t>
      </w:r>
    </w:p>
    <w:p w14:paraId="27F0139C" w14:textId="4F2611E7" w:rsidR="00B66B91" w:rsidRDefault="00FF4132">
      <w:pPr>
        <w:spacing w:line="240" w:lineRule="auto"/>
        <w:jc w:val="both"/>
        <w:rPr>
          <w:rFonts w:cs="Calibri"/>
          <w:lang w:val="en-GB"/>
        </w:rPr>
      </w:pPr>
      <w:r>
        <w:rPr>
          <w:rFonts w:cs="Calibri"/>
          <w:b/>
          <w:lang w:val="en-GB"/>
        </w:rPr>
        <w:t>MENDAMI 2</w:t>
      </w:r>
      <w:r>
        <w:rPr>
          <w:rFonts w:cs="Calibri"/>
          <w:lang w:val="en-GB"/>
        </w:rPr>
        <w:t xml:space="preserve"> is a 3-year </w:t>
      </w:r>
      <w:r w:rsidR="00D62DCA">
        <w:rPr>
          <w:rFonts w:cs="Calibri"/>
          <w:lang w:val="en-GB"/>
        </w:rPr>
        <w:t>project</w:t>
      </w:r>
      <w:r>
        <w:rPr>
          <w:rFonts w:cs="Calibri"/>
          <w:lang w:val="en-GB"/>
        </w:rPr>
        <w:t xml:space="preserve"> (2023-2025) which aims at strengthening the national blood transfusion system in Libya. This scale-up project is a continuation of the MENDAMI </w:t>
      </w:r>
      <w:r w:rsidR="00D62DCA">
        <w:rPr>
          <w:rFonts w:cs="Calibri"/>
          <w:lang w:val="en-GB"/>
        </w:rPr>
        <w:t>phase 1</w:t>
      </w:r>
      <w:r>
        <w:rPr>
          <w:rFonts w:cs="Calibri"/>
          <w:lang w:val="en-GB"/>
        </w:rPr>
        <w:t xml:space="preserve"> (2019-2022), with an institutional anchoring at the </w:t>
      </w:r>
      <w:r w:rsidR="00DD6D24">
        <w:rPr>
          <w:rFonts w:cs="Calibri"/>
          <w:lang w:val="en-GB"/>
        </w:rPr>
        <w:t>NBTSA</w:t>
      </w:r>
      <w:r>
        <w:rPr>
          <w:rFonts w:cs="Calibri"/>
          <w:lang w:val="en-GB"/>
        </w:rPr>
        <w:t xml:space="preserve"> level created in late 2022. The total budget of the programme is </w:t>
      </w:r>
      <w:r>
        <w:rPr>
          <w:rFonts w:cs="Calibri"/>
          <w:b/>
          <w:lang w:val="en-GB"/>
        </w:rPr>
        <w:t>1.5 million euros</w:t>
      </w:r>
      <w:r>
        <w:rPr>
          <w:rFonts w:cs="Calibri"/>
          <w:lang w:val="en-GB"/>
        </w:rPr>
        <w:t>.</w:t>
      </w:r>
    </w:p>
    <w:p w14:paraId="402D057D" w14:textId="77777777" w:rsidR="00B66B91" w:rsidRDefault="00FF4132">
      <w:pPr>
        <w:spacing w:line="240" w:lineRule="auto"/>
        <w:jc w:val="both"/>
        <w:rPr>
          <w:rFonts w:cs="Calibri"/>
          <w:lang w:val="en-GB"/>
        </w:rPr>
      </w:pPr>
      <w:r>
        <w:rPr>
          <w:rFonts w:cs="Calibri"/>
          <w:lang w:val="en-GB"/>
        </w:rPr>
        <w:t xml:space="preserve">The </w:t>
      </w:r>
      <w:r>
        <w:rPr>
          <w:rFonts w:cs="Calibri"/>
          <w:b/>
          <w:lang w:val="en-GB"/>
        </w:rPr>
        <w:t>overall objective</w:t>
      </w:r>
      <w:r>
        <w:rPr>
          <w:rFonts w:cs="Calibri"/>
          <w:lang w:val="en-GB"/>
        </w:rPr>
        <w:t xml:space="preserve"> is to contribute to making the Libyan blood transfusion system resilient and able to withstand sudden changes at local and national level through the integration of a quality management system according to WHO standards.</w:t>
      </w:r>
    </w:p>
    <w:p w14:paraId="1A3860A2" w14:textId="77777777" w:rsidR="00B66B91" w:rsidRDefault="00FF4132">
      <w:pPr>
        <w:spacing w:line="240" w:lineRule="auto"/>
        <w:jc w:val="both"/>
        <w:rPr>
          <w:rFonts w:cs="Calibri"/>
          <w:lang w:val="en-GB"/>
        </w:rPr>
      </w:pPr>
      <w:r>
        <w:rPr>
          <w:rFonts w:cs="Calibri"/>
          <w:lang w:val="en-GB"/>
        </w:rPr>
        <w:t>Two specific objectives are defined:</w:t>
      </w:r>
    </w:p>
    <w:p w14:paraId="7FDFE09E" w14:textId="76295D95" w:rsidR="00B66B91" w:rsidRDefault="00FF4132">
      <w:pPr>
        <w:pStyle w:val="Paragraphedeliste"/>
        <w:numPr>
          <w:ilvl w:val="0"/>
          <w:numId w:val="6"/>
        </w:numPr>
        <w:spacing w:line="240" w:lineRule="auto"/>
        <w:ind w:left="567"/>
        <w:jc w:val="both"/>
        <w:rPr>
          <w:rFonts w:cs="Calibri"/>
          <w:b/>
          <w:lang w:val="en-GB"/>
        </w:rPr>
      </w:pPr>
      <w:r>
        <w:rPr>
          <w:rFonts w:cs="Calibri"/>
          <w:b/>
          <w:u w:val="single"/>
          <w:lang w:val="en-GB"/>
        </w:rPr>
        <w:t>Specific objective 1</w:t>
      </w:r>
      <w:r>
        <w:rPr>
          <w:rFonts w:cs="Calibri"/>
          <w:b/>
          <w:lang w:val="en-GB"/>
        </w:rPr>
        <w:t xml:space="preserve">: </w:t>
      </w:r>
      <w:r w:rsidR="008219A6">
        <w:rPr>
          <w:rFonts w:cs="Calibri"/>
          <w:b/>
          <w:lang w:val="en-GB"/>
        </w:rPr>
        <w:t>to contribute to</w:t>
      </w:r>
      <w:r>
        <w:rPr>
          <w:rFonts w:cs="Calibri"/>
          <w:b/>
          <w:lang w:val="en-GB"/>
        </w:rPr>
        <w:t xml:space="preserve"> quality transfusion medicine services in blood establishments and hospitals through quality management</w:t>
      </w:r>
    </w:p>
    <w:p w14:paraId="4AB90F53" w14:textId="77777777" w:rsidR="00B66B91" w:rsidRPr="00AC4108" w:rsidRDefault="00B66B91">
      <w:pPr>
        <w:pStyle w:val="Paragraphedeliste"/>
        <w:spacing w:line="240" w:lineRule="auto"/>
        <w:ind w:left="567"/>
        <w:jc w:val="both"/>
        <w:rPr>
          <w:rFonts w:cs="Calibri"/>
          <w:b/>
          <w:lang w:val="en-GB"/>
        </w:rPr>
      </w:pPr>
    </w:p>
    <w:p w14:paraId="388DBBCB" w14:textId="2E49B631" w:rsidR="00B66B91" w:rsidRDefault="00FF4132">
      <w:pPr>
        <w:pStyle w:val="Paragraphedeliste"/>
        <w:numPr>
          <w:ilvl w:val="0"/>
          <w:numId w:val="6"/>
        </w:numPr>
        <w:spacing w:line="240" w:lineRule="auto"/>
        <w:ind w:left="567"/>
        <w:jc w:val="both"/>
        <w:rPr>
          <w:rFonts w:cs="Calibri"/>
          <w:b/>
          <w:lang w:val="en-GB"/>
        </w:rPr>
      </w:pPr>
      <w:r>
        <w:rPr>
          <w:rFonts w:cs="Calibri"/>
          <w:b/>
          <w:u w:val="single"/>
          <w:lang w:val="en-GB"/>
        </w:rPr>
        <w:t>Specific objective 2</w:t>
      </w:r>
      <w:r>
        <w:rPr>
          <w:rFonts w:cs="Calibri"/>
          <w:b/>
          <w:lang w:val="en-GB"/>
        </w:rPr>
        <w:t xml:space="preserve">: </w:t>
      </w:r>
      <w:r w:rsidR="008219A6">
        <w:rPr>
          <w:rFonts w:cs="Calibri"/>
          <w:b/>
          <w:lang w:val="en-GB"/>
        </w:rPr>
        <w:t xml:space="preserve">to contribute </w:t>
      </w:r>
      <w:r>
        <w:rPr>
          <w:rFonts w:cs="Calibri"/>
          <w:b/>
          <w:lang w:val="en-GB"/>
        </w:rPr>
        <w:t>the availability of blood products in the blood establishments targeted.</w:t>
      </w:r>
    </w:p>
    <w:p w14:paraId="306A3004" w14:textId="77777777" w:rsidR="00B66B91" w:rsidRDefault="00FF4132">
      <w:pPr>
        <w:spacing w:line="240" w:lineRule="auto"/>
        <w:contextualSpacing/>
        <w:jc w:val="both"/>
        <w:rPr>
          <w:rFonts w:cs="Calibri"/>
          <w:lang w:val="en-GB"/>
        </w:rPr>
      </w:pPr>
      <w:r>
        <w:rPr>
          <w:rFonts w:cs="Calibri"/>
          <w:lang w:val="en-GB"/>
        </w:rPr>
        <w:t>To achieve these specific objectives, 6 outputs are defined, covering the spectrum of the quality management cycle.</w:t>
      </w:r>
    </w:p>
    <w:p w14:paraId="74C0D80D" w14:textId="00F39565" w:rsidR="00B66B91" w:rsidRDefault="00FF4132" w:rsidP="00FB294F">
      <w:pPr>
        <w:pStyle w:val="Paragraphedeliste"/>
        <w:numPr>
          <w:ilvl w:val="1"/>
          <w:numId w:val="6"/>
        </w:numPr>
        <w:spacing w:line="240" w:lineRule="auto"/>
        <w:ind w:left="567"/>
        <w:jc w:val="both"/>
        <w:rPr>
          <w:rFonts w:cs="Calibri"/>
          <w:lang w:val="en-GB"/>
        </w:rPr>
      </w:pPr>
      <w:r>
        <w:rPr>
          <w:rFonts w:cs="Calibri"/>
          <w:b/>
          <w:u w:val="single"/>
          <w:lang w:val="en-GB"/>
        </w:rPr>
        <w:t>Output 1</w:t>
      </w:r>
      <w:r>
        <w:rPr>
          <w:rFonts w:cs="Calibri"/>
          <w:b/>
          <w:lang w:val="en-GB"/>
        </w:rPr>
        <w:t xml:space="preserve">: </w:t>
      </w:r>
      <w:r w:rsidR="007B4139" w:rsidRPr="007B4139">
        <w:rPr>
          <w:rFonts w:cs="Calibri"/>
          <w:lang w:val="en-GB"/>
        </w:rPr>
        <w:t>The National Blood transfusion services Authority sets up quality management plans needed for the blood transfusion system to the management of transfusion medicine in Libya</w:t>
      </w:r>
      <w:r>
        <w:rPr>
          <w:rFonts w:cs="Calibri"/>
          <w:lang w:val="en-GB"/>
        </w:rPr>
        <w:t>.</w:t>
      </w:r>
    </w:p>
    <w:p w14:paraId="252D5952" w14:textId="2E2A60AC" w:rsidR="00B66B91" w:rsidRDefault="00FF4132" w:rsidP="00FB294F">
      <w:pPr>
        <w:spacing w:after="0" w:line="240" w:lineRule="auto"/>
        <w:ind w:left="567"/>
        <w:jc w:val="both"/>
        <w:rPr>
          <w:rFonts w:cs="Calibri"/>
          <w:lang w:val="en-GB"/>
        </w:rPr>
      </w:pPr>
      <w:r>
        <w:rPr>
          <w:rFonts w:cs="Calibri"/>
          <w:lang w:val="en-GB"/>
        </w:rPr>
        <w:t>The project will aim to support the drafting of a national quality manual for blood services in Libya, comprised of all fundamental organizational plans</w:t>
      </w:r>
      <w:r w:rsidR="00B40C9A">
        <w:rPr>
          <w:rFonts w:cs="Calibri"/>
          <w:lang w:val="en-GB"/>
        </w:rPr>
        <w:t>,</w:t>
      </w:r>
      <w:r>
        <w:rPr>
          <w:rFonts w:cs="Calibri"/>
          <w:lang w:val="en-GB"/>
        </w:rPr>
        <w:t xml:space="preserve"> processes</w:t>
      </w:r>
      <w:r w:rsidR="00B40C9A">
        <w:rPr>
          <w:rFonts w:cs="Calibri"/>
          <w:lang w:val="en-GB"/>
        </w:rPr>
        <w:t xml:space="preserve"> and procedures</w:t>
      </w:r>
      <w:r>
        <w:rPr>
          <w:rFonts w:cs="Calibri"/>
          <w:lang w:val="en-GB"/>
        </w:rPr>
        <w:t xml:space="preserve"> to structure the Libyan national blood system</w:t>
      </w:r>
      <w:r w:rsidR="00B40C9A">
        <w:rPr>
          <w:rFonts w:cs="Calibri"/>
          <w:lang w:val="en-GB"/>
        </w:rPr>
        <w:t xml:space="preserve"> and contribute to its sustainability and continuity</w:t>
      </w:r>
      <w:r>
        <w:rPr>
          <w:rFonts w:cs="Calibri"/>
          <w:lang w:val="en-GB"/>
        </w:rPr>
        <w:t xml:space="preserve">. Subsequently it will be to ensure all documents are based on a national policy, proper legislative and regulatory framework and have adequate financing. </w:t>
      </w:r>
    </w:p>
    <w:p w14:paraId="70F28EAD" w14:textId="77777777" w:rsidR="00B66B91" w:rsidRPr="00AC4108" w:rsidRDefault="00B66B91" w:rsidP="00FB294F">
      <w:pPr>
        <w:pStyle w:val="Paragraphedeliste"/>
        <w:spacing w:line="240" w:lineRule="auto"/>
        <w:ind w:left="567"/>
        <w:jc w:val="both"/>
        <w:rPr>
          <w:rFonts w:cs="Calibri"/>
          <w:b/>
          <w:lang w:val="en-GB"/>
        </w:rPr>
      </w:pPr>
    </w:p>
    <w:p w14:paraId="2458689A" w14:textId="794F08A7" w:rsidR="00B66B91" w:rsidRDefault="00FF4132" w:rsidP="00FB294F">
      <w:pPr>
        <w:pStyle w:val="Paragraphedeliste"/>
        <w:numPr>
          <w:ilvl w:val="1"/>
          <w:numId w:val="6"/>
        </w:numPr>
        <w:spacing w:line="240" w:lineRule="auto"/>
        <w:ind w:left="567"/>
        <w:jc w:val="both"/>
        <w:rPr>
          <w:rFonts w:cs="Calibri"/>
          <w:b/>
          <w:lang w:val="en-GB"/>
        </w:rPr>
      </w:pPr>
      <w:r>
        <w:rPr>
          <w:rFonts w:cs="Calibri"/>
          <w:b/>
          <w:u w:val="single"/>
          <w:lang w:val="en-GB"/>
        </w:rPr>
        <w:t>Output 2</w:t>
      </w:r>
      <w:r>
        <w:rPr>
          <w:rFonts w:cs="Calibri"/>
          <w:b/>
          <w:lang w:val="en-GB"/>
        </w:rPr>
        <w:t xml:space="preserve">: </w:t>
      </w:r>
      <w:r w:rsidR="006579C0" w:rsidRPr="006579C0">
        <w:rPr>
          <w:rFonts w:cs="Calibri"/>
          <w:lang w:val="en-GB"/>
        </w:rPr>
        <w:t>Blood transfusion national standards and related documents are set as national references, updated and controlled by the NBTSA. They are reached in consensus with blood establishments to improve blood safety</w:t>
      </w:r>
      <w:r>
        <w:rPr>
          <w:rFonts w:cs="Calibri"/>
          <w:lang w:val="en-GB"/>
        </w:rPr>
        <w:t>.</w:t>
      </w:r>
    </w:p>
    <w:p w14:paraId="6EB1A932" w14:textId="68F3BE93" w:rsidR="00B66B91" w:rsidRDefault="00FF4132" w:rsidP="00FB294F">
      <w:pPr>
        <w:spacing w:after="0" w:line="240" w:lineRule="auto"/>
        <w:ind w:left="567"/>
        <w:jc w:val="both"/>
        <w:rPr>
          <w:rFonts w:cs="Calibri"/>
          <w:lang w:val="en-GB"/>
        </w:rPr>
      </w:pPr>
      <w:r>
        <w:rPr>
          <w:rFonts w:cs="Calibri"/>
          <w:lang w:val="en-GB"/>
        </w:rPr>
        <w:t xml:space="preserve">The support will be focused on the creation of the blood transfusion standards - from donor to patient - to be used as national references for all operations and management: Standard operating procedures, Equipment operating procedures and Job descriptions –functional </w:t>
      </w:r>
      <w:r w:rsidR="00B40C9A">
        <w:rPr>
          <w:rFonts w:cs="Calibri"/>
          <w:lang w:val="en-GB"/>
        </w:rPr>
        <w:t xml:space="preserve">or operational </w:t>
      </w:r>
      <w:r>
        <w:rPr>
          <w:rFonts w:cs="Calibri"/>
          <w:lang w:val="en-GB"/>
        </w:rPr>
        <w:t>parts;</w:t>
      </w:r>
    </w:p>
    <w:p w14:paraId="71D8FC12" w14:textId="77777777" w:rsidR="00B66B91" w:rsidRPr="00AC4108" w:rsidRDefault="00B66B91" w:rsidP="00FB294F">
      <w:pPr>
        <w:pStyle w:val="Paragraphedeliste"/>
        <w:spacing w:line="240" w:lineRule="auto"/>
        <w:ind w:left="567"/>
        <w:rPr>
          <w:rFonts w:cs="Calibri"/>
          <w:b/>
          <w:lang w:val="en-GB"/>
        </w:rPr>
      </w:pPr>
    </w:p>
    <w:p w14:paraId="2C4B2B43" w14:textId="74FCF263" w:rsidR="00B66B91" w:rsidRDefault="00FF4132" w:rsidP="00FB294F">
      <w:pPr>
        <w:pStyle w:val="Paragraphedeliste"/>
        <w:numPr>
          <w:ilvl w:val="1"/>
          <w:numId w:val="6"/>
        </w:numPr>
        <w:spacing w:line="240" w:lineRule="auto"/>
        <w:ind w:left="567"/>
        <w:jc w:val="both"/>
        <w:rPr>
          <w:rFonts w:cs="Calibri"/>
          <w:b/>
          <w:lang w:val="en-GB"/>
        </w:rPr>
      </w:pPr>
      <w:r>
        <w:rPr>
          <w:rFonts w:cs="Calibri"/>
          <w:b/>
          <w:u w:val="single"/>
          <w:lang w:val="en-GB"/>
        </w:rPr>
        <w:t>Output 3</w:t>
      </w:r>
      <w:r>
        <w:rPr>
          <w:rFonts w:cs="Calibri"/>
          <w:b/>
          <w:lang w:val="en-GB"/>
        </w:rPr>
        <w:t xml:space="preserve">: </w:t>
      </w:r>
      <w:r w:rsidR="006579C0" w:rsidRPr="006579C0">
        <w:rPr>
          <w:rFonts w:cs="Calibri"/>
          <w:lang w:val="en-GB"/>
        </w:rPr>
        <w:t>A Transfusion Medicine documentation system that covers all vein to vein processes is established</w:t>
      </w:r>
      <w:r>
        <w:rPr>
          <w:rFonts w:cs="Calibri"/>
          <w:lang w:val="en-GB"/>
        </w:rPr>
        <w:t>.</w:t>
      </w:r>
    </w:p>
    <w:p w14:paraId="5AC77265" w14:textId="3C8E7676" w:rsidR="00B66B91" w:rsidRDefault="00FF4132" w:rsidP="00FB294F">
      <w:pPr>
        <w:spacing w:after="0" w:line="240" w:lineRule="auto"/>
        <w:ind w:left="567"/>
        <w:jc w:val="both"/>
        <w:rPr>
          <w:rFonts w:cs="Calibri"/>
          <w:lang w:val="en-GB"/>
        </w:rPr>
      </w:pPr>
      <w:r>
        <w:rPr>
          <w:rFonts w:cs="Calibri"/>
          <w:lang w:val="en-GB"/>
        </w:rPr>
        <w:t xml:space="preserve">It should include support the creation of a national documentation </w:t>
      </w:r>
      <w:r w:rsidR="00DA0C46">
        <w:rPr>
          <w:lang w:val="en-US"/>
        </w:rPr>
        <w:t xml:space="preserve">(identification and traceability) </w:t>
      </w:r>
      <w:r>
        <w:rPr>
          <w:rFonts w:cs="Calibri"/>
          <w:lang w:val="en-GB"/>
        </w:rPr>
        <w:t>system implemented at blood establishment level to gather all Outputs 1 and 2 related or induced records, forms, reports, attachments, operating manuals</w:t>
      </w:r>
      <w:r w:rsidR="006579C0">
        <w:rPr>
          <w:rFonts w:cs="Calibri"/>
          <w:lang w:val="en-GB"/>
        </w:rPr>
        <w:t>.</w:t>
      </w:r>
    </w:p>
    <w:p w14:paraId="38F0EBD2" w14:textId="77777777" w:rsidR="00B66B91" w:rsidRPr="00AC4108" w:rsidRDefault="00B66B91" w:rsidP="00FB294F">
      <w:pPr>
        <w:pStyle w:val="Paragraphedeliste"/>
        <w:spacing w:line="240" w:lineRule="auto"/>
        <w:ind w:left="567"/>
        <w:rPr>
          <w:rFonts w:cs="Calibri"/>
          <w:b/>
          <w:lang w:val="en-GB"/>
        </w:rPr>
      </w:pPr>
    </w:p>
    <w:p w14:paraId="0D93A1EC" w14:textId="19972616" w:rsidR="00B66B91" w:rsidRDefault="00FF4132" w:rsidP="00FB294F">
      <w:pPr>
        <w:pStyle w:val="Paragraphedeliste"/>
        <w:numPr>
          <w:ilvl w:val="1"/>
          <w:numId w:val="6"/>
        </w:numPr>
        <w:spacing w:line="240" w:lineRule="auto"/>
        <w:ind w:left="567"/>
        <w:jc w:val="both"/>
        <w:rPr>
          <w:rFonts w:cs="Calibri"/>
          <w:b/>
          <w:lang w:val="en-GB"/>
        </w:rPr>
      </w:pPr>
      <w:r>
        <w:rPr>
          <w:rFonts w:cs="Calibri"/>
          <w:b/>
          <w:u w:val="single"/>
          <w:lang w:val="en-GB"/>
        </w:rPr>
        <w:t>Output 4</w:t>
      </w:r>
      <w:r>
        <w:rPr>
          <w:rFonts w:cs="Calibri"/>
          <w:b/>
          <w:lang w:val="en-GB"/>
        </w:rPr>
        <w:t xml:space="preserve">: </w:t>
      </w:r>
      <w:r w:rsidR="0018765C" w:rsidRPr="0018765C">
        <w:rPr>
          <w:rFonts w:cs="Calibri"/>
          <w:lang w:val="en-GB"/>
        </w:rPr>
        <w:t>Employees of blood establishments and hospitals strengthen the knowledge and skills through the implementation of a nationwide continuing professional training programme</w:t>
      </w:r>
      <w:r>
        <w:rPr>
          <w:rFonts w:cs="Calibri"/>
          <w:lang w:val="en-GB"/>
        </w:rPr>
        <w:t>.</w:t>
      </w:r>
    </w:p>
    <w:p w14:paraId="73B78AE9" w14:textId="487CE053" w:rsidR="00B66B91" w:rsidRDefault="00FF4132" w:rsidP="00FB294F">
      <w:pPr>
        <w:spacing w:after="0" w:line="240" w:lineRule="auto"/>
        <w:ind w:left="567"/>
        <w:jc w:val="both"/>
        <w:rPr>
          <w:rFonts w:cs="Calibri"/>
          <w:lang w:val="en-GB"/>
        </w:rPr>
      </w:pPr>
      <w:r>
        <w:rPr>
          <w:rFonts w:cs="Calibri"/>
          <w:lang w:val="en-GB"/>
        </w:rPr>
        <w:t xml:space="preserve">The objective would be to support the </w:t>
      </w:r>
      <w:r w:rsidR="00DA0C46">
        <w:rPr>
          <w:rFonts w:cs="Calibri"/>
          <w:lang w:val="en-GB"/>
        </w:rPr>
        <w:t>National Blood Transfusion Authority</w:t>
      </w:r>
      <w:r>
        <w:rPr>
          <w:rFonts w:cs="Calibri"/>
          <w:lang w:val="en-GB"/>
        </w:rPr>
        <w:t xml:space="preserve"> in organizing, promoting and implementing a nationwide continuous professional teaching and training programme for employees in blood establishments and hospitals</w:t>
      </w:r>
      <w:r w:rsidR="006579C0">
        <w:rPr>
          <w:rFonts w:cs="Calibri"/>
          <w:lang w:val="en-GB"/>
        </w:rPr>
        <w:t>.</w:t>
      </w:r>
    </w:p>
    <w:p w14:paraId="625EC9B6" w14:textId="77777777" w:rsidR="00B66B91" w:rsidRPr="00AC4108" w:rsidRDefault="00B66B91">
      <w:pPr>
        <w:pStyle w:val="Paragraphedeliste"/>
        <w:spacing w:line="240" w:lineRule="auto"/>
        <w:rPr>
          <w:rFonts w:cs="Calibri"/>
          <w:b/>
          <w:lang w:val="en-GB"/>
        </w:rPr>
      </w:pPr>
    </w:p>
    <w:p w14:paraId="696D3417" w14:textId="4A3BDD41" w:rsidR="00B66B91" w:rsidRDefault="00FF4132" w:rsidP="00FB294F">
      <w:pPr>
        <w:pStyle w:val="Paragraphedeliste"/>
        <w:numPr>
          <w:ilvl w:val="1"/>
          <w:numId w:val="6"/>
        </w:numPr>
        <w:spacing w:line="240" w:lineRule="auto"/>
        <w:ind w:left="567"/>
        <w:jc w:val="both"/>
        <w:rPr>
          <w:rFonts w:cs="Calibri"/>
          <w:b/>
          <w:lang w:val="en-GB"/>
        </w:rPr>
      </w:pPr>
      <w:r>
        <w:rPr>
          <w:rFonts w:cs="Calibri"/>
          <w:b/>
          <w:u w:val="single"/>
          <w:lang w:val="en-GB"/>
        </w:rPr>
        <w:t>Output 5</w:t>
      </w:r>
      <w:r>
        <w:rPr>
          <w:rFonts w:cs="Calibri"/>
          <w:b/>
          <w:lang w:val="en-GB"/>
        </w:rPr>
        <w:t xml:space="preserve">: </w:t>
      </w:r>
      <w:r w:rsidR="0018765C" w:rsidRPr="0018765C">
        <w:rPr>
          <w:rFonts w:cs="Calibri"/>
          <w:lang w:val="en-GB"/>
        </w:rPr>
        <w:t>Compliance with set standards (monitoring and evaluation, haemovigilance) in blood banks is controlled by a national system of assessment</w:t>
      </w:r>
      <w:r>
        <w:rPr>
          <w:rFonts w:cs="Calibri"/>
          <w:lang w:val="en-GB"/>
        </w:rPr>
        <w:t>.</w:t>
      </w:r>
    </w:p>
    <w:p w14:paraId="1D74428E" w14:textId="5856A83B" w:rsidR="00B66B91" w:rsidRDefault="00FF4132" w:rsidP="00FB294F">
      <w:pPr>
        <w:spacing w:after="0" w:line="240" w:lineRule="auto"/>
        <w:ind w:left="567"/>
        <w:jc w:val="both"/>
        <w:rPr>
          <w:rFonts w:cs="Calibri"/>
          <w:lang w:val="en-GB"/>
        </w:rPr>
      </w:pPr>
      <w:r>
        <w:rPr>
          <w:rFonts w:cs="Calibri"/>
          <w:lang w:val="en-GB"/>
        </w:rPr>
        <w:t>The activities would be focused on supporting the creation and organization of a national system of assessment and monitoring/evaluation to control compliance with set standards (monitoring and evaluation, statistical process control, haemovigilance)</w:t>
      </w:r>
      <w:r w:rsidR="00613B9D">
        <w:rPr>
          <w:rFonts w:cs="Calibri"/>
          <w:lang w:val="en-GB"/>
        </w:rPr>
        <w:t>.</w:t>
      </w:r>
    </w:p>
    <w:p w14:paraId="37783D91" w14:textId="77777777" w:rsidR="00B66B91" w:rsidRPr="00AC4108" w:rsidRDefault="00B66B91" w:rsidP="00FB294F">
      <w:pPr>
        <w:pStyle w:val="Paragraphedeliste"/>
        <w:spacing w:line="240" w:lineRule="auto"/>
        <w:ind w:left="567"/>
        <w:rPr>
          <w:rFonts w:cs="Calibri"/>
          <w:b/>
          <w:lang w:val="en-GB"/>
        </w:rPr>
      </w:pPr>
    </w:p>
    <w:p w14:paraId="1ADEB3DA" w14:textId="2EB6FCA2" w:rsidR="00B66B91" w:rsidRDefault="00FF4132" w:rsidP="00FB294F">
      <w:pPr>
        <w:pStyle w:val="Paragraphedeliste"/>
        <w:numPr>
          <w:ilvl w:val="1"/>
          <w:numId w:val="6"/>
        </w:numPr>
        <w:spacing w:line="240" w:lineRule="auto"/>
        <w:ind w:left="567"/>
        <w:jc w:val="both"/>
        <w:rPr>
          <w:rFonts w:cs="Calibri"/>
          <w:b/>
          <w:lang w:val="en-GB"/>
        </w:rPr>
      </w:pPr>
      <w:r>
        <w:rPr>
          <w:rFonts w:cs="Calibri"/>
          <w:b/>
          <w:u w:val="single"/>
          <w:lang w:val="en-GB"/>
        </w:rPr>
        <w:t>Output 6</w:t>
      </w:r>
      <w:r>
        <w:rPr>
          <w:rFonts w:cs="Calibri"/>
          <w:b/>
          <w:lang w:val="en-GB"/>
        </w:rPr>
        <w:t xml:space="preserve">: </w:t>
      </w:r>
      <w:r w:rsidR="0018765C" w:rsidRPr="0018765C">
        <w:rPr>
          <w:rFonts w:cs="Calibri"/>
          <w:lang w:val="en-GB"/>
        </w:rPr>
        <w:t>Factors limiting individual blood donations within the population in Libya are reduced by implementation of a communication plan, awareness campaigns and a national donor management programme</w:t>
      </w:r>
      <w:r>
        <w:rPr>
          <w:rFonts w:cs="Calibri"/>
          <w:lang w:val="en-GB"/>
        </w:rPr>
        <w:t>.</w:t>
      </w:r>
    </w:p>
    <w:p w14:paraId="29E09CDD" w14:textId="77777777" w:rsidR="00B66B91" w:rsidRDefault="00FF4132" w:rsidP="00D646FF">
      <w:pPr>
        <w:spacing w:after="240" w:line="240" w:lineRule="auto"/>
        <w:ind w:left="567"/>
        <w:jc w:val="both"/>
        <w:rPr>
          <w:rFonts w:cs="Calibri"/>
          <w:lang w:val="en-GB"/>
        </w:rPr>
      </w:pPr>
      <w:r>
        <w:rPr>
          <w:rFonts w:cs="Calibri"/>
          <w:lang w:val="en-GB"/>
        </w:rPr>
        <w:t xml:space="preserve">A research study on factors limiting individual blood donations in Libya was conducted at the start of Phase 1 of the project. Its results were taken into account in the national communication and awareness strategy elaborated during phase 2 and which will be implemented in Phase 2. During phase 2, a second study will be conducted after the implementation of the awareness campaigns to analyze their impact and thus assess the extent to which they remove obstacles to blood donation. </w:t>
      </w:r>
    </w:p>
    <w:p w14:paraId="068BB276" w14:textId="77777777" w:rsidR="00B124CE" w:rsidRDefault="00B124CE">
      <w:pPr>
        <w:spacing w:after="0" w:line="240" w:lineRule="auto"/>
        <w:jc w:val="both"/>
        <w:rPr>
          <w:rFonts w:cs="Calibri"/>
          <w:b/>
          <w:bCs/>
          <w:lang w:val="en-GB" w:eastAsia="fr-FR"/>
        </w:rPr>
      </w:pPr>
    </w:p>
    <w:p w14:paraId="6A2B0062" w14:textId="77777777" w:rsidR="004315E6" w:rsidRPr="00D646FF" w:rsidRDefault="004315E6" w:rsidP="00D646FF">
      <w:pPr>
        <w:pStyle w:val="EXP-Titre1"/>
        <w:ind w:left="357" w:hanging="357"/>
        <w:rPr>
          <w:lang w:val="en-GB"/>
        </w:rPr>
      </w:pPr>
      <w:r w:rsidRPr="00D646FF">
        <w:rPr>
          <w:lang w:val="en-GB"/>
        </w:rPr>
        <w:t>E-LEARNING MANAGEMENT SYSTEM</w:t>
      </w:r>
    </w:p>
    <w:p w14:paraId="0EBA8C71" w14:textId="68EE4FFB" w:rsidR="004315E6" w:rsidRPr="00D2005E" w:rsidRDefault="004315E6" w:rsidP="00DC5963">
      <w:pPr>
        <w:spacing w:after="0" w:line="240" w:lineRule="auto"/>
        <w:jc w:val="both"/>
        <w:rPr>
          <w:rFonts w:cs="Calibri"/>
          <w:bCs/>
          <w:lang w:val="en-GB" w:eastAsia="fr-FR"/>
        </w:rPr>
      </w:pPr>
      <w:r>
        <w:rPr>
          <w:rFonts w:cs="Calibri"/>
          <w:bCs/>
          <w:lang w:val="en-GB" w:eastAsia="fr-FR"/>
        </w:rPr>
        <w:t>W</w:t>
      </w:r>
      <w:r w:rsidRPr="00D2005E">
        <w:rPr>
          <w:rFonts w:cs="Calibri"/>
          <w:bCs/>
          <w:lang w:val="en-GB" w:eastAsia="fr-FR"/>
        </w:rPr>
        <w:t>hen COVID-19 outbreak started to paralyse most countries</w:t>
      </w:r>
      <w:r>
        <w:rPr>
          <w:rFonts w:cs="Calibri"/>
          <w:bCs/>
          <w:lang w:val="en-GB" w:eastAsia="fr-FR"/>
        </w:rPr>
        <w:t xml:space="preserve"> During MENDAMI 1, project stakeholders </w:t>
      </w:r>
      <w:r w:rsidRPr="00D2005E">
        <w:rPr>
          <w:rFonts w:cs="Calibri"/>
          <w:bCs/>
          <w:lang w:val="en-GB" w:eastAsia="fr-FR"/>
        </w:rPr>
        <w:t xml:space="preserve">agreed to a proposition made by EF to bring most of the training activities </w:t>
      </w:r>
      <w:r w:rsidR="00DC5963">
        <w:rPr>
          <w:rFonts w:cs="Calibri"/>
          <w:bCs/>
          <w:lang w:val="en-GB" w:eastAsia="fr-FR"/>
        </w:rPr>
        <w:t xml:space="preserve">planned for Libyan professionals </w:t>
      </w:r>
      <w:r w:rsidRPr="00D2005E">
        <w:rPr>
          <w:rFonts w:cs="Calibri"/>
          <w:bCs/>
          <w:lang w:val="en-GB" w:eastAsia="fr-FR"/>
        </w:rPr>
        <w:t xml:space="preserve">online. An e-learning company (Edufactory) was then recruited to design and build </w:t>
      </w:r>
      <w:r>
        <w:rPr>
          <w:rFonts w:cs="Calibri"/>
          <w:bCs/>
          <w:lang w:val="en-GB" w:eastAsia="fr-FR"/>
        </w:rPr>
        <w:t xml:space="preserve">an online </w:t>
      </w:r>
      <w:r w:rsidRPr="00FF1DB0">
        <w:rPr>
          <w:rFonts w:cs="Calibri"/>
          <w:bCs/>
          <w:lang w:val="en-GB" w:eastAsia="fr-FR"/>
        </w:rPr>
        <w:t xml:space="preserve">learning management system </w:t>
      </w:r>
      <w:r>
        <w:rPr>
          <w:rFonts w:cs="Calibri"/>
          <w:bCs/>
          <w:lang w:val="en-GB" w:eastAsia="fr-FR"/>
        </w:rPr>
        <w:t xml:space="preserve">(LMS) </w:t>
      </w:r>
      <w:r w:rsidRPr="00D2005E">
        <w:rPr>
          <w:rFonts w:cs="Calibri"/>
          <w:bCs/>
          <w:lang w:val="en-GB" w:eastAsia="fr-FR"/>
        </w:rPr>
        <w:t>that would contain a course</w:t>
      </w:r>
      <w:r w:rsidR="00432D31">
        <w:rPr>
          <w:rFonts w:cs="Calibri"/>
          <w:bCs/>
          <w:lang w:val="en-GB" w:eastAsia="fr-FR"/>
        </w:rPr>
        <w:t xml:space="preserve"> in Arabic</w:t>
      </w:r>
      <w:r w:rsidRPr="00D2005E">
        <w:rPr>
          <w:rFonts w:cs="Calibri"/>
          <w:bCs/>
          <w:lang w:val="en-GB" w:eastAsia="fr-FR"/>
        </w:rPr>
        <w:t xml:space="preserve"> whose scientific content would be developed by </w:t>
      </w:r>
      <w:r>
        <w:rPr>
          <w:rFonts w:cs="Calibri"/>
          <w:bCs/>
          <w:lang w:val="en-GB" w:eastAsia="fr-FR"/>
        </w:rPr>
        <w:t>experts mobilised on the project</w:t>
      </w:r>
      <w:r w:rsidRPr="00D2005E">
        <w:rPr>
          <w:rFonts w:cs="Calibri"/>
          <w:bCs/>
          <w:lang w:val="en-GB" w:eastAsia="fr-FR"/>
        </w:rPr>
        <w:t xml:space="preserve"> after international best practices</w:t>
      </w:r>
      <w:r>
        <w:rPr>
          <w:rFonts w:cs="Calibri"/>
          <w:bCs/>
          <w:lang w:val="en-GB" w:eastAsia="fr-FR"/>
        </w:rPr>
        <w:t>.</w:t>
      </w:r>
    </w:p>
    <w:p w14:paraId="25AA808D" w14:textId="77777777" w:rsidR="004315E6" w:rsidRDefault="004315E6" w:rsidP="004315E6">
      <w:pPr>
        <w:spacing w:after="0" w:line="240" w:lineRule="auto"/>
        <w:jc w:val="both"/>
        <w:rPr>
          <w:rFonts w:cs="Calibri"/>
          <w:b/>
          <w:bCs/>
          <w:lang w:val="en-GB" w:eastAsia="fr-FR"/>
        </w:rPr>
      </w:pPr>
    </w:p>
    <w:p w14:paraId="19126F3A" w14:textId="77777777" w:rsidR="004315E6" w:rsidRDefault="004315E6" w:rsidP="00170B9C">
      <w:pPr>
        <w:spacing w:after="120" w:line="240" w:lineRule="auto"/>
        <w:jc w:val="both"/>
        <w:rPr>
          <w:rFonts w:cs="Calibri"/>
          <w:bCs/>
          <w:lang w:val="en-GB" w:eastAsia="fr-FR"/>
        </w:rPr>
      </w:pPr>
      <w:r w:rsidRPr="008073F9">
        <w:rPr>
          <w:rFonts w:cs="Calibri"/>
          <w:bCs/>
          <w:lang w:val="en-GB" w:eastAsia="fr-FR"/>
        </w:rPr>
        <w:t xml:space="preserve">To set-up the content of the online training, </w:t>
      </w:r>
      <w:r>
        <w:rPr>
          <w:rFonts w:cs="Calibri"/>
          <w:bCs/>
          <w:lang w:val="en-GB" w:eastAsia="fr-FR"/>
        </w:rPr>
        <w:t>project experts</w:t>
      </w:r>
      <w:r w:rsidRPr="008073F9">
        <w:rPr>
          <w:rFonts w:cs="Calibri"/>
          <w:bCs/>
          <w:lang w:val="en-GB" w:eastAsia="fr-FR"/>
        </w:rPr>
        <w:t xml:space="preserve"> worked with Edufactory on creating seven modules covering all processes from vein to vein, </w:t>
      </w:r>
      <w:r>
        <w:rPr>
          <w:rFonts w:cs="Calibri"/>
          <w:bCs/>
          <w:lang w:val="en-GB" w:eastAsia="fr-FR"/>
        </w:rPr>
        <w:t>that is from donors to patients:</w:t>
      </w:r>
    </w:p>
    <w:p w14:paraId="7341BAEA" w14:textId="77777777" w:rsidR="004315E6" w:rsidRPr="008073F9" w:rsidRDefault="004315E6" w:rsidP="004315E6">
      <w:pPr>
        <w:spacing w:after="0" w:line="240" w:lineRule="auto"/>
        <w:ind w:left="567"/>
        <w:jc w:val="both"/>
        <w:rPr>
          <w:rFonts w:cs="Calibri"/>
          <w:bCs/>
          <w:lang w:val="en-GB" w:eastAsia="fr-FR"/>
        </w:rPr>
      </w:pPr>
      <w:r w:rsidRPr="008073F9">
        <w:rPr>
          <w:rFonts w:cs="Calibri"/>
          <w:bCs/>
          <w:lang w:val="en-GB" w:eastAsia="fr-FR"/>
        </w:rPr>
        <w:t>1. Selection and recruitment of blood donors</w:t>
      </w:r>
    </w:p>
    <w:p w14:paraId="3BACA1B6" w14:textId="77777777" w:rsidR="004315E6" w:rsidRPr="008073F9" w:rsidRDefault="004315E6" w:rsidP="004315E6">
      <w:pPr>
        <w:spacing w:after="0" w:line="240" w:lineRule="auto"/>
        <w:ind w:left="567"/>
        <w:jc w:val="both"/>
        <w:rPr>
          <w:rFonts w:cs="Calibri"/>
          <w:bCs/>
          <w:lang w:val="en-GB" w:eastAsia="fr-FR"/>
        </w:rPr>
      </w:pPr>
      <w:r w:rsidRPr="008073F9">
        <w:rPr>
          <w:rFonts w:cs="Calibri"/>
          <w:bCs/>
          <w:lang w:val="en-GB" w:eastAsia="fr-FR"/>
        </w:rPr>
        <w:t>2. Blood collection</w:t>
      </w:r>
    </w:p>
    <w:p w14:paraId="68C4A2F3" w14:textId="77777777" w:rsidR="004315E6" w:rsidRPr="008073F9" w:rsidRDefault="004315E6" w:rsidP="004315E6">
      <w:pPr>
        <w:spacing w:after="0" w:line="240" w:lineRule="auto"/>
        <w:ind w:left="567"/>
        <w:jc w:val="both"/>
        <w:rPr>
          <w:rFonts w:cs="Calibri"/>
          <w:bCs/>
          <w:lang w:val="en-GB" w:eastAsia="fr-FR"/>
        </w:rPr>
      </w:pPr>
      <w:r w:rsidRPr="008073F9">
        <w:rPr>
          <w:rFonts w:cs="Calibri"/>
          <w:bCs/>
          <w:lang w:val="en-GB" w:eastAsia="fr-FR"/>
        </w:rPr>
        <w:t>3. Blood processing and storage</w:t>
      </w:r>
    </w:p>
    <w:p w14:paraId="5AAC2A54" w14:textId="77777777" w:rsidR="004315E6" w:rsidRPr="008073F9" w:rsidRDefault="004315E6" w:rsidP="004315E6">
      <w:pPr>
        <w:spacing w:after="0" w:line="240" w:lineRule="auto"/>
        <w:ind w:left="567"/>
        <w:jc w:val="both"/>
        <w:rPr>
          <w:rFonts w:cs="Calibri"/>
          <w:bCs/>
          <w:lang w:val="en-GB" w:eastAsia="fr-FR"/>
        </w:rPr>
      </w:pPr>
      <w:r w:rsidRPr="008073F9">
        <w:rPr>
          <w:rFonts w:cs="Calibri"/>
          <w:bCs/>
          <w:lang w:val="en-GB" w:eastAsia="fr-FR"/>
        </w:rPr>
        <w:t>4. Transfusion transmitted infection testing</w:t>
      </w:r>
    </w:p>
    <w:p w14:paraId="19E0C17E" w14:textId="77777777" w:rsidR="004315E6" w:rsidRPr="008073F9" w:rsidRDefault="004315E6" w:rsidP="004315E6">
      <w:pPr>
        <w:spacing w:after="0" w:line="240" w:lineRule="auto"/>
        <w:ind w:left="567"/>
        <w:jc w:val="both"/>
        <w:rPr>
          <w:rFonts w:cs="Calibri"/>
          <w:bCs/>
          <w:lang w:val="en-GB" w:eastAsia="fr-FR"/>
        </w:rPr>
      </w:pPr>
      <w:r w:rsidRPr="008073F9">
        <w:rPr>
          <w:rFonts w:cs="Calibri"/>
          <w:bCs/>
          <w:lang w:val="en-GB" w:eastAsia="fr-FR"/>
        </w:rPr>
        <w:t>5. Blood compatibility testing</w:t>
      </w:r>
    </w:p>
    <w:p w14:paraId="5E6BC49B" w14:textId="77777777" w:rsidR="004315E6" w:rsidRPr="008073F9" w:rsidRDefault="004315E6" w:rsidP="004315E6">
      <w:pPr>
        <w:spacing w:after="0" w:line="240" w:lineRule="auto"/>
        <w:ind w:left="567"/>
        <w:jc w:val="both"/>
        <w:rPr>
          <w:rFonts w:cs="Calibri"/>
          <w:bCs/>
          <w:lang w:val="en-GB" w:eastAsia="fr-FR"/>
        </w:rPr>
      </w:pPr>
      <w:r w:rsidRPr="008073F9">
        <w:rPr>
          <w:rFonts w:cs="Calibri"/>
          <w:bCs/>
          <w:lang w:val="en-GB" w:eastAsia="fr-FR"/>
        </w:rPr>
        <w:t>6. Transfusion at the bedside</w:t>
      </w:r>
    </w:p>
    <w:p w14:paraId="6762533C" w14:textId="77777777" w:rsidR="004315E6" w:rsidRPr="008073F9" w:rsidRDefault="004315E6" w:rsidP="004315E6">
      <w:pPr>
        <w:spacing w:after="0" w:line="240" w:lineRule="auto"/>
        <w:ind w:left="567"/>
        <w:jc w:val="both"/>
        <w:rPr>
          <w:rFonts w:cs="Calibri"/>
          <w:bCs/>
          <w:lang w:val="en-GB" w:eastAsia="fr-FR"/>
        </w:rPr>
      </w:pPr>
      <w:r w:rsidRPr="008073F9">
        <w:rPr>
          <w:rFonts w:cs="Calibri"/>
          <w:bCs/>
          <w:lang w:val="en-GB" w:eastAsia="fr-FR"/>
        </w:rPr>
        <w:t>7. Quality Management in Transfusion Medicine</w:t>
      </w:r>
    </w:p>
    <w:p w14:paraId="42201856" w14:textId="083340AC" w:rsidR="004315E6" w:rsidRPr="004B04C5" w:rsidRDefault="004315E6" w:rsidP="004315E6">
      <w:pPr>
        <w:pBdr>
          <w:between w:val="nil"/>
        </w:pBdr>
        <w:spacing w:before="120" w:after="120"/>
        <w:jc w:val="both"/>
        <w:rPr>
          <w:i/>
          <w:color w:val="000000"/>
          <w:u w:val="single"/>
          <w:lang w:val="en-GB"/>
        </w:rPr>
      </w:pPr>
      <w:r w:rsidRPr="004B04C5">
        <w:rPr>
          <w:color w:val="000000"/>
          <w:lang w:val="en-GB"/>
        </w:rPr>
        <w:t>Each module</w:t>
      </w:r>
      <w:r w:rsidR="00C22591">
        <w:rPr>
          <w:color w:val="000000"/>
          <w:lang w:val="en-GB"/>
        </w:rPr>
        <w:t>, composed of various chapters,</w:t>
      </w:r>
      <w:r w:rsidRPr="004B04C5">
        <w:rPr>
          <w:color w:val="000000"/>
          <w:lang w:val="en-GB"/>
        </w:rPr>
        <w:t xml:space="preserve"> was intended to a specific audience in the blood banks or in the hospitals. In principle staff ha</w:t>
      </w:r>
      <w:r w:rsidR="001768EA">
        <w:rPr>
          <w:color w:val="000000"/>
          <w:lang w:val="en-GB"/>
        </w:rPr>
        <w:t>ve</w:t>
      </w:r>
      <w:r w:rsidRPr="004B04C5">
        <w:rPr>
          <w:color w:val="000000"/>
          <w:lang w:val="en-GB"/>
        </w:rPr>
        <w:t xml:space="preserve"> a specific training (i.e. a certain number of modules)</w:t>
      </w:r>
      <w:r w:rsidR="00F873E2">
        <w:rPr>
          <w:color w:val="000000"/>
          <w:lang w:val="en-GB"/>
        </w:rPr>
        <w:t xml:space="preserve"> according to their profession and d</w:t>
      </w:r>
      <w:r w:rsidRPr="004B04C5">
        <w:rPr>
          <w:color w:val="000000"/>
          <w:lang w:val="en-GB"/>
        </w:rPr>
        <w:t xml:space="preserve">octors have access to all modules. Staff are evaluated </w:t>
      </w:r>
      <w:r w:rsidR="00F873E2">
        <w:rPr>
          <w:color w:val="000000"/>
          <w:lang w:val="en-GB"/>
        </w:rPr>
        <w:t xml:space="preserve">after each module </w:t>
      </w:r>
      <w:r w:rsidRPr="004B04C5">
        <w:rPr>
          <w:color w:val="000000"/>
          <w:lang w:val="en-GB"/>
        </w:rPr>
        <w:t>and will receive a certificate only upon completion of this pre-arranged set of modules</w:t>
      </w:r>
      <w:r>
        <w:rPr>
          <w:color w:val="000000"/>
          <w:lang w:val="en-GB"/>
        </w:rPr>
        <w:t>.</w:t>
      </w:r>
    </w:p>
    <w:p w14:paraId="58133EE1" w14:textId="77777777" w:rsidR="00753674" w:rsidRDefault="00753674" w:rsidP="004315E6">
      <w:pPr>
        <w:pBdr>
          <w:between w:val="nil"/>
        </w:pBdr>
        <w:spacing w:before="120" w:after="120"/>
        <w:rPr>
          <w:i/>
          <w:color w:val="000000"/>
          <w:u w:val="single"/>
          <w:lang w:val="en-GB"/>
        </w:rPr>
      </w:pPr>
    </w:p>
    <w:p w14:paraId="64527887" w14:textId="77777777" w:rsidR="004315E6" w:rsidRPr="005D73F6" w:rsidRDefault="004315E6" w:rsidP="004315E6">
      <w:pPr>
        <w:pBdr>
          <w:between w:val="nil"/>
        </w:pBdr>
        <w:spacing w:before="120" w:after="120"/>
        <w:rPr>
          <w:i/>
          <w:color w:val="000000"/>
          <w:u w:val="single"/>
          <w:lang w:val="en-GB"/>
        </w:rPr>
      </w:pPr>
      <w:r w:rsidRPr="005D73F6">
        <w:rPr>
          <w:i/>
          <w:color w:val="000000"/>
          <w:u w:val="single"/>
          <w:lang w:val="en-GB"/>
        </w:rPr>
        <w:t>Modules titles and targets</w:t>
      </w:r>
    </w:p>
    <w:tbl>
      <w:tblPr>
        <w:tblW w:w="8693" w:type="dxa"/>
        <w:tblInd w:w="-5" w:type="dxa"/>
        <w:tblLayout w:type="fixed"/>
        <w:tblLook w:val="0000" w:firstRow="0" w:lastRow="0" w:firstColumn="0" w:lastColumn="0" w:noHBand="0" w:noVBand="0"/>
      </w:tblPr>
      <w:tblGrid>
        <w:gridCol w:w="2268"/>
        <w:gridCol w:w="1008"/>
        <w:gridCol w:w="854"/>
        <w:gridCol w:w="826"/>
        <w:gridCol w:w="1483"/>
        <w:gridCol w:w="1022"/>
        <w:gridCol w:w="1232"/>
      </w:tblGrid>
      <w:tr w:rsidR="006F5D9D" w:rsidRPr="00AC1BA1" w14:paraId="2E97FD76" w14:textId="77777777" w:rsidTr="006C3551">
        <w:trPr>
          <w:trHeight w:val="272"/>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14:paraId="76C82F4B" w14:textId="77777777" w:rsidR="006F5D9D" w:rsidRPr="00F0579C" w:rsidRDefault="006F5D9D" w:rsidP="00037354">
            <w:pPr>
              <w:keepNext/>
              <w:widowControl w:val="0"/>
              <w:pBdr>
                <w:top w:val="nil"/>
                <w:left w:val="nil"/>
                <w:bottom w:val="nil"/>
                <w:right w:val="nil"/>
                <w:between w:val="nil"/>
              </w:pBdr>
              <w:spacing w:before="120" w:after="120" w:line="240" w:lineRule="auto"/>
              <w:rPr>
                <w:rFonts w:ascii="Tinos" w:eastAsia="Tinos" w:hAnsi="Tinos" w:cs="Tinos"/>
                <w:color w:val="000000"/>
                <w:sz w:val="20"/>
                <w:szCs w:val="24"/>
                <w:lang w:val="en-GB" w:eastAsia="zh-CN" w:bidi="hi-IN"/>
              </w:rPr>
            </w:pPr>
            <w:r w:rsidRPr="00F0579C">
              <w:rPr>
                <w:rFonts w:ascii="Tinos" w:eastAsia="Tinos" w:hAnsi="Tinos" w:cs="Tinos"/>
                <w:b/>
                <w:color w:val="FFFFFF"/>
                <w:sz w:val="20"/>
                <w:lang w:val="en-GB" w:eastAsia="zh-CN" w:bidi="hi-IN"/>
              </w:rPr>
              <w:t>MODULES NAMES AND TOPICS</w:t>
            </w:r>
          </w:p>
        </w:tc>
        <w:tc>
          <w:tcPr>
            <w:tcW w:w="5193" w:type="dxa"/>
            <w:gridSpan w:val="5"/>
            <w:tcBorders>
              <w:top w:val="single" w:sz="4" w:space="0" w:color="000000"/>
              <w:left w:val="single" w:sz="4" w:space="0" w:color="000000"/>
              <w:bottom w:val="single" w:sz="4" w:space="0" w:color="000000"/>
              <w:right w:val="single" w:sz="4" w:space="0" w:color="000000"/>
            </w:tcBorders>
            <w:shd w:val="clear" w:color="auto" w:fill="002060"/>
          </w:tcPr>
          <w:p w14:paraId="78CB3EFD" w14:textId="77777777" w:rsidR="006F5D9D" w:rsidRPr="00F0579C" w:rsidRDefault="006F5D9D" w:rsidP="00037354">
            <w:pPr>
              <w:widowControl w:val="0"/>
              <w:pBdr>
                <w:top w:val="nil"/>
                <w:left w:val="nil"/>
                <w:bottom w:val="nil"/>
                <w:right w:val="nil"/>
                <w:between w:val="nil"/>
              </w:pBdr>
              <w:tabs>
                <w:tab w:val="left" w:pos="1980"/>
                <w:tab w:val="center" w:pos="2789"/>
              </w:tabs>
              <w:spacing w:before="120" w:after="120" w:line="240" w:lineRule="auto"/>
              <w:rPr>
                <w:rFonts w:ascii="Tinos" w:eastAsia="Tinos" w:hAnsi="Tinos" w:cs="Tinos"/>
                <w:color w:val="FFFFFF"/>
                <w:sz w:val="20"/>
                <w:szCs w:val="24"/>
                <w:lang w:val="en-GB" w:eastAsia="zh-CN" w:bidi="hi-IN"/>
              </w:rPr>
            </w:pPr>
            <w:r w:rsidRPr="00F0579C">
              <w:rPr>
                <w:rFonts w:ascii="Tinos" w:eastAsia="Tinos" w:hAnsi="Tinos" w:cs="Tinos"/>
                <w:b/>
                <w:color w:val="FFFFFF"/>
                <w:sz w:val="20"/>
                <w:lang w:val="en-GB" w:eastAsia="zh-CN" w:bidi="hi-IN"/>
              </w:rPr>
              <w:tab/>
            </w:r>
            <w:r w:rsidRPr="00F0579C">
              <w:rPr>
                <w:rFonts w:ascii="Tinos" w:eastAsia="Tinos" w:hAnsi="Tinos" w:cs="Tinos"/>
                <w:b/>
                <w:color w:val="FFFFFF"/>
                <w:sz w:val="20"/>
                <w:lang w:val="en-GB" w:eastAsia="zh-CN" w:bidi="hi-IN"/>
              </w:rPr>
              <w:tab/>
              <w:t>TARGETS</w:t>
            </w:r>
          </w:p>
        </w:tc>
        <w:tc>
          <w:tcPr>
            <w:tcW w:w="1232" w:type="dxa"/>
            <w:vMerge w:val="restart"/>
            <w:tcBorders>
              <w:top w:val="single" w:sz="4" w:space="0" w:color="000000"/>
              <w:left w:val="single" w:sz="4" w:space="0" w:color="000000"/>
              <w:right w:val="single" w:sz="4" w:space="0" w:color="000000"/>
            </w:tcBorders>
            <w:shd w:val="clear" w:color="auto" w:fill="002060"/>
            <w:vAlign w:val="center"/>
          </w:tcPr>
          <w:p w14:paraId="283C5BBC"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FFFFFF"/>
                <w:sz w:val="20"/>
                <w:szCs w:val="24"/>
                <w:highlight w:val="yellow"/>
                <w:lang w:val="en-GB" w:eastAsia="zh-CN" w:bidi="hi-IN"/>
              </w:rPr>
            </w:pPr>
            <w:r w:rsidRPr="00F0579C">
              <w:rPr>
                <w:rFonts w:ascii="Tinos" w:eastAsia="Tinos" w:hAnsi="Tinos" w:cs="Tinos"/>
                <w:color w:val="FFFFFF"/>
                <w:sz w:val="20"/>
                <w:lang w:val="en-GB" w:eastAsia="zh-CN" w:bidi="hi-IN"/>
              </w:rPr>
              <w:t xml:space="preserve">Estimated duration </w:t>
            </w:r>
            <w:r w:rsidRPr="00F0579C">
              <w:rPr>
                <w:rFonts w:ascii="Tinos" w:eastAsia="Tinos" w:hAnsi="Tinos" w:cs="Tinos"/>
                <w:i/>
                <w:color w:val="FFFFFF"/>
                <w:sz w:val="20"/>
                <w:lang w:val="en-GB" w:eastAsia="zh-CN" w:bidi="hi-IN"/>
              </w:rPr>
              <w:t>(hours, tests included)</w:t>
            </w:r>
          </w:p>
        </w:tc>
      </w:tr>
      <w:tr w:rsidR="006F5D9D" w:rsidRPr="00032E2D" w14:paraId="123CA3FA" w14:textId="77777777" w:rsidTr="00955CE7">
        <w:tc>
          <w:tcPr>
            <w:tcW w:w="2268"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14:paraId="17E35A42" w14:textId="77777777" w:rsidR="006F5D9D" w:rsidRPr="00032E2D" w:rsidRDefault="006F5D9D" w:rsidP="00037354">
            <w:pPr>
              <w:keepNext/>
              <w:widowControl w:val="0"/>
              <w:pBdr>
                <w:top w:val="nil"/>
                <w:left w:val="nil"/>
                <w:bottom w:val="nil"/>
                <w:right w:val="nil"/>
                <w:between w:val="nil"/>
              </w:pBdr>
              <w:spacing w:before="120" w:after="120" w:line="240" w:lineRule="auto"/>
              <w:rPr>
                <w:rFonts w:ascii="Tinos" w:eastAsia="Tinos" w:hAnsi="Tinos" w:cs="Tinos"/>
                <w:b/>
                <w:color w:val="FFFFFF"/>
                <w:lang w:val="en-GB" w:eastAsia="zh-CN" w:bidi="hi-IN"/>
              </w:rPr>
            </w:pP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FFC000" w:themeFill="accent4"/>
          </w:tcPr>
          <w:p w14:paraId="080A46E9"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b/>
                <w:color w:val="FFFFFF"/>
                <w:sz w:val="20"/>
                <w:lang w:val="en-GB" w:eastAsia="zh-CN" w:bidi="hi-IN"/>
              </w:rPr>
            </w:pPr>
            <w:r w:rsidRPr="00F0579C">
              <w:rPr>
                <w:rFonts w:ascii="Tinos" w:eastAsia="Tinos" w:hAnsi="Tinos" w:cs="Tinos"/>
                <w:b/>
                <w:sz w:val="20"/>
                <w:lang w:val="en-GB" w:eastAsia="zh-CN" w:bidi="hi-IN"/>
              </w:rPr>
              <w:t>Blood banks</w:t>
            </w:r>
          </w:p>
        </w:tc>
        <w:tc>
          <w:tcPr>
            <w:tcW w:w="1022" w:type="dxa"/>
            <w:tcBorders>
              <w:top w:val="single" w:sz="4" w:space="0" w:color="000000"/>
              <w:left w:val="single" w:sz="4" w:space="0" w:color="000000"/>
              <w:bottom w:val="single" w:sz="4" w:space="0" w:color="000000"/>
              <w:right w:val="single" w:sz="4" w:space="0" w:color="000000"/>
            </w:tcBorders>
            <w:shd w:val="clear" w:color="auto" w:fill="ED7D31" w:themeFill="accent2"/>
          </w:tcPr>
          <w:p w14:paraId="0D4EFD37"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b/>
                <w:sz w:val="20"/>
                <w:lang w:val="en-GB" w:eastAsia="zh-CN" w:bidi="hi-IN"/>
              </w:rPr>
            </w:pPr>
            <w:r w:rsidRPr="00F0579C">
              <w:rPr>
                <w:rFonts w:ascii="Tinos" w:eastAsia="Tinos" w:hAnsi="Tinos" w:cs="Tinos"/>
                <w:b/>
                <w:sz w:val="20"/>
                <w:lang w:val="en-GB" w:eastAsia="zh-CN" w:bidi="hi-IN"/>
              </w:rPr>
              <w:t>Hospitals</w:t>
            </w:r>
          </w:p>
        </w:tc>
        <w:tc>
          <w:tcPr>
            <w:tcW w:w="1232" w:type="dxa"/>
            <w:vMerge/>
            <w:tcBorders>
              <w:left w:val="single" w:sz="4" w:space="0" w:color="000000"/>
              <w:right w:val="single" w:sz="4" w:space="0" w:color="000000"/>
            </w:tcBorders>
            <w:shd w:val="clear" w:color="auto" w:fill="002060"/>
            <w:vAlign w:val="center"/>
          </w:tcPr>
          <w:p w14:paraId="2A54CCAC" w14:textId="77777777" w:rsidR="006F5D9D" w:rsidRPr="00032E2D" w:rsidRDefault="006F5D9D" w:rsidP="00037354">
            <w:pPr>
              <w:widowControl w:val="0"/>
              <w:pBdr>
                <w:top w:val="nil"/>
                <w:left w:val="nil"/>
                <w:bottom w:val="nil"/>
                <w:right w:val="nil"/>
                <w:between w:val="nil"/>
              </w:pBdr>
              <w:spacing w:after="0" w:line="240" w:lineRule="auto"/>
              <w:jc w:val="center"/>
              <w:rPr>
                <w:rFonts w:ascii="Tinos" w:eastAsia="Tinos" w:hAnsi="Tinos" w:cs="Tinos"/>
                <w:color w:val="FFFFFF"/>
                <w:lang w:val="en-GB" w:eastAsia="zh-CN" w:bidi="hi-IN"/>
              </w:rPr>
            </w:pPr>
          </w:p>
        </w:tc>
      </w:tr>
      <w:tr w:rsidR="009107FD" w:rsidRPr="00032E2D" w14:paraId="3D0E8054" w14:textId="77777777" w:rsidTr="00955CE7">
        <w:tc>
          <w:tcPr>
            <w:tcW w:w="2268" w:type="dxa"/>
            <w:vMerge/>
            <w:tcBorders>
              <w:top w:val="single" w:sz="4" w:space="0" w:color="000000"/>
              <w:left w:val="single" w:sz="4" w:space="0" w:color="000000"/>
              <w:bottom w:val="single" w:sz="4" w:space="0" w:color="000000"/>
              <w:right w:val="single" w:sz="4" w:space="0" w:color="000000"/>
            </w:tcBorders>
            <w:shd w:val="clear" w:color="auto" w:fill="002060"/>
          </w:tcPr>
          <w:p w14:paraId="3B6B57DB" w14:textId="77777777" w:rsidR="006F5D9D" w:rsidRPr="00032E2D" w:rsidRDefault="006F5D9D" w:rsidP="00037354">
            <w:pPr>
              <w:widowControl w:val="0"/>
              <w:pBdr>
                <w:top w:val="nil"/>
                <w:left w:val="nil"/>
                <w:bottom w:val="nil"/>
                <w:right w:val="nil"/>
                <w:between w:val="nil"/>
              </w:pBdr>
              <w:spacing w:after="0" w:line="276" w:lineRule="auto"/>
              <w:rPr>
                <w:rFonts w:ascii="Tinos" w:eastAsia="Tinos" w:hAnsi="Tinos" w:cs="Tinos"/>
                <w:color w:val="000000"/>
                <w:sz w:val="24"/>
                <w:szCs w:val="24"/>
                <w:lang w:val="en-GB" w:eastAsia="zh-CN" w:bidi="hi-IN"/>
              </w:rPr>
            </w:pPr>
          </w:p>
        </w:tc>
        <w:tc>
          <w:tcPr>
            <w:tcW w:w="1008"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20164294"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Managers</w:t>
            </w:r>
          </w:p>
        </w:tc>
        <w:tc>
          <w:tcPr>
            <w:tcW w:w="854"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1104EF53"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Doctors</w:t>
            </w:r>
          </w:p>
        </w:tc>
        <w:tc>
          <w:tcPr>
            <w:tcW w:w="826"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055E088A"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Nurses</w:t>
            </w:r>
          </w:p>
        </w:tc>
        <w:tc>
          <w:tcPr>
            <w:tcW w:w="1483"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037A5141" w14:textId="72B0C486"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Lab technician</w:t>
            </w:r>
            <w:r w:rsidR="00955CE7">
              <w:rPr>
                <w:rFonts w:ascii="Tinos" w:eastAsia="Tinos" w:hAnsi="Tinos" w:cs="Tinos"/>
                <w:color w:val="000000"/>
                <w:sz w:val="20"/>
                <w:lang w:val="en-GB" w:eastAsia="zh-CN" w:bidi="hi-IN"/>
              </w:rPr>
              <w:t>s</w:t>
            </w:r>
          </w:p>
        </w:tc>
        <w:tc>
          <w:tcPr>
            <w:tcW w:w="1022" w:type="dxa"/>
            <w:tcBorders>
              <w:top w:val="single" w:sz="4" w:space="0" w:color="000000"/>
              <w:left w:val="single" w:sz="4" w:space="0" w:color="000000"/>
              <w:bottom w:val="single" w:sz="4" w:space="0" w:color="000000"/>
              <w:right w:val="single" w:sz="4" w:space="0" w:color="000000"/>
            </w:tcBorders>
            <w:shd w:val="clear" w:color="auto" w:fill="ED7D31" w:themeFill="accent2"/>
          </w:tcPr>
          <w:p w14:paraId="068BEA28"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Nurses</w:t>
            </w:r>
          </w:p>
        </w:tc>
        <w:tc>
          <w:tcPr>
            <w:tcW w:w="1232" w:type="dxa"/>
            <w:vMerge/>
            <w:tcBorders>
              <w:left w:val="single" w:sz="4" w:space="0" w:color="000000"/>
              <w:bottom w:val="single" w:sz="4" w:space="0" w:color="000000"/>
              <w:right w:val="single" w:sz="4" w:space="0" w:color="000000"/>
            </w:tcBorders>
            <w:shd w:val="clear" w:color="auto" w:fill="002060"/>
          </w:tcPr>
          <w:p w14:paraId="40A2B535" w14:textId="77777777" w:rsidR="006F5D9D" w:rsidRPr="00032E2D" w:rsidRDefault="006F5D9D" w:rsidP="00037354">
            <w:pPr>
              <w:widowControl w:val="0"/>
              <w:pBdr>
                <w:top w:val="nil"/>
                <w:left w:val="nil"/>
                <w:bottom w:val="nil"/>
                <w:right w:val="nil"/>
                <w:between w:val="nil"/>
              </w:pBdr>
              <w:spacing w:after="0" w:line="276" w:lineRule="auto"/>
              <w:rPr>
                <w:rFonts w:ascii="Tinos" w:eastAsia="Tinos" w:hAnsi="Tinos" w:cs="Tinos"/>
                <w:color w:val="000000"/>
                <w:sz w:val="24"/>
                <w:szCs w:val="24"/>
                <w:highlight w:val="yellow"/>
                <w:lang w:val="en-GB" w:eastAsia="zh-CN" w:bidi="hi-IN"/>
              </w:rPr>
            </w:pPr>
          </w:p>
        </w:tc>
      </w:tr>
      <w:tr w:rsidR="00955CE7" w:rsidRPr="00AA25E6" w14:paraId="4C629168" w14:textId="77777777" w:rsidTr="001D450B">
        <w:trPr>
          <w:trHeight w:hRule="exact" w:val="854"/>
        </w:trPr>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5DFAB1" w14:textId="77777777" w:rsidR="006F5D9D" w:rsidRPr="00F0579C" w:rsidRDefault="006F5D9D" w:rsidP="00037354">
            <w:pPr>
              <w:keepNext/>
              <w:widowControl w:val="0"/>
              <w:pBdr>
                <w:top w:val="nil"/>
                <w:left w:val="nil"/>
                <w:bottom w:val="nil"/>
                <w:right w:val="nil"/>
                <w:between w:val="nil"/>
              </w:pBdr>
              <w:spacing w:before="120" w:after="120" w:line="240" w:lineRule="auto"/>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1.Selection and recruitment of blood donors</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752E2"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b/>
                <w:color w:val="000000"/>
                <w:sz w:val="20"/>
                <w:lang w:val="en-GB" w:eastAsia="zh-CN" w:bidi="hi-IN"/>
              </w:rPr>
            </w:pPr>
            <w:r w:rsidRPr="00F0579C">
              <w:rPr>
                <w:rFonts w:ascii="Tinos" w:eastAsia="Tinos" w:hAnsi="Tinos" w:cs="Tinos"/>
                <w:b/>
                <w:color w:val="000000"/>
                <w:sz w:val="20"/>
                <w:lang w:val="en-GB" w:eastAsia="zh-CN" w:bidi="hi-IN"/>
              </w:rPr>
              <w:t>X</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3883B"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X</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E415D"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X</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E3F0F"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b/>
                <w:color w:val="000000"/>
                <w:sz w:val="20"/>
                <w:lang w:val="en-GB" w:eastAsia="zh-CN" w:bidi="hi-IN"/>
              </w:rPr>
            </w:pPr>
            <w:r w:rsidRPr="00F0579C">
              <w:rPr>
                <w:rFonts w:ascii="Tinos" w:eastAsia="Tinos" w:hAnsi="Tinos" w:cs="Tinos"/>
                <w:b/>
                <w:color w:val="000000"/>
                <w:sz w:val="20"/>
                <w:lang w:val="en-GB" w:eastAsia="zh-CN" w:bidi="hi-IN"/>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1E14"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CDA62" w14:textId="77777777" w:rsidR="006F5D9D" w:rsidRPr="00032E2D"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Cs w:val="24"/>
                <w:lang w:val="en-GB" w:eastAsia="zh-CN" w:bidi="hi-IN"/>
              </w:rPr>
            </w:pPr>
            <w:r w:rsidRPr="00032E2D">
              <w:rPr>
                <w:rFonts w:ascii="Tinos" w:eastAsia="Tinos" w:hAnsi="Tinos" w:cs="Tinos"/>
                <w:color w:val="000000"/>
                <w:lang w:val="en-GB" w:eastAsia="zh-CN" w:bidi="hi-IN"/>
              </w:rPr>
              <w:t>9 H</w:t>
            </w:r>
          </w:p>
        </w:tc>
      </w:tr>
      <w:tr w:rsidR="00955CE7" w:rsidRPr="00AA25E6" w14:paraId="2A45D3CD" w14:textId="77777777" w:rsidTr="00955CE7">
        <w:trPr>
          <w:trHeight w:hRule="exact" w:val="624"/>
        </w:trPr>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711845" w14:textId="77777777" w:rsidR="006F5D9D" w:rsidRPr="00F0579C" w:rsidRDefault="006F5D9D" w:rsidP="00037354">
            <w:pPr>
              <w:keepNext/>
              <w:widowControl w:val="0"/>
              <w:pBdr>
                <w:top w:val="nil"/>
                <w:left w:val="nil"/>
                <w:bottom w:val="nil"/>
                <w:right w:val="nil"/>
                <w:between w:val="nil"/>
              </w:pBdr>
              <w:spacing w:before="120" w:after="120" w:line="240" w:lineRule="auto"/>
              <w:rPr>
                <w:rFonts w:ascii="Tinos" w:eastAsia="Tinos" w:hAnsi="Tinos" w:cs="Tinos"/>
                <w:color w:val="000000"/>
                <w:sz w:val="20"/>
                <w:lang w:val="en-GB" w:eastAsia="zh-CN" w:bidi="hi-IN"/>
              </w:rPr>
            </w:pPr>
            <w:r w:rsidRPr="00F0579C">
              <w:rPr>
                <w:rFonts w:ascii="Tinos" w:eastAsia="Tinos" w:hAnsi="Tinos" w:cs="Tinos"/>
                <w:color w:val="000000"/>
                <w:sz w:val="20"/>
                <w:lang w:val="en-GB" w:eastAsia="zh-CN" w:bidi="hi-IN"/>
              </w:rPr>
              <w:t>2.Blood collection</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D18F0"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b/>
                <w:color w:val="000000"/>
                <w:sz w:val="20"/>
                <w:lang w:val="en-GB" w:eastAsia="zh-CN" w:bidi="hi-I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26B0F"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X</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1D6F1"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X</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FDA1C"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b/>
                <w:color w:val="000000"/>
                <w:sz w:val="20"/>
                <w:lang w:val="en-GB" w:eastAsia="zh-CN" w:bidi="hi-IN"/>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F0FB5"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b/>
                <w:color w:val="000000"/>
                <w:sz w:val="20"/>
                <w:lang w:val="en-GB" w:eastAsia="zh-CN" w:bidi="hi-IN"/>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A5AAF" w14:textId="77777777" w:rsidR="006F5D9D" w:rsidRPr="00032E2D"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Cs w:val="24"/>
                <w:lang w:val="en-GB" w:eastAsia="zh-CN" w:bidi="hi-IN"/>
              </w:rPr>
            </w:pPr>
            <w:r w:rsidRPr="00032E2D">
              <w:rPr>
                <w:rFonts w:ascii="Tinos" w:eastAsia="Tinos" w:hAnsi="Tinos" w:cs="Tinos"/>
                <w:color w:val="000000"/>
                <w:lang w:val="en-GB" w:eastAsia="zh-CN" w:bidi="hi-IN"/>
              </w:rPr>
              <w:t>6.5 H</w:t>
            </w:r>
          </w:p>
        </w:tc>
      </w:tr>
      <w:tr w:rsidR="00955CE7" w:rsidRPr="00AA25E6" w14:paraId="21BCF162" w14:textId="77777777" w:rsidTr="00955CE7">
        <w:trPr>
          <w:trHeight w:hRule="exact" w:val="624"/>
        </w:trPr>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DB2C59" w14:textId="77777777" w:rsidR="006F5D9D" w:rsidRPr="00F0579C" w:rsidRDefault="006F5D9D" w:rsidP="00037354">
            <w:pPr>
              <w:keepNext/>
              <w:widowControl w:val="0"/>
              <w:pBdr>
                <w:top w:val="nil"/>
                <w:left w:val="nil"/>
                <w:bottom w:val="nil"/>
                <w:right w:val="nil"/>
                <w:between w:val="nil"/>
              </w:pBdr>
              <w:spacing w:before="120" w:after="120" w:line="240" w:lineRule="auto"/>
              <w:rPr>
                <w:rFonts w:ascii="Tinos" w:eastAsia="Tinos" w:hAnsi="Tinos" w:cs="Tinos"/>
                <w:color w:val="000000"/>
                <w:sz w:val="20"/>
                <w:lang w:val="en-GB" w:eastAsia="zh-CN" w:bidi="hi-IN"/>
              </w:rPr>
            </w:pPr>
            <w:r w:rsidRPr="00F0579C">
              <w:rPr>
                <w:rFonts w:ascii="Tinos" w:eastAsia="Tinos" w:hAnsi="Tinos" w:cs="Tinos"/>
                <w:color w:val="000000"/>
                <w:sz w:val="20"/>
                <w:lang w:val="en-GB" w:eastAsia="zh-CN" w:bidi="hi-IN"/>
              </w:rPr>
              <w:t>3.Blood processing and storage</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13A1C"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b/>
                <w:color w:val="000000"/>
                <w:sz w:val="20"/>
                <w:lang w:val="en-GB" w:eastAsia="zh-CN" w:bidi="hi-I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F0D9A"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X</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9A717"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b/>
                <w:color w:val="000000"/>
                <w:sz w:val="20"/>
                <w:lang w:val="en-GB" w:eastAsia="zh-CN" w:bidi="hi-IN"/>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BBE2D"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b/>
                <w:color w:val="000000"/>
                <w:sz w:val="20"/>
                <w:lang w:val="en-GB" w:eastAsia="zh-CN" w:bidi="hi-IN"/>
              </w:rPr>
            </w:pPr>
            <w:r w:rsidRPr="00F0579C">
              <w:rPr>
                <w:rFonts w:ascii="Tinos" w:eastAsia="Tinos" w:hAnsi="Tinos" w:cs="Tinos"/>
                <w:b/>
                <w:color w:val="000000"/>
                <w:sz w:val="20"/>
                <w:lang w:val="en-GB" w:eastAsia="zh-CN" w:bidi="hi-IN"/>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B8D41"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D1D6" w14:textId="77777777" w:rsidR="006F5D9D" w:rsidRPr="00032E2D"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Cs w:val="24"/>
                <w:lang w:val="en-GB" w:eastAsia="zh-CN" w:bidi="hi-IN"/>
              </w:rPr>
            </w:pPr>
            <w:r w:rsidRPr="00032E2D">
              <w:rPr>
                <w:rFonts w:ascii="Tinos" w:eastAsia="Tinos" w:hAnsi="Tinos" w:cs="Tinos"/>
                <w:color w:val="000000"/>
                <w:lang w:val="en-GB" w:eastAsia="zh-CN" w:bidi="hi-IN"/>
              </w:rPr>
              <w:t>10.5 H</w:t>
            </w:r>
          </w:p>
        </w:tc>
      </w:tr>
      <w:tr w:rsidR="00955CE7" w:rsidRPr="00AA25E6" w14:paraId="5376D136" w14:textId="77777777" w:rsidTr="00955CE7">
        <w:trPr>
          <w:trHeight w:hRule="exact" w:val="624"/>
        </w:trPr>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8512FE" w14:textId="77777777" w:rsidR="006F5D9D" w:rsidRPr="00F0579C" w:rsidRDefault="006F5D9D" w:rsidP="00037354">
            <w:pPr>
              <w:keepNext/>
              <w:widowControl w:val="0"/>
              <w:pBdr>
                <w:top w:val="nil"/>
                <w:left w:val="nil"/>
                <w:bottom w:val="nil"/>
                <w:right w:val="nil"/>
                <w:between w:val="nil"/>
              </w:pBdr>
              <w:spacing w:before="120" w:after="120" w:line="240" w:lineRule="auto"/>
              <w:rPr>
                <w:rFonts w:ascii="Tinos" w:eastAsia="Tinos" w:hAnsi="Tinos" w:cs="Tinos"/>
                <w:color w:val="000000"/>
                <w:sz w:val="20"/>
                <w:lang w:val="en-GB" w:eastAsia="zh-CN" w:bidi="hi-IN"/>
              </w:rPr>
            </w:pPr>
            <w:r w:rsidRPr="00F0579C">
              <w:rPr>
                <w:rFonts w:ascii="Tinos" w:eastAsia="Tinos" w:hAnsi="Tinos" w:cs="Tinos"/>
                <w:color w:val="000000"/>
                <w:sz w:val="20"/>
                <w:lang w:val="en-GB" w:eastAsia="zh-CN" w:bidi="hi-IN"/>
              </w:rPr>
              <w:t>4.Transfusion transmitted infection testing (TTI)</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684AC"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b/>
                <w:color w:val="000000"/>
                <w:sz w:val="20"/>
                <w:lang w:val="en-GB" w:eastAsia="zh-CN" w:bidi="hi-I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C91A0"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X</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8A7C"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b/>
                <w:color w:val="000000"/>
                <w:sz w:val="20"/>
                <w:lang w:val="en-GB" w:eastAsia="zh-CN" w:bidi="hi-IN"/>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C64FA"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b/>
                <w:color w:val="000000"/>
                <w:sz w:val="20"/>
                <w:lang w:val="en-GB" w:eastAsia="zh-CN" w:bidi="hi-IN"/>
              </w:rPr>
            </w:pPr>
            <w:r w:rsidRPr="00F0579C">
              <w:rPr>
                <w:rFonts w:ascii="Tinos" w:eastAsia="Tinos" w:hAnsi="Tinos" w:cs="Tinos"/>
                <w:b/>
                <w:color w:val="000000"/>
                <w:sz w:val="20"/>
                <w:lang w:val="en-GB" w:eastAsia="zh-CN" w:bidi="hi-IN"/>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AB1EC"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8822E" w14:textId="77777777" w:rsidR="006F5D9D" w:rsidRPr="00032E2D"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Cs w:val="24"/>
                <w:lang w:val="en-GB" w:eastAsia="zh-CN" w:bidi="hi-IN"/>
              </w:rPr>
            </w:pPr>
            <w:r w:rsidRPr="00032E2D">
              <w:rPr>
                <w:rFonts w:ascii="Tinos" w:eastAsia="Tinos" w:hAnsi="Tinos" w:cs="Tinos"/>
                <w:color w:val="000000"/>
                <w:lang w:val="en-GB" w:eastAsia="zh-CN" w:bidi="hi-IN"/>
              </w:rPr>
              <w:t>7.5 H</w:t>
            </w:r>
          </w:p>
        </w:tc>
      </w:tr>
      <w:tr w:rsidR="00955CE7" w:rsidRPr="00AA25E6" w14:paraId="5315C93D" w14:textId="77777777" w:rsidTr="00955CE7">
        <w:trPr>
          <w:trHeight w:hRule="exact" w:val="624"/>
        </w:trPr>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44EECB" w14:textId="77777777" w:rsidR="006F5D9D" w:rsidRPr="00F0579C" w:rsidRDefault="006F5D9D" w:rsidP="00037354">
            <w:pPr>
              <w:keepNext/>
              <w:widowControl w:val="0"/>
              <w:pBdr>
                <w:top w:val="nil"/>
                <w:left w:val="nil"/>
                <w:bottom w:val="nil"/>
                <w:right w:val="nil"/>
                <w:between w:val="nil"/>
              </w:pBdr>
              <w:spacing w:before="120" w:after="120" w:line="240" w:lineRule="auto"/>
              <w:rPr>
                <w:rFonts w:ascii="Tinos" w:eastAsia="Tinos" w:hAnsi="Tinos" w:cs="Tinos"/>
                <w:color w:val="000000"/>
                <w:sz w:val="20"/>
                <w:lang w:val="en-GB" w:eastAsia="zh-CN" w:bidi="hi-IN"/>
              </w:rPr>
            </w:pPr>
            <w:r w:rsidRPr="00F0579C">
              <w:rPr>
                <w:rFonts w:ascii="Tinos" w:eastAsia="Tinos" w:hAnsi="Tinos" w:cs="Tinos"/>
                <w:color w:val="000000"/>
                <w:sz w:val="20"/>
                <w:lang w:val="en-GB" w:eastAsia="zh-CN" w:bidi="hi-IN"/>
              </w:rPr>
              <w:t>5.Blood compatibility testing</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9A3FC"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b/>
                <w:color w:val="000000"/>
                <w:sz w:val="20"/>
                <w:lang w:val="en-GB" w:eastAsia="zh-CN" w:bidi="hi-I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C3E7"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X</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C4817"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b/>
                <w:color w:val="000000"/>
                <w:sz w:val="20"/>
                <w:lang w:val="en-GB" w:eastAsia="zh-CN" w:bidi="hi-IN"/>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665A9"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b/>
                <w:color w:val="000000"/>
                <w:sz w:val="20"/>
                <w:lang w:val="en-GB" w:eastAsia="zh-CN" w:bidi="hi-IN"/>
              </w:rPr>
            </w:pPr>
            <w:r w:rsidRPr="00F0579C">
              <w:rPr>
                <w:rFonts w:ascii="Tinos" w:eastAsia="Tinos" w:hAnsi="Tinos" w:cs="Tinos"/>
                <w:b/>
                <w:color w:val="000000"/>
                <w:sz w:val="20"/>
                <w:lang w:val="en-GB" w:eastAsia="zh-CN" w:bidi="hi-IN"/>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6CCEE"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07358" w14:textId="77777777" w:rsidR="006F5D9D" w:rsidRPr="00032E2D"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Cs w:val="24"/>
                <w:lang w:val="en-GB" w:eastAsia="zh-CN" w:bidi="hi-IN"/>
              </w:rPr>
            </w:pPr>
            <w:r w:rsidRPr="00032E2D">
              <w:rPr>
                <w:rFonts w:ascii="Tinos" w:eastAsia="Tinos" w:hAnsi="Tinos" w:cs="Tinos"/>
                <w:color w:val="000000"/>
                <w:lang w:val="en-GB" w:eastAsia="zh-CN" w:bidi="hi-IN"/>
              </w:rPr>
              <w:t>9.5 H</w:t>
            </w:r>
          </w:p>
        </w:tc>
      </w:tr>
      <w:tr w:rsidR="00955CE7" w:rsidRPr="00AA25E6" w14:paraId="2CDBA0F9" w14:textId="77777777" w:rsidTr="00955CE7">
        <w:trPr>
          <w:trHeight w:hRule="exact" w:val="624"/>
        </w:trPr>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D613F0" w14:textId="77777777" w:rsidR="006F5D9D" w:rsidRPr="00F0579C" w:rsidRDefault="006F5D9D" w:rsidP="00037354">
            <w:pPr>
              <w:keepNext/>
              <w:widowControl w:val="0"/>
              <w:pBdr>
                <w:top w:val="nil"/>
                <w:left w:val="nil"/>
                <w:bottom w:val="nil"/>
                <w:right w:val="nil"/>
                <w:between w:val="nil"/>
              </w:pBdr>
              <w:spacing w:before="120" w:after="120" w:line="240" w:lineRule="auto"/>
              <w:rPr>
                <w:rFonts w:ascii="Tinos" w:eastAsia="Tinos" w:hAnsi="Tinos" w:cs="Tinos"/>
                <w:color w:val="000000"/>
                <w:sz w:val="20"/>
                <w:lang w:val="en-GB" w:eastAsia="zh-CN" w:bidi="hi-IN"/>
              </w:rPr>
            </w:pPr>
            <w:r w:rsidRPr="00F0579C">
              <w:rPr>
                <w:rFonts w:ascii="Tinos" w:eastAsia="Tinos" w:hAnsi="Tinos" w:cs="Tinos"/>
                <w:color w:val="000000"/>
                <w:sz w:val="20"/>
                <w:lang w:val="en-GB" w:eastAsia="zh-CN" w:bidi="hi-IN"/>
              </w:rPr>
              <w:t>6.Transfusion at the bedside</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8B73"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b/>
                <w:color w:val="000000"/>
                <w:sz w:val="20"/>
                <w:lang w:val="en-GB" w:eastAsia="zh-CN" w:bidi="hi-IN"/>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D632B"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X</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2186E"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X</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FEE97"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0F203"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b/>
                <w:color w:val="000000"/>
                <w:sz w:val="20"/>
                <w:lang w:val="en-GB" w:eastAsia="zh-CN" w:bidi="hi-IN"/>
              </w:rPr>
            </w:pPr>
            <w:r w:rsidRPr="00F0579C">
              <w:rPr>
                <w:rFonts w:ascii="Tinos" w:eastAsia="Tinos" w:hAnsi="Tinos" w:cs="Tinos"/>
                <w:b/>
                <w:color w:val="000000"/>
                <w:sz w:val="20"/>
                <w:lang w:val="en-GB" w:eastAsia="zh-CN" w:bidi="hi-IN"/>
              </w:rPr>
              <w:t>X</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1580B" w14:textId="77777777" w:rsidR="006F5D9D" w:rsidRPr="00032E2D"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Cs w:val="24"/>
                <w:lang w:val="en-GB" w:eastAsia="zh-CN" w:bidi="hi-IN"/>
              </w:rPr>
            </w:pPr>
            <w:r w:rsidRPr="00032E2D">
              <w:rPr>
                <w:rFonts w:ascii="Tinos" w:eastAsia="Tinos" w:hAnsi="Tinos" w:cs="Tinos"/>
                <w:color w:val="000000"/>
                <w:lang w:val="en-GB" w:eastAsia="zh-CN" w:bidi="hi-IN"/>
              </w:rPr>
              <w:t>9 H</w:t>
            </w:r>
          </w:p>
        </w:tc>
      </w:tr>
      <w:tr w:rsidR="00955CE7" w:rsidRPr="00AA25E6" w14:paraId="5460D91A" w14:textId="77777777" w:rsidTr="00955CE7">
        <w:trPr>
          <w:trHeight w:hRule="exact" w:val="624"/>
        </w:trPr>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BB376B" w14:textId="77777777" w:rsidR="006F5D9D" w:rsidRPr="00F0579C" w:rsidRDefault="006F5D9D" w:rsidP="00037354">
            <w:pPr>
              <w:keepNext/>
              <w:widowControl w:val="0"/>
              <w:pBdr>
                <w:top w:val="nil"/>
                <w:left w:val="nil"/>
                <w:bottom w:val="nil"/>
                <w:right w:val="nil"/>
                <w:between w:val="nil"/>
              </w:pBdr>
              <w:spacing w:before="120" w:after="120" w:line="240" w:lineRule="auto"/>
              <w:rPr>
                <w:rFonts w:ascii="Tinos" w:eastAsia="Tinos" w:hAnsi="Tinos" w:cs="Tinos"/>
                <w:color w:val="000000"/>
                <w:sz w:val="20"/>
                <w:lang w:val="en-GB" w:eastAsia="zh-CN" w:bidi="hi-IN"/>
              </w:rPr>
            </w:pPr>
            <w:r w:rsidRPr="00F0579C">
              <w:rPr>
                <w:rFonts w:ascii="Tinos" w:eastAsia="Tinos" w:hAnsi="Tinos" w:cs="Tinos"/>
                <w:color w:val="000000"/>
                <w:sz w:val="20"/>
                <w:lang w:val="en-GB" w:eastAsia="zh-CN" w:bidi="hi-IN"/>
              </w:rPr>
              <w:t>7.Quality Management in Transfusion Medicine</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9B7DF"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X</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FC21A"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X</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6277D"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X</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C5E9"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b/>
                <w:color w:val="000000"/>
                <w:sz w:val="20"/>
                <w:lang w:val="en-GB" w:eastAsia="zh-CN" w:bidi="hi-IN"/>
              </w:rPr>
            </w:pPr>
            <w:r w:rsidRPr="00F0579C">
              <w:rPr>
                <w:rFonts w:ascii="Tinos" w:eastAsia="Tinos" w:hAnsi="Tinos" w:cs="Tinos"/>
                <w:b/>
                <w:color w:val="000000"/>
                <w:sz w:val="20"/>
                <w:lang w:val="en-GB" w:eastAsia="zh-CN" w:bidi="hi-IN"/>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62F32" w14:textId="77777777" w:rsidR="006F5D9D" w:rsidRPr="00F0579C" w:rsidRDefault="006F5D9D" w:rsidP="00037354">
            <w:pPr>
              <w:widowControl w:val="0"/>
              <w:pBdr>
                <w:top w:val="nil"/>
                <w:left w:val="nil"/>
                <w:bottom w:val="nil"/>
                <w:right w:val="nil"/>
                <w:between w:val="nil"/>
              </w:pBdr>
              <w:spacing w:before="120" w:after="120" w:line="240" w:lineRule="auto"/>
              <w:jc w:val="center"/>
              <w:rPr>
                <w:rFonts w:ascii="Tinos" w:eastAsia="Tinos" w:hAnsi="Tinos" w:cs="Tinos"/>
                <w:color w:val="000000"/>
                <w:sz w:val="20"/>
                <w:szCs w:val="24"/>
                <w:lang w:val="en-GB" w:eastAsia="zh-CN" w:bidi="hi-IN"/>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D69CE" w14:textId="77777777" w:rsidR="006F5D9D" w:rsidRPr="00032E2D"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Cs w:val="24"/>
                <w:lang w:val="en-GB" w:eastAsia="zh-CN" w:bidi="hi-IN"/>
              </w:rPr>
            </w:pPr>
            <w:r w:rsidRPr="00032E2D">
              <w:rPr>
                <w:rFonts w:ascii="Tinos" w:eastAsia="Tinos" w:hAnsi="Tinos" w:cs="Tinos"/>
                <w:color w:val="000000"/>
                <w:lang w:val="en-GB" w:eastAsia="zh-CN" w:bidi="hi-IN"/>
              </w:rPr>
              <w:t>8 H</w:t>
            </w:r>
          </w:p>
        </w:tc>
      </w:tr>
    </w:tbl>
    <w:p w14:paraId="69C22506" w14:textId="77777777" w:rsidR="00753674" w:rsidRDefault="00753674" w:rsidP="004315E6">
      <w:pPr>
        <w:pBdr>
          <w:between w:val="nil"/>
        </w:pBdr>
        <w:spacing w:before="120" w:after="120"/>
        <w:rPr>
          <w:i/>
          <w:color w:val="000000"/>
          <w:u w:val="single"/>
          <w:lang w:val="en-GB"/>
        </w:rPr>
      </w:pPr>
    </w:p>
    <w:p w14:paraId="7560268F" w14:textId="77777777" w:rsidR="00753674" w:rsidRDefault="00753674" w:rsidP="004315E6">
      <w:pPr>
        <w:pBdr>
          <w:between w:val="nil"/>
        </w:pBdr>
        <w:spacing w:before="120" w:after="120"/>
        <w:rPr>
          <w:i/>
          <w:color w:val="000000"/>
          <w:u w:val="single"/>
          <w:lang w:val="en-GB"/>
        </w:rPr>
      </w:pPr>
    </w:p>
    <w:p w14:paraId="618D90A1" w14:textId="77777777" w:rsidR="004315E6" w:rsidRPr="005D73F6" w:rsidRDefault="004315E6" w:rsidP="004315E6">
      <w:pPr>
        <w:pBdr>
          <w:between w:val="nil"/>
        </w:pBdr>
        <w:spacing w:before="120" w:after="120"/>
        <w:rPr>
          <w:i/>
          <w:color w:val="000000"/>
          <w:u w:val="single"/>
          <w:lang w:val="en-GB"/>
        </w:rPr>
      </w:pPr>
      <w:r w:rsidRPr="005D73F6">
        <w:rPr>
          <w:i/>
          <w:color w:val="000000"/>
          <w:u w:val="single"/>
          <w:lang w:val="en-GB"/>
        </w:rPr>
        <w:t>Total suggested duration of training</w:t>
      </w:r>
    </w:p>
    <w:tbl>
      <w:tblPr>
        <w:tblW w:w="8679" w:type="dxa"/>
        <w:tblInd w:w="9" w:type="dxa"/>
        <w:tblLayout w:type="fixed"/>
        <w:tblLook w:val="0000" w:firstRow="0" w:lastRow="0" w:firstColumn="0" w:lastColumn="0" w:noHBand="0" w:noVBand="0"/>
      </w:tblPr>
      <w:tblGrid>
        <w:gridCol w:w="4664"/>
        <w:gridCol w:w="1843"/>
        <w:gridCol w:w="2172"/>
      </w:tblGrid>
      <w:tr w:rsidR="006F5D9D" w:rsidRPr="00F0579C" w14:paraId="2EEA0D61" w14:textId="77777777" w:rsidTr="009107FD">
        <w:trPr>
          <w:trHeight w:val="412"/>
        </w:trPr>
        <w:tc>
          <w:tcPr>
            <w:tcW w:w="4664" w:type="dxa"/>
            <w:tcBorders>
              <w:top w:val="single" w:sz="4" w:space="0" w:color="000000"/>
              <w:left w:val="single" w:sz="4" w:space="0" w:color="000000"/>
              <w:bottom w:val="single" w:sz="4" w:space="0" w:color="000000"/>
            </w:tcBorders>
            <w:shd w:val="clear" w:color="auto" w:fill="002060"/>
            <w:vAlign w:val="center"/>
          </w:tcPr>
          <w:p w14:paraId="0E949BE6" w14:textId="77777777" w:rsidR="006F5D9D" w:rsidRPr="00F0579C" w:rsidRDefault="006F5D9D" w:rsidP="00037354">
            <w:pPr>
              <w:keepNext/>
              <w:widowControl w:val="0"/>
              <w:pBdr>
                <w:top w:val="nil"/>
                <w:left w:val="nil"/>
                <w:bottom w:val="nil"/>
                <w:right w:val="nil"/>
                <w:between w:val="nil"/>
              </w:pBdr>
              <w:spacing w:after="0" w:line="240" w:lineRule="auto"/>
              <w:jc w:val="center"/>
              <w:rPr>
                <w:rFonts w:ascii="Tinos" w:eastAsia="Tinos" w:hAnsi="Tinos" w:cs="Tinos"/>
                <w:color w:val="FFFFFF"/>
                <w:sz w:val="20"/>
                <w:szCs w:val="24"/>
                <w:lang w:val="en-GB" w:eastAsia="zh-CN" w:bidi="hi-IN"/>
              </w:rPr>
            </w:pPr>
            <w:r w:rsidRPr="00F0579C">
              <w:rPr>
                <w:rFonts w:ascii="Tinos" w:eastAsia="Tinos" w:hAnsi="Tinos" w:cs="Tinos"/>
                <w:b/>
                <w:color w:val="FFFFFF"/>
                <w:sz w:val="20"/>
                <w:lang w:val="en-GB" w:eastAsia="zh-CN" w:bidi="hi-IN"/>
              </w:rPr>
              <w:t>Staff targeted</w:t>
            </w:r>
          </w:p>
        </w:tc>
        <w:tc>
          <w:tcPr>
            <w:tcW w:w="1843" w:type="dxa"/>
            <w:tcBorders>
              <w:top w:val="single" w:sz="4" w:space="0" w:color="000000"/>
              <w:left w:val="single" w:sz="4" w:space="0" w:color="000000"/>
              <w:bottom w:val="single" w:sz="4" w:space="0" w:color="000000"/>
            </w:tcBorders>
            <w:shd w:val="clear" w:color="auto" w:fill="002060"/>
            <w:vAlign w:val="center"/>
          </w:tcPr>
          <w:p w14:paraId="762D8FE8"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FFFFFF"/>
                <w:sz w:val="20"/>
                <w:szCs w:val="24"/>
                <w:lang w:val="en-GB" w:eastAsia="zh-CN" w:bidi="hi-IN"/>
              </w:rPr>
            </w:pPr>
            <w:r w:rsidRPr="00F0579C">
              <w:rPr>
                <w:rFonts w:ascii="Tinos" w:eastAsia="Tinos" w:hAnsi="Tinos" w:cs="Tinos"/>
                <w:b/>
                <w:color w:val="FFFFFF"/>
                <w:sz w:val="20"/>
                <w:lang w:val="en-GB" w:eastAsia="zh-CN" w:bidi="hi-IN"/>
              </w:rPr>
              <w:t>Modules number</w:t>
            </w:r>
          </w:p>
        </w:tc>
        <w:tc>
          <w:tcPr>
            <w:tcW w:w="2172"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4CF6B0D1"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FFFFFF"/>
                <w:sz w:val="20"/>
                <w:szCs w:val="24"/>
                <w:lang w:val="en-GB" w:eastAsia="zh-CN" w:bidi="hi-IN"/>
              </w:rPr>
            </w:pPr>
            <w:r w:rsidRPr="00F0579C">
              <w:rPr>
                <w:rFonts w:ascii="Tinos" w:eastAsia="Tinos" w:hAnsi="Tinos" w:cs="Tinos"/>
                <w:b/>
                <w:color w:val="FFFFFF"/>
                <w:sz w:val="20"/>
                <w:lang w:val="en-GB" w:eastAsia="zh-CN" w:bidi="hi-IN"/>
              </w:rPr>
              <w:t>Total training hours</w:t>
            </w:r>
          </w:p>
        </w:tc>
      </w:tr>
      <w:tr w:rsidR="006F5D9D" w:rsidRPr="00F0579C" w14:paraId="607F4EDD" w14:textId="77777777" w:rsidTr="009107FD">
        <w:tc>
          <w:tcPr>
            <w:tcW w:w="4664" w:type="dxa"/>
            <w:tcBorders>
              <w:top w:val="single" w:sz="4" w:space="0" w:color="000000"/>
              <w:left w:val="single" w:sz="4" w:space="0" w:color="000000"/>
              <w:bottom w:val="single" w:sz="4" w:space="0" w:color="000000"/>
            </w:tcBorders>
            <w:shd w:val="clear" w:color="auto" w:fill="auto"/>
          </w:tcPr>
          <w:p w14:paraId="641018B4" w14:textId="77777777" w:rsidR="006F5D9D" w:rsidRPr="00F0579C" w:rsidRDefault="006F5D9D" w:rsidP="00037354">
            <w:pPr>
              <w:keepNext/>
              <w:widowControl w:val="0"/>
              <w:pBdr>
                <w:top w:val="nil"/>
                <w:left w:val="nil"/>
                <w:bottom w:val="nil"/>
                <w:right w:val="nil"/>
                <w:between w:val="nil"/>
              </w:pBdr>
              <w:spacing w:after="0" w:line="240" w:lineRule="auto"/>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 xml:space="preserve">Nurses in Blood establishments </w:t>
            </w:r>
          </w:p>
        </w:tc>
        <w:tc>
          <w:tcPr>
            <w:tcW w:w="1843" w:type="dxa"/>
            <w:tcBorders>
              <w:top w:val="single" w:sz="4" w:space="0" w:color="000000"/>
              <w:left w:val="single" w:sz="4" w:space="0" w:color="000000"/>
              <w:bottom w:val="single" w:sz="4" w:space="0" w:color="000000"/>
            </w:tcBorders>
            <w:shd w:val="clear" w:color="auto" w:fill="auto"/>
          </w:tcPr>
          <w:p w14:paraId="5890A2C2"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1,2,6,7</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14:paraId="3FC0BF7F"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32.5 hours</w:t>
            </w:r>
          </w:p>
        </w:tc>
      </w:tr>
      <w:tr w:rsidR="006F5D9D" w:rsidRPr="00F0579C" w14:paraId="142B4183" w14:textId="77777777" w:rsidTr="009107FD">
        <w:tc>
          <w:tcPr>
            <w:tcW w:w="4664" w:type="dxa"/>
            <w:tcBorders>
              <w:top w:val="single" w:sz="4" w:space="0" w:color="000000"/>
              <w:left w:val="single" w:sz="4" w:space="0" w:color="000000"/>
              <w:bottom w:val="single" w:sz="4" w:space="0" w:color="000000"/>
            </w:tcBorders>
            <w:shd w:val="clear" w:color="auto" w:fill="auto"/>
          </w:tcPr>
          <w:p w14:paraId="0F016B6D" w14:textId="77777777" w:rsidR="006F5D9D" w:rsidRPr="00F0579C" w:rsidRDefault="006F5D9D" w:rsidP="00037354">
            <w:pPr>
              <w:keepNext/>
              <w:widowControl w:val="0"/>
              <w:pBdr>
                <w:top w:val="nil"/>
                <w:left w:val="nil"/>
                <w:bottom w:val="nil"/>
                <w:right w:val="nil"/>
                <w:between w:val="nil"/>
              </w:pBdr>
              <w:spacing w:after="0" w:line="240" w:lineRule="auto"/>
              <w:rPr>
                <w:rFonts w:ascii="Tinos" w:eastAsia="Tinos" w:hAnsi="Tinos" w:cs="Tinos"/>
                <w:b/>
                <w:color w:val="000000"/>
                <w:sz w:val="20"/>
                <w:lang w:val="en-GB" w:eastAsia="zh-CN" w:bidi="hi-IN"/>
              </w:rPr>
            </w:pPr>
            <w:r w:rsidRPr="00F0579C">
              <w:rPr>
                <w:rFonts w:ascii="Tinos" w:eastAsia="Tinos" w:hAnsi="Tinos" w:cs="Tinos"/>
                <w:b/>
                <w:color w:val="000000"/>
                <w:sz w:val="20"/>
                <w:lang w:val="en-GB" w:eastAsia="zh-CN" w:bidi="hi-IN"/>
              </w:rPr>
              <w:t>Nurses in Hospital</w:t>
            </w:r>
          </w:p>
        </w:tc>
        <w:tc>
          <w:tcPr>
            <w:tcW w:w="1843" w:type="dxa"/>
            <w:tcBorders>
              <w:top w:val="single" w:sz="4" w:space="0" w:color="000000"/>
              <w:left w:val="single" w:sz="4" w:space="0" w:color="000000"/>
              <w:bottom w:val="single" w:sz="4" w:space="0" w:color="000000"/>
            </w:tcBorders>
            <w:shd w:val="clear" w:color="auto" w:fill="auto"/>
          </w:tcPr>
          <w:p w14:paraId="4482E0BB"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lang w:val="en-GB" w:eastAsia="zh-CN" w:bidi="hi-IN"/>
              </w:rPr>
            </w:pPr>
            <w:r w:rsidRPr="00F0579C">
              <w:rPr>
                <w:rFonts w:ascii="Tinos" w:eastAsia="Tinos" w:hAnsi="Tinos" w:cs="Tinos"/>
                <w:color w:val="000000"/>
                <w:sz w:val="20"/>
                <w:lang w:val="en-GB" w:eastAsia="zh-CN" w:bidi="hi-IN"/>
              </w:rPr>
              <w:t>6</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14:paraId="6BF43F3F"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lang w:val="en-GB" w:eastAsia="zh-CN" w:bidi="hi-IN"/>
              </w:rPr>
            </w:pPr>
            <w:r w:rsidRPr="00F0579C">
              <w:rPr>
                <w:rFonts w:ascii="Tinos" w:eastAsia="Tinos" w:hAnsi="Tinos" w:cs="Tinos"/>
                <w:color w:val="000000"/>
                <w:sz w:val="20"/>
                <w:lang w:val="en-GB" w:eastAsia="zh-CN" w:bidi="hi-IN"/>
              </w:rPr>
              <w:t>9 hours</w:t>
            </w:r>
          </w:p>
        </w:tc>
      </w:tr>
      <w:tr w:rsidR="006F5D9D" w:rsidRPr="00F0579C" w14:paraId="5464E32B" w14:textId="77777777" w:rsidTr="009107FD">
        <w:tc>
          <w:tcPr>
            <w:tcW w:w="4664" w:type="dxa"/>
            <w:tcBorders>
              <w:top w:val="single" w:sz="4" w:space="0" w:color="000000"/>
              <w:left w:val="single" w:sz="4" w:space="0" w:color="000000"/>
              <w:bottom w:val="single" w:sz="4" w:space="0" w:color="000000"/>
            </w:tcBorders>
            <w:shd w:val="clear" w:color="auto" w:fill="auto"/>
          </w:tcPr>
          <w:p w14:paraId="5A7CE82C" w14:textId="77777777" w:rsidR="006F5D9D" w:rsidRPr="00F0579C" w:rsidRDefault="006F5D9D" w:rsidP="00037354">
            <w:pPr>
              <w:keepNext/>
              <w:widowControl w:val="0"/>
              <w:pBdr>
                <w:top w:val="nil"/>
                <w:left w:val="nil"/>
                <w:bottom w:val="nil"/>
                <w:right w:val="nil"/>
                <w:between w:val="nil"/>
              </w:pBdr>
              <w:spacing w:after="0" w:line="240" w:lineRule="auto"/>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Lab technicians in blood establishments</w:t>
            </w:r>
          </w:p>
        </w:tc>
        <w:tc>
          <w:tcPr>
            <w:tcW w:w="1843" w:type="dxa"/>
            <w:tcBorders>
              <w:top w:val="single" w:sz="4" w:space="0" w:color="000000"/>
              <w:left w:val="single" w:sz="4" w:space="0" w:color="000000"/>
              <w:bottom w:val="single" w:sz="4" w:space="0" w:color="000000"/>
            </w:tcBorders>
            <w:shd w:val="clear" w:color="auto" w:fill="auto"/>
          </w:tcPr>
          <w:p w14:paraId="04E3D8EC"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1,3,4,5,7</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14:paraId="34058FA8"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44 hours</w:t>
            </w:r>
          </w:p>
        </w:tc>
      </w:tr>
      <w:tr w:rsidR="006F5D9D" w:rsidRPr="00F0579C" w14:paraId="624E1DF3" w14:textId="77777777" w:rsidTr="009107FD">
        <w:tc>
          <w:tcPr>
            <w:tcW w:w="4664" w:type="dxa"/>
            <w:tcBorders>
              <w:top w:val="single" w:sz="4" w:space="0" w:color="000000"/>
              <w:left w:val="single" w:sz="4" w:space="0" w:color="000000"/>
              <w:bottom w:val="single" w:sz="4" w:space="0" w:color="000000"/>
            </w:tcBorders>
            <w:shd w:val="clear" w:color="auto" w:fill="auto"/>
          </w:tcPr>
          <w:p w14:paraId="3D6BB8DF" w14:textId="77777777" w:rsidR="006F5D9D" w:rsidRPr="00F0579C" w:rsidRDefault="006F5D9D" w:rsidP="00037354">
            <w:pPr>
              <w:keepNext/>
              <w:widowControl w:val="0"/>
              <w:pBdr>
                <w:top w:val="nil"/>
                <w:left w:val="nil"/>
                <w:bottom w:val="nil"/>
                <w:right w:val="nil"/>
                <w:between w:val="nil"/>
              </w:pBdr>
              <w:spacing w:after="0" w:line="240" w:lineRule="auto"/>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Doctors in blood establishments</w:t>
            </w:r>
          </w:p>
        </w:tc>
        <w:tc>
          <w:tcPr>
            <w:tcW w:w="1843" w:type="dxa"/>
            <w:tcBorders>
              <w:top w:val="single" w:sz="4" w:space="0" w:color="000000"/>
              <w:left w:val="single" w:sz="4" w:space="0" w:color="000000"/>
              <w:bottom w:val="single" w:sz="4" w:space="0" w:color="000000"/>
            </w:tcBorders>
            <w:shd w:val="clear" w:color="auto" w:fill="auto"/>
          </w:tcPr>
          <w:p w14:paraId="68A00B17"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1,2,3,4,5,6,7</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14:paraId="5ED66784"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&gt;50 hours</w:t>
            </w:r>
          </w:p>
        </w:tc>
      </w:tr>
      <w:tr w:rsidR="006F5D9D" w:rsidRPr="00F0579C" w14:paraId="3DF314EE" w14:textId="77777777" w:rsidTr="009107FD">
        <w:tc>
          <w:tcPr>
            <w:tcW w:w="4664" w:type="dxa"/>
            <w:tcBorders>
              <w:top w:val="single" w:sz="4" w:space="0" w:color="000000"/>
              <w:left w:val="single" w:sz="4" w:space="0" w:color="000000"/>
              <w:bottom w:val="single" w:sz="4" w:space="0" w:color="000000"/>
            </w:tcBorders>
            <w:shd w:val="clear" w:color="auto" w:fill="auto"/>
          </w:tcPr>
          <w:p w14:paraId="69DFDBCD" w14:textId="77777777" w:rsidR="006F5D9D" w:rsidRPr="00F0579C" w:rsidRDefault="006F5D9D" w:rsidP="00037354">
            <w:pPr>
              <w:keepNext/>
              <w:widowControl w:val="0"/>
              <w:pBdr>
                <w:top w:val="nil"/>
                <w:left w:val="nil"/>
                <w:bottom w:val="nil"/>
                <w:right w:val="nil"/>
                <w:between w:val="nil"/>
              </w:pBdr>
              <w:spacing w:after="0" w:line="240" w:lineRule="auto"/>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Managers of blood establishments</w:t>
            </w:r>
          </w:p>
        </w:tc>
        <w:tc>
          <w:tcPr>
            <w:tcW w:w="1843" w:type="dxa"/>
            <w:tcBorders>
              <w:top w:val="single" w:sz="4" w:space="0" w:color="000000"/>
              <w:left w:val="single" w:sz="4" w:space="0" w:color="000000"/>
              <w:bottom w:val="single" w:sz="4" w:space="0" w:color="000000"/>
            </w:tcBorders>
            <w:shd w:val="clear" w:color="auto" w:fill="auto"/>
          </w:tcPr>
          <w:p w14:paraId="4C003039"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1,7</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14:paraId="3E46D200"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17 hours</w:t>
            </w:r>
          </w:p>
        </w:tc>
      </w:tr>
    </w:tbl>
    <w:p w14:paraId="3D4CF5C4" w14:textId="77777777" w:rsidR="004315E6" w:rsidRDefault="004315E6" w:rsidP="001D450B">
      <w:pPr>
        <w:pBdr>
          <w:between w:val="nil"/>
        </w:pBdr>
        <w:spacing w:after="0" w:line="276" w:lineRule="auto"/>
        <w:jc w:val="both"/>
        <w:rPr>
          <w:color w:val="000000"/>
          <w:lang w:val="en-GB"/>
        </w:rPr>
      </w:pPr>
    </w:p>
    <w:p w14:paraId="2B8942B0" w14:textId="7C4F7C33" w:rsidR="00FB5E08" w:rsidRDefault="004315E6" w:rsidP="00150DE6">
      <w:pPr>
        <w:pBdr>
          <w:between w:val="nil"/>
        </w:pBdr>
        <w:spacing w:line="276" w:lineRule="auto"/>
        <w:jc w:val="both"/>
        <w:rPr>
          <w:color w:val="000000"/>
          <w:lang w:val="en-GB"/>
        </w:rPr>
      </w:pPr>
      <w:r w:rsidRPr="008073F9">
        <w:rPr>
          <w:color w:val="000000"/>
          <w:lang w:val="en-GB"/>
        </w:rPr>
        <w:t>E</w:t>
      </w:r>
      <w:r w:rsidR="001D450B">
        <w:rPr>
          <w:color w:val="000000"/>
          <w:lang w:val="en-GB"/>
        </w:rPr>
        <w:t xml:space="preserve">xpertise </w:t>
      </w:r>
      <w:r w:rsidRPr="008073F9">
        <w:rPr>
          <w:color w:val="000000"/>
          <w:lang w:val="en-GB"/>
        </w:rPr>
        <w:t>F</w:t>
      </w:r>
      <w:r w:rsidR="001D450B">
        <w:rPr>
          <w:color w:val="000000"/>
          <w:lang w:val="en-GB"/>
        </w:rPr>
        <w:t>rance</w:t>
      </w:r>
      <w:r w:rsidRPr="008073F9">
        <w:rPr>
          <w:color w:val="000000"/>
          <w:lang w:val="en-GB"/>
        </w:rPr>
        <w:t xml:space="preserve"> asked Edufactory to build a back office</w:t>
      </w:r>
      <w:r w:rsidR="005571C7">
        <w:rPr>
          <w:color w:val="000000"/>
          <w:lang w:val="en-GB"/>
        </w:rPr>
        <w:t xml:space="preserve"> (database)</w:t>
      </w:r>
      <w:r w:rsidRPr="008073F9">
        <w:rPr>
          <w:color w:val="000000"/>
          <w:lang w:val="en-GB"/>
        </w:rPr>
        <w:t xml:space="preserve"> that can generate reports (i) for blood bank directors </w:t>
      </w:r>
      <w:r w:rsidR="00621DC5">
        <w:rPr>
          <w:color w:val="000000"/>
          <w:lang w:val="en-GB"/>
        </w:rPr>
        <w:t>and tutors</w:t>
      </w:r>
      <w:r w:rsidRPr="008073F9">
        <w:rPr>
          <w:color w:val="000000"/>
          <w:lang w:val="en-GB"/>
        </w:rPr>
        <w:t xml:space="preserve"> to check the progress of </w:t>
      </w:r>
      <w:r w:rsidR="0005501C">
        <w:rPr>
          <w:color w:val="000000"/>
          <w:lang w:val="en-GB"/>
        </w:rPr>
        <w:t>technical staff</w:t>
      </w:r>
      <w:r w:rsidRPr="008073F9">
        <w:rPr>
          <w:color w:val="000000"/>
          <w:lang w:val="en-GB"/>
        </w:rPr>
        <w:t xml:space="preserve"> and assess </w:t>
      </w:r>
      <w:r w:rsidR="0005501C">
        <w:rPr>
          <w:color w:val="000000"/>
          <w:lang w:val="en-GB"/>
        </w:rPr>
        <w:t>the</w:t>
      </w:r>
      <w:r w:rsidRPr="008073F9">
        <w:rPr>
          <w:color w:val="000000"/>
          <w:lang w:val="en-GB"/>
        </w:rPr>
        <w:t xml:space="preserve"> need for </w:t>
      </w:r>
      <w:r w:rsidR="0005501C">
        <w:rPr>
          <w:color w:val="000000"/>
          <w:lang w:val="en-GB"/>
        </w:rPr>
        <w:t>individual</w:t>
      </w:r>
      <w:r w:rsidRPr="008073F9">
        <w:rPr>
          <w:color w:val="000000"/>
          <w:lang w:val="en-GB"/>
        </w:rPr>
        <w:t xml:space="preserve"> support, (ii) for the M</w:t>
      </w:r>
      <w:r w:rsidR="008B6042">
        <w:rPr>
          <w:color w:val="000000"/>
          <w:lang w:val="en-GB"/>
        </w:rPr>
        <w:t xml:space="preserve">inistry of Health </w:t>
      </w:r>
      <w:r w:rsidRPr="008073F9">
        <w:rPr>
          <w:color w:val="000000"/>
          <w:lang w:val="en-GB"/>
        </w:rPr>
        <w:t xml:space="preserve">and the National </w:t>
      </w:r>
      <w:r w:rsidR="001D450B">
        <w:rPr>
          <w:color w:val="000000"/>
          <w:lang w:val="en-GB"/>
        </w:rPr>
        <w:t>Blood Transfusion Services Authority</w:t>
      </w:r>
      <w:r w:rsidRPr="008073F9">
        <w:rPr>
          <w:color w:val="000000"/>
          <w:lang w:val="en-GB"/>
        </w:rPr>
        <w:t xml:space="preserve"> to monitor which blood banks are </w:t>
      </w:r>
      <w:r w:rsidR="0005501C">
        <w:rPr>
          <w:color w:val="000000"/>
          <w:lang w:val="en-GB"/>
        </w:rPr>
        <w:t>taking more time</w:t>
      </w:r>
      <w:r w:rsidRPr="008073F9">
        <w:rPr>
          <w:color w:val="000000"/>
          <w:lang w:val="en-GB"/>
        </w:rPr>
        <w:t xml:space="preserve"> than other</w:t>
      </w:r>
      <w:r w:rsidR="0005501C">
        <w:rPr>
          <w:color w:val="000000"/>
          <w:lang w:val="en-GB"/>
        </w:rPr>
        <w:t>s</w:t>
      </w:r>
      <w:r w:rsidRPr="008073F9">
        <w:rPr>
          <w:color w:val="000000"/>
          <w:lang w:val="en-GB"/>
        </w:rPr>
        <w:t xml:space="preserve"> </w:t>
      </w:r>
      <w:r w:rsidR="0005501C">
        <w:rPr>
          <w:color w:val="000000"/>
          <w:lang w:val="en-GB"/>
        </w:rPr>
        <w:t xml:space="preserve">to progress in the e-learning programme </w:t>
      </w:r>
      <w:r w:rsidRPr="008073F9">
        <w:rPr>
          <w:color w:val="000000"/>
          <w:lang w:val="en-GB"/>
        </w:rPr>
        <w:t>and</w:t>
      </w:r>
      <w:r w:rsidR="0005501C">
        <w:rPr>
          <w:color w:val="000000"/>
          <w:lang w:val="en-GB"/>
        </w:rPr>
        <w:t xml:space="preserve"> therefore</w:t>
      </w:r>
      <w:r w:rsidRPr="008073F9">
        <w:rPr>
          <w:color w:val="000000"/>
          <w:lang w:val="en-GB"/>
        </w:rPr>
        <w:t xml:space="preserve"> </w:t>
      </w:r>
      <w:r w:rsidR="00ED76D8">
        <w:rPr>
          <w:color w:val="000000"/>
          <w:lang w:val="en-GB"/>
        </w:rPr>
        <w:t>provide</w:t>
      </w:r>
      <w:r w:rsidRPr="008073F9">
        <w:rPr>
          <w:color w:val="000000"/>
          <w:lang w:val="en-GB"/>
        </w:rPr>
        <w:t xml:space="preserve"> </w:t>
      </w:r>
      <w:r w:rsidR="0005501C">
        <w:rPr>
          <w:color w:val="000000"/>
          <w:lang w:val="en-GB"/>
        </w:rPr>
        <w:t>a specific</w:t>
      </w:r>
      <w:r w:rsidRPr="008073F9">
        <w:rPr>
          <w:color w:val="000000"/>
          <w:lang w:val="en-GB"/>
        </w:rPr>
        <w:t xml:space="preserve"> support.</w:t>
      </w:r>
    </w:p>
    <w:p w14:paraId="4CCFC04E" w14:textId="58DFB509" w:rsidR="00C22591" w:rsidRDefault="00C22591" w:rsidP="00150DE6">
      <w:pPr>
        <w:pBdr>
          <w:between w:val="nil"/>
        </w:pBdr>
        <w:spacing w:line="276" w:lineRule="auto"/>
        <w:jc w:val="both"/>
        <w:rPr>
          <w:color w:val="000000"/>
          <w:lang w:val="en-GB"/>
        </w:rPr>
      </w:pPr>
      <w:r>
        <w:rPr>
          <w:color w:val="000000"/>
          <w:lang w:val="en-GB"/>
        </w:rPr>
        <w:t xml:space="preserve">The modules/chapters </w:t>
      </w:r>
      <w:r w:rsidR="007A3B01">
        <w:rPr>
          <w:color w:val="000000"/>
          <w:lang w:val="en-GB"/>
        </w:rPr>
        <w:t xml:space="preserve">are </w:t>
      </w:r>
      <w:r>
        <w:rPr>
          <w:color w:val="000000"/>
          <w:lang w:val="en-GB"/>
        </w:rPr>
        <w:t>updated</w:t>
      </w:r>
      <w:r w:rsidR="00A73235">
        <w:rPr>
          <w:color w:val="000000"/>
          <w:lang w:val="en-GB"/>
        </w:rPr>
        <w:t xml:space="preserve"> </w:t>
      </w:r>
      <w:r>
        <w:rPr>
          <w:color w:val="000000"/>
          <w:lang w:val="en-GB"/>
        </w:rPr>
        <w:t xml:space="preserve">using </w:t>
      </w:r>
      <w:r w:rsidR="00A73235">
        <w:rPr>
          <w:color w:val="000000"/>
          <w:lang w:val="en-GB"/>
        </w:rPr>
        <w:t>PowerP</w:t>
      </w:r>
      <w:r w:rsidR="00CD2CD4">
        <w:rPr>
          <w:color w:val="000000"/>
          <w:lang w:val="en-GB"/>
        </w:rPr>
        <w:t>oint and</w:t>
      </w:r>
      <w:r w:rsidR="00A73235">
        <w:rPr>
          <w:color w:val="000000"/>
          <w:lang w:val="en-GB"/>
        </w:rPr>
        <w:t xml:space="preserve"> Words </w:t>
      </w:r>
      <w:r w:rsidR="00CD2CD4">
        <w:rPr>
          <w:color w:val="000000"/>
          <w:lang w:val="en-GB"/>
        </w:rPr>
        <w:t>via</w:t>
      </w:r>
      <w:r w:rsidR="00A73235">
        <w:rPr>
          <w:color w:val="000000"/>
          <w:lang w:val="en-GB"/>
        </w:rPr>
        <w:t xml:space="preserve"> </w:t>
      </w:r>
      <w:r>
        <w:rPr>
          <w:color w:val="000000"/>
          <w:lang w:val="en-GB"/>
        </w:rPr>
        <w:t>Articulate Storyline</w:t>
      </w:r>
      <w:r w:rsidR="007A3B01">
        <w:rPr>
          <w:color w:val="000000"/>
          <w:lang w:val="en-GB"/>
        </w:rPr>
        <w:t xml:space="preserve"> </w:t>
      </w:r>
      <w:r w:rsidR="00CD2CD4">
        <w:rPr>
          <w:color w:val="000000"/>
          <w:lang w:val="en-GB"/>
        </w:rPr>
        <w:t xml:space="preserve">360 </w:t>
      </w:r>
      <w:r w:rsidR="007A3B01">
        <w:rPr>
          <w:color w:val="000000"/>
          <w:lang w:val="en-GB"/>
        </w:rPr>
        <w:t>software</w:t>
      </w:r>
      <w:r w:rsidR="00A73235">
        <w:rPr>
          <w:color w:val="000000"/>
          <w:lang w:val="en-GB"/>
        </w:rPr>
        <w:t xml:space="preserve"> prior their upload on the LMS</w:t>
      </w:r>
      <w:r w:rsidR="009E1931">
        <w:rPr>
          <w:color w:val="000000"/>
          <w:lang w:val="en-GB"/>
        </w:rPr>
        <w:t xml:space="preserve"> (Word</w:t>
      </w:r>
      <w:r w:rsidR="00CD2CD4">
        <w:rPr>
          <w:color w:val="000000"/>
          <w:lang w:val="en-GB"/>
        </w:rPr>
        <w:t>P</w:t>
      </w:r>
      <w:r w:rsidR="009E1931">
        <w:rPr>
          <w:color w:val="000000"/>
          <w:lang w:val="en-GB"/>
        </w:rPr>
        <w:t>ress</w:t>
      </w:r>
      <w:r w:rsidR="00CD2CD4">
        <w:rPr>
          <w:color w:val="000000"/>
          <w:lang w:val="en-GB"/>
        </w:rPr>
        <w:t xml:space="preserve"> 6.4.2 </w:t>
      </w:r>
      <w:r w:rsidR="009E1931">
        <w:rPr>
          <w:color w:val="000000"/>
          <w:lang w:val="en-GB"/>
        </w:rPr>
        <w:t>/</w:t>
      </w:r>
      <w:r w:rsidR="00CD2CD4">
        <w:rPr>
          <w:color w:val="000000"/>
          <w:lang w:val="en-GB"/>
        </w:rPr>
        <w:t xml:space="preserve"> </w:t>
      </w:r>
      <w:r w:rsidR="009E1931">
        <w:rPr>
          <w:color w:val="000000"/>
          <w:lang w:val="en-GB"/>
        </w:rPr>
        <w:t>LearnDash</w:t>
      </w:r>
      <w:r w:rsidR="00CD2CD4">
        <w:rPr>
          <w:color w:val="000000"/>
          <w:lang w:val="en-GB"/>
        </w:rPr>
        <w:t xml:space="preserve"> 4.3.1.2</w:t>
      </w:r>
      <w:r w:rsidR="009E1931">
        <w:rPr>
          <w:color w:val="000000"/>
          <w:lang w:val="en-GB"/>
        </w:rPr>
        <w:t>)</w:t>
      </w:r>
      <w:r w:rsidR="00424B89">
        <w:rPr>
          <w:color w:val="000000"/>
          <w:lang w:val="en-GB"/>
        </w:rPr>
        <w:t>, using PHP script.</w:t>
      </w:r>
    </w:p>
    <w:p w14:paraId="6A5250BB" w14:textId="2135B3EE" w:rsidR="00AC4108" w:rsidRDefault="000960D2" w:rsidP="00431414">
      <w:pPr>
        <w:spacing w:after="0" w:line="240" w:lineRule="auto"/>
        <w:jc w:val="both"/>
        <w:rPr>
          <w:rFonts w:cs="Calibri"/>
          <w:lang w:val="en-GB" w:eastAsia="fr-FR"/>
        </w:rPr>
      </w:pPr>
      <w:r w:rsidRPr="000960D2">
        <w:rPr>
          <w:rFonts w:cs="Calibri"/>
          <w:lang w:val="en-GB" w:eastAsia="fr-FR"/>
        </w:rPr>
        <w:t xml:space="preserve">The </w:t>
      </w:r>
      <w:r w:rsidR="00431414" w:rsidRPr="000960D2">
        <w:rPr>
          <w:rFonts w:cs="Calibri"/>
          <w:lang w:val="en-GB" w:eastAsia="fr-FR"/>
        </w:rPr>
        <w:t xml:space="preserve">English </w:t>
      </w:r>
      <w:r w:rsidRPr="000960D2">
        <w:rPr>
          <w:rFonts w:cs="Calibri"/>
          <w:lang w:val="en-GB" w:eastAsia="fr-FR"/>
        </w:rPr>
        <w:t xml:space="preserve">translation of the modules content </w:t>
      </w:r>
      <w:r w:rsidR="00CB0B55">
        <w:rPr>
          <w:rFonts w:cs="Calibri"/>
          <w:lang w:val="en-GB" w:eastAsia="fr-FR"/>
        </w:rPr>
        <w:t xml:space="preserve">itself </w:t>
      </w:r>
      <w:r w:rsidRPr="000960D2">
        <w:rPr>
          <w:rFonts w:cs="Calibri"/>
          <w:lang w:val="en-GB" w:eastAsia="fr-FR"/>
        </w:rPr>
        <w:t>will be achieved by another service provider.</w:t>
      </w:r>
    </w:p>
    <w:p w14:paraId="0F9C6958" w14:textId="77777777" w:rsidR="00431414" w:rsidRDefault="00431414" w:rsidP="00431414">
      <w:pPr>
        <w:spacing w:after="0" w:line="240" w:lineRule="auto"/>
        <w:jc w:val="both"/>
        <w:rPr>
          <w:rFonts w:cs="Calibri"/>
          <w:lang w:val="en-GB" w:eastAsia="fr-FR"/>
        </w:rPr>
      </w:pPr>
    </w:p>
    <w:p w14:paraId="5870FC57" w14:textId="693730CF" w:rsidR="00CB0B55" w:rsidRDefault="00431414" w:rsidP="00CB0B55">
      <w:pPr>
        <w:spacing w:after="0" w:line="240" w:lineRule="auto"/>
        <w:jc w:val="both"/>
        <w:rPr>
          <w:rFonts w:cs="Calibri"/>
          <w:lang w:val="en-GB" w:eastAsia="fr-FR"/>
        </w:rPr>
      </w:pPr>
      <w:r>
        <w:rPr>
          <w:rFonts w:cs="Calibri"/>
          <w:lang w:val="en-GB" w:eastAsia="fr-FR"/>
        </w:rPr>
        <w:t>The translation</w:t>
      </w:r>
      <w:r w:rsidR="00CB0B55">
        <w:rPr>
          <w:rFonts w:cs="Calibri"/>
          <w:lang w:val="en-GB" w:eastAsia="fr-FR"/>
        </w:rPr>
        <w:t xml:space="preserve"> in English</w:t>
      </w:r>
      <w:r>
        <w:rPr>
          <w:rFonts w:cs="Calibri"/>
          <w:lang w:val="en-GB" w:eastAsia="fr-FR"/>
        </w:rPr>
        <w:t xml:space="preserve"> of the overall learning management system is now required to offer a possibilities for students and professionals </w:t>
      </w:r>
      <w:r w:rsidR="00CB0B55">
        <w:rPr>
          <w:rFonts w:cs="Calibri"/>
          <w:lang w:val="en-GB" w:eastAsia="fr-FR"/>
        </w:rPr>
        <w:t>to obtain a training certificate in this language.</w:t>
      </w:r>
    </w:p>
    <w:p w14:paraId="05586EA9" w14:textId="77777777" w:rsidR="00CB0B55" w:rsidRPr="000960D2" w:rsidRDefault="00CB0B55" w:rsidP="00CB0B55">
      <w:pPr>
        <w:spacing w:after="0" w:line="240" w:lineRule="auto"/>
        <w:jc w:val="both"/>
        <w:rPr>
          <w:rFonts w:cs="Calibri"/>
          <w:lang w:val="en-GB" w:eastAsia="fr-FR"/>
        </w:rPr>
      </w:pPr>
    </w:p>
    <w:p w14:paraId="197F40CE" w14:textId="77777777" w:rsidR="00432D31" w:rsidRPr="00FB5E08" w:rsidRDefault="00432D31" w:rsidP="00FB5E08">
      <w:pPr>
        <w:spacing w:after="0" w:line="240" w:lineRule="auto"/>
        <w:jc w:val="both"/>
        <w:rPr>
          <w:rFonts w:cs="Calibri"/>
          <w:b/>
          <w:bCs/>
          <w:lang w:val="en-GB" w:eastAsia="fr-FR"/>
        </w:rPr>
      </w:pPr>
    </w:p>
    <w:p w14:paraId="65ADF636" w14:textId="77777777" w:rsidR="00B66B91" w:rsidRPr="00D646FF" w:rsidRDefault="00FF4132" w:rsidP="00D646FF">
      <w:pPr>
        <w:pStyle w:val="EXP-Titre1"/>
        <w:ind w:left="357" w:hanging="357"/>
        <w:rPr>
          <w:lang w:val="en-GB"/>
        </w:rPr>
      </w:pPr>
      <w:r w:rsidRPr="00D646FF">
        <w:rPr>
          <w:lang w:val="en-GB"/>
        </w:rPr>
        <w:t>MISSION AND TASKS</w:t>
      </w:r>
    </w:p>
    <w:p w14:paraId="68979E3E" w14:textId="3410F7D7" w:rsidR="00855848" w:rsidRDefault="00FF4132" w:rsidP="00170B9C">
      <w:pPr>
        <w:spacing w:after="120" w:line="240" w:lineRule="auto"/>
        <w:jc w:val="both"/>
        <w:rPr>
          <w:rFonts w:cs="Calibri"/>
          <w:lang w:val="en-US" w:eastAsia="ja-JP"/>
        </w:rPr>
      </w:pPr>
      <w:r w:rsidRPr="00B72687">
        <w:rPr>
          <w:rFonts w:cs="Calibri"/>
          <w:lang w:val="en-US" w:eastAsia="ja-JP"/>
        </w:rPr>
        <w:t xml:space="preserve">The </w:t>
      </w:r>
      <w:r w:rsidR="00855848" w:rsidRPr="00B72687">
        <w:rPr>
          <w:rFonts w:cs="Calibri"/>
          <w:lang w:val="en-US" w:eastAsia="ja-JP"/>
        </w:rPr>
        <w:t xml:space="preserve">service provider </w:t>
      </w:r>
      <w:r w:rsidR="00AA5A41" w:rsidRPr="00B72687">
        <w:rPr>
          <w:rFonts w:cs="Calibri"/>
          <w:lang w:val="en-US" w:eastAsia="ja-JP"/>
        </w:rPr>
        <w:t xml:space="preserve">in charge of </w:t>
      </w:r>
      <w:r w:rsidR="00F020C9" w:rsidRPr="00B72687">
        <w:rPr>
          <w:rFonts w:cs="Calibri"/>
          <w:lang w:val="en-US" w:eastAsia="ja-JP"/>
        </w:rPr>
        <w:t xml:space="preserve">the </w:t>
      </w:r>
      <w:r w:rsidR="00855848" w:rsidRPr="00B72687">
        <w:rPr>
          <w:rFonts w:cs="Calibri"/>
          <w:lang w:val="en-US" w:eastAsia="ja-JP"/>
        </w:rPr>
        <w:t>E-</w:t>
      </w:r>
      <w:r w:rsidR="00AA6A22" w:rsidRPr="00B72687">
        <w:rPr>
          <w:rFonts w:cs="Calibri"/>
          <w:lang w:val="en-US" w:eastAsia="ja-JP"/>
        </w:rPr>
        <w:t>learning</w:t>
      </w:r>
      <w:r w:rsidR="00855848" w:rsidRPr="00B72687">
        <w:rPr>
          <w:rFonts w:cs="Calibri"/>
          <w:lang w:val="en-US" w:eastAsia="ja-JP"/>
        </w:rPr>
        <w:t xml:space="preserve"> </w:t>
      </w:r>
      <w:r w:rsidR="00424B89">
        <w:rPr>
          <w:rFonts w:cs="Calibri"/>
          <w:lang w:val="en-US" w:eastAsia="ja-JP"/>
        </w:rPr>
        <w:t>platform translation</w:t>
      </w:r>
      <w:r w:rsidR="00F020C9" w:rsidRPr="00B72687">
        <w:rPr>
          <w:rFonts w:cs="Calibri"/>
          <w:lang w:val="en-US" w:eastAsia="ja-JP"/>
        </w:rPr>
        <w:t xml:space="preserve"> </w:t>
      </w:r>
      <w:r w:rsidR="006F5C24" w:rsidRPr="00B72687">
        <w:rPr>
          <w:rFonts w:cs="Calibri"/>
          <w:lang w:val="en-US" w:eastAsia="ja-JP"/>
        </w:rPr>
        <w:t>for</w:t>
      </w:r>
      <w:r w:rsidR="00F020C9" w:rsidRPr="00B72687">
        <w:rPr>
          <w:rFonts w:cs="Calibri"/>
          <w:lang w:val="en-US" w:eastAsia="ja-JP"/>
        </w:rPr>
        <w:t xml:space="preserve"> </w:t>
      </w:r>
      <w:r w:rsidR="00581FFF" w:rsidRPr="00B72687">
        <w:rPr>
          <w:color w:val="000000"/>
          <w:lang w:val="en-GB"/>
        </w:rPr>
        <w:t xml:space="preserve">MENDAMI </w:t>
      </w:r>
      <w:r w:rsidR="00F020C9" w:rsidRPr="00B72687">
        <w:rPr>
          <w:rFonts w:cs="Calibri"/>
          <w:lang w:val="en-US" w:eastAsia="ja-JP"/>
        </w:rPr>
        <w:t xml:space="preserve">2 </w:t>
      </w:r>
      <w:r w:rsidR="00AC5CB1" w:rsidRPr="00B72687">
        <w:rPr>
          <w:rFonts w:cs="Calibri"/>
          <w:lang w:val="en-US" w:eastAsia="ja-JP"/>
        </w:rPr>
        <w:t>shall</w:t>
      </w:r>
      <w:r w:rsidRPr="00B72687">
        <w:rPr>
          <w:rFonts w:cs="Calibri"/>
          <w:lang w:val="en-US" w:eastAsia="ja-JP"/>
        </w:rPr>
        <w:t xml:space="preserve"> work in</w:t>
      </w:r>
      <w:r>
        <w:rPr>
          <w:rFonts w:cs="Calibri"/>
          <w:lang w:val="en-US" w:eastAsia="ja-JP"/>
        </w:rPr>
        <w:t xml:space="preserve"> close cooperation with</w:t>
      </w:r>
      <w:r w:rsidR="00855848">
        <w:rPr>
          <w:rFonts w:cs="Calibri"/>
          <w:lang w:val="en-US" w:eastAsia="ja-JP"/>
        </w:rPr>
        <w:t>:</w:t>
      </w:r>
    </w:p>
    <w:p w14:paraId="0F1F3E8A" w14:textId="1AE618FE" w:rsidR="00855848" w:rsidRDefault="00855848" w:rsidP="00855848">
      <w:pPr>
        <w:pStyle w:val="Paragraphedeliste"/>
        <w:numPr>
          <w:ilvl w:val="0"/>
          <w:numId w:val="5"/>
        </w:numPr>
        <w:spacing w:after="0" w:line="240" w:lineRule="auto"/>
        <w:jc w:val="both"/>
        <w:rPr>
          <w:rFonts w:cs="Calibri"/>
          <w:lang w:val="en-US" w:eastAsia="ja-JP"/>
        </w:rPr>
      </w:pPr>
      <w:r w:rsidRPr="00855848">
        <w:rPr>
          <w:rFonts w:cs="Calibri"/>
          <w:lang w:val="en-US" w:eastAsia="ja-JP"/>
        </w:rPr>
        <w:t>the NBTSA Director</w:t>
      </w:r>
      <w:r w:rsidR="005261CB">
        <w:rPr>
          <w:rFonts w:cs="Calibri"/>
          <w:lang w:val="en-US" w:eastAsia="ja-JP"/>
        </w:rPr>
        <w:t>,</w:t>
      </w:r>
    </w:p>
    <w:p w14:paraId="1582DCCD" w14:textId="193016F3" w:rsidR="00855848" w:rsidRDefault="0059420B" w:rsidP="00855848">
      <w:pPr>
        <w:pStyle w:val="Paragraphedeliste"/>
        <w:numPr>
          <w:ilvl w:val="0"/>
          <w:numId w:val="5"/>
        </w:numPr>
        <w:spacing w:after="0" w:line="240" w:lineRule="auto"/>
        <w:jc w:val="both"/>
        <w:rPr>
          <w:rFonts w:cs="Calibri"/>
          <w:lang w:val="en-US" w:eastAsia="ja-JP"/>
        </w:rPr>
      </w:pPr>
      <w:r w:rsidRPr="00855848">
        <w:rPr>
          <w:rFonts w:cs="Calibri"/>
          <w:lang w:val="en-US" w:eastAsia="ja-JP"/>
        </w:rPr>
        <w:t>the</w:t>
      </w:r>
      <w:r w:rsidR="00AA5A41" w:rsidRPr="00855848">
        <w:rPr>
          <w:rFonts w:cs="Calibri"/>
          <w:lang w:val="en-US" w:eastAsia="ja-JP"/>
        </w:rPr>
        <w:t xml:space="preserve"> </w:t>
      </w:r>
      <w:r w:rsidR="005261CB" w:rsidRPr="00855848">
        <w:rPr>
          <w:rFonts w:cs="Calibri"/>
          <w:lang w:val="en-US" w:eastAsia="ja-JP"/>
        </w:rPr>
        <w:t>Project Manager</w:t>
      </w:r>
      <w:r w:rsidR="005261CB">
        <w:rPr>
          <w:rFonts w:cs="Calibri"/>
          <w:lang w:val="en-US" w:eastAsia="ja-JP"/>
        </w:rPr>
        <w:t xml:space="preserve"> of </w:t>
      </w:r>
      <w:r w:rsidR="00855848">
        <w:rPr>
          <w:rFonts w:cs="Calibri"/>
          <w:lang w:val="en-US" w:eastAsia="ja-JP"/>
        </w:rPr>
        <w:t>Mendami 2</w:t>
      </w:r>
      <w:r w:rsidR="00855848" w:rsidRPr="00855848">
        <w:rPr>
          <w:rFonts w:cs="Calibri"/>
          <w:lang w:val="en-US" w:eastAsia="ja-JP"/>
        </w:rPr>
        <w:t xml:space="preserve">, </w:t>
      </w:r>
    </w:p>
    <w:p w14:paraId="6BA62E56" w14:textId="31801D05" w:rsidR="00855848" w:rsidRDefault="00AA5A41" w:rsidP="00855848">
      <w:pPr>
        <w:pStyle w:val="Paragraphedeliste"/>
        <w:numPr>
          <w:ilvl w:val="0"/>
          <w:numId w:val="5"/>
        </w:numPr>
        <w:spacing w:after="0" w:line="240" w:lineRule="auto"/>
        <w:jc w:val="both"/>
        <w:rPr>
          <w:rFonts w:cs="Calibri"/>
          <w:lang w:val="en-US" w:eastAsia="ja-JP"/>
        </w:rPr>
      </w:pPr>
      <w:r w:rsidRPr="00855848">
        <w:rPr>
          <w:rFonts w:cs="Calibri"/>
          <w:lang w:val="en-US" w:eastAsia="ja-JP"/>
        </w:rPr>
        <w:t xml:space="preserve">experts </w:t>
      </w:r>
      <w:r w:rsidR="00855848" w:rsidRPr="00855848">
        <w:rPr>
          <w:rFonts w:cs="Calibri"/>
          <w:lang w:val="en-US" w:eastAsia="ja-JP"/>
        </w:rPr>
        <w:t>mobilized</w:t>
      </w:r>
      <w:r w:rsidR="005261CB">
        <w:rPr>
          <w:rFonts w:cs="Calibri"/>
          <w:lang w:val="en-US" w:eastAsia="ja-JP"/>
        </w:rPr>
        <w:t xml:space="preserve"> on the project as referent,</w:t>
      </w:r>
    </w:p>
    <w:p w14:paraId="57B49F08" w14:textId="193E294F" w:rsidR="005625EA" w:rsidRPr="00855848" w:rsidRDefault="005625EA" w:rsidP="00E92030">
      <w:pPr>
        <w:pStyle w:val="Paragraphedeliste"/>
        <w:numPr>
          <w:ilvl w:val="0"/>
          <w:numId w:val="5"/>
        </w:numPr>
        <w:spacing w:after="0" w:line="240" w:lineRule="auto"/>
        <w:ind w:left="714" w:hanging="357"/>
        <w:jc w:val="both"/>
        <w:rPr>
          <w:rFonts w:cs="Calibri"/>
          <w:lang w:val="en-US" w:eastAsia="ja-JP"/>
        </w:rPr>
      </w:pPr>
      <w:r w:rsidRPr="005625EA">
        <w:rPr>
          <w:rFonts w:cs="Calibri"/>
          <w:lang w:val="en-US" w:eastAsia="ja-JP"/>
        </w:rPr>
        <w:t xml:space="preserve">other relevant </w:t>
      </w:r>
      <w:r>
        <w:rPr>
          <w:rFonts w:cs="Calibri"/>
          <w:lang w:val="en-US" w:eastAsia="ja-JP"/>
        </w:rPr>
        <w:t>actors based on the needs of the programme.</w:t>
      </w:r>
    </w:p>
    <w:p w14:paraId="70CBD24F" w14:textId="77777777" w:rsidR="00C24331" w:rsidRDefault="00C24331" w:rsidP="00E92030">
      <w:pPr>
        <w:pStyle w:val="EXP-Titre2"/>
        <w:spacing w:after="0"/>
        <w:jc w:val="both"/>
        <w:rPr>
          <w:rFonts w:ascii="Calibri" w:hAnsi="Calibri" w:cs="Calibri"/>
          <w:lang w:val="en-US"/>
        </w:rPr>
      </w:pPr>
    </w:p>
    <w:p w14:paraId="05B16EBB" w14:textId="77777777" w:rsidR="00581FFF" w:rsidRPr="00056777" w:rsidRDefault="00581FFF" w:rsidP="007B7293">
      <w:pPr>
        <w:pStyle w:val="EXP-Titre2"/>
        <w:jc w:val="both"/>
        <w:rPr>
          <w:rFonts w:ascii="Calibri" w:hAnsi="Calibri" w:cs="Calibri"/>
          <w:lang w:val="en-US"/>
        </w:rPr>
      </w:pPr>
      <w:r w:rsidRPr="00056777">
        <w:rPr>
          <w:rFonts w:ascii="Calibri" w:hAnsi="Calibri" w:cs="Calibri"/>
          <w:lang w:val="en-US"/>
        </w:rPr>
        <w:t>1.1 Tasks</w:t>
      </w:r>
    </w:p>
    <w:p w14:paraId="18E4919A" w14:textId="3FC9F451" w:rsidR="00AA6A22" w:rsidRDefault="00AA6A22" w:rsidP="008B6042">
      <w:pPr>
        <w:pBdr>
          <w:between w:val="nil"/>
        </w:pBdr>
        <w:spacing w:after="0" w:line="276" w:lineRule="auto"/>
        <w:jc w:val="both"/>
        <w:rPr>
          <w:color w:val="000000"/>
          <w:lang w:val="en-GB"/>
        </w:rPr>
      </w:pPr>
      <w:r>
        <w:rPr>
          <w:color w:val="000000"/>
          <w:lang w:val="en-GB"/>
        </w:rPr>
        <w:t xml:space="preserve">The support </w:t>
      </w:r>
      <w:r w:rsidR="00ED76D8">
        <w:rPr>
          <w:color w:val="000000"/>
          <w:lang w:val="en-GB"/>
        </w:rPr>
        <w:t xml:space="preserve">will </w:t>
      </w:r>
      <w:r>
        <w:rPr>
          <w:color w:val="000000"/>
          <w:lang w:val="en-GB"/>
        </w:rPr>
        <w:t>consist in:</w:t>
      </w:r>
    </w:p>
    <w:p w14:paraId="6A02B81B" w14:textId="77777777" w:rsidR="00B3444E" w:rsidRPr="00A3792B" w:rsidRDefault="00B3444E" w:rsidP="00B3444E">
      <w:pPr>
        <w:pStyle w:val="Paragraphedeliste"/>
        <w:numPr>
          <w:ilvl w:val="0"/>
          <w:numId w:val="5"/>
        </w:numPr>
        <w:rPr>
          <w:color w:val="000000"/>
          <w:u w:val="single"/>
          <w:lang w:val="en-GB"/>
        </w:rPr>
      </w:pPr>
      <w:r w:rsidRPr="00A3792B">
        <w:rPr>
          <w:color w:val="000000"/>
          <w:u w:val="single"/>
          <w:lang w:val="en-GB"/>
        </w:rPr>
        <w:t xml:space="preserve">Ensuring the </w:t>
      </w:r>
      <w:r>
        <w:rPr>
          <w:color w:val="000000"/>
          <w:u w:val="single"/>
          <w:lang w:val="en-GB"/>
        </w:rPr>
        <w:t>integration</w:t>
      </w:r>
      <w:r w:rsidRPr="00A3792B">
        <w:rPr>
          <w:color w:val="000000"/>
          <w:u w:val="single"/>
          <w:lang w:val="en-GB"/>
        </w:rPr>
        <w:t xml:space="preserve"> </w:t>
      </w:r>
      <w:r>
        <w:rPr>
          <w:color w:val="000000"/>
          <w:u w:val="single"/>
          <w:lang w:val="en-GB"/>
        </w:rPr>
        <w:t>of the</w:t>
      </w:r>
      <w:r w:rsidRPr="00A3792B">
        <w:rPr>
          <w:color w:val="000000"/>
          <w:u w:val="single"/>
          <w:lang w:val="en-GB"/>
        </w:rPr>
        <w:t xml:space="preserve"> English </w:t>
      </w:r>
      <w:r>
        <w:rPr>
          <w:color w:val="000000"/>
          <w:u w:val="single"/>
          <w:lang w:val="en-GB"/>
        </w:rPr>
        <w:t xml:space="preserve">translation </w:t>
      </w:r>
      <w:r w:rsidRPr="00A3792B">
        <w:rPr>
          <w:color w:val="000000"/>
          <w:u w:val="single"/>
          <w:lang w:val="en-GB"/>
        </w:rPr>
        <w:t>of:</w:t>
      </w:r>
    </w:p>
    <w:p w14:paraId="055DC452" w14:textId="77777777" w:rsidR="00B3444E" w:rsidRPr="00C24331" w:rsidRDefault="00B3444E" w:rsidP="00B3444E">
      <w:pPr>
        <w:pStyle w:val="Paragraphedeliste"/>
        <w:numPr>
          <w:ilvl w:val="1"/>
          <w:numId w:val="5"/>
        </w:numPr>
        <w:pBdr>
          <w:between w:val="nil"/>
        </w:pBdr>
        <w:spacing w:after="0" w:line="276" w:lineRule="auto"/>
        <w:jc w:val="both"/>
        <w:rPr>
          <w:color w:val="000000"/>
          <w:lang w:val="en-GB"/>
        </w:rPr>
      </w:pPr>
      <w:r w:rsidRPr="00C24331">
        <w:rPr>
          <w:color w:val="000000"/>
          <w:lang w:val="en-GB"/>
        </w:rPr>
        <w:t xml:space="preserve">All 7 learning modules (37 chapters, </w:t>
      </w:r>
      <w:r>
        <w:rPr>
          <w:color w:val="000000"/>
          <w:lang w:val="en-GB"/>
        </w:rPr>
        <w:t>approx. 2450</w:t>
      </w:r>
      <w:r w:rsidRPr="00C24331">
        <w:rPr>
          <w:color w:val="000000"/>
          <w:lang w:val="en-GB"/>
        </w:rPr>
        <w:t xml:space="preserve"> slides</w:t>
      </w:r>
      <w:r>
        <w:rPr>
          <w:color w:val="000000"/>
          <w:lang w:val="en-GB"/>
        </w:rPr>
        <w:t xml:space="preserve"> for which design is also to be adjusted when necessary</w:t>
      </w:r>
      <w:r w:rsidRPr="00C24331">
        <w:rPr>
          <w:color w:val="000000"/>
          <w:lang w:val="en-GB"/>
        </w:rPr>
        <w:t>);</w:t>
      </w:r>
    </w:p>
    <w:p w14:paraId="79412F77" w14:textId="77777777" w:rsidR="00B3444E" w:rsidRDefault="00B3444E" w:rsidP="00B3444E">
      <w:pPr>
        <w:pStyle w:val="Paragraphedeliste"/>
        <w:numPr>
          <w:ilvl w:val="1"/>
          <w:numId w:val="5"/>
        </w:numPr>
        <w:pBdr>
          <w:between w:val="nil"/>
        </w:pBdr>
        <w:spacing w:after="0" w:line="276" w:lineRule="auto"/>
        <w:jc w:val="both"/>
        <w:rPr>
          <w:color w:val="000000"/>
          <w:lang w:val="en-GB"/>
        </w:rPr>
      </w:pPr>
      <w:r>
        <w:rPr>
          <w:color w:val="000000"/>
          <w:lang w:val="en-GB"/>
        </w:rPr>
        <w:t>All 7 tests and questionnaires;</w:t>
      </w:r>
    </w:p>
    <w:p w14:paraId="54C6D27A" w14:textId="77777777" w:rsidR="00B3444E" w:rsidRDefault="00B3444E" w:rsidP="00B3444E">
      <w:pPr>
        <w:pStyle w:val="Paragraphedeliste"/>
        <w:numPr>
          <w:ilvl w:val="1"/>
          <w:numId w:val="5"/>
        </w:numPr>
        <w:pBdr>
          <w:between w:val="nil"/>
        </w:pBdr>
        <w:spacing w:after="0" w:line="276" w:lineRule="auto"/>
        <w:jc w:val="both"/>
        <w:rPr>
          <w:color w:val="000000"/>
          <w:lang w:val="en-GB"/>
        </w:rPr>
      </w:pPr>
      <w:r>
        <w:rPr>
          <w:color w:val="000000"/>
          <w:lang w:val="en-GB"/>
        </w:rPr>
        <w:t>All resources documents (summary sheets of chapters and annexes, 761 slides);</w:t>
      </w:r>
    </w:p>
    <w:p w14:paraId="6A858209" w14:textId="77777777" w:rsidR="00B3444E" w:rsidRDefault="00B3444E" w:rsidP="00B3444E">
      <w:pPr>
        <w:pStyle w:val="Paragraphedeliste"/>
        <w:numPr>
          <w:ilvl w:val="1"/>
          <w:numId w:val="5"/>
        </w:numPr>
        <w:pBdr>
          <w:between w:val="nil"/>
        </w:pBdr>
        <w:spacing w:after="0" w:line="276" w:lineRule="auto"/>
        <w:jc w:val="both"/>
        <w:rPr>
          <w:color w:val="000000"/>
          <w:lang w:val="en-GB"/>
        </w:rPr>
      </w:pPr>
      <w:r>
        <w:rPr>
          <w:color w:val="000000"/>
          <w:lang w:val="en-GB"/>
        </w:rPr>
        <w:t>The general glossary.</w:t>
      </w:r>
    </w:p>
    <w:p w14:paraId="1EDA8CCE" w14:textId="77777777" w:rsidR="00B3444E" w:rsidRDefault="00B3444E" w:rsidP="00B3444E">
      <w:pPr>
        <w:pStyle w:val="Paragraphedeliste"/>
        <w:pBdr>
          <w:between w:val="nil"/>
        </w:pBdr>
        <w:spacing w:after="0" w:line="276" w:lineRule="auto"/>
        <w:ind w:left="1440"/>
        <w:jc w:val="both"/>
        <w:rPr>
          <w:color w:val="000000"/>
          <w:lang w:val="en-GB"/>
        </w:rPr>
      </w:pPr>
    </w:p>
    <w:p w14:paraId="499FD8AE" w14:textId="53E5CFF0" w:rsidR="00005435" w:rsidRPr="00005435" w:rsidRDefault="009A66C3" w:rsidP="008776D6">
      <w:pPr>
        <w:pStyle w:val="Paragraphedeliste"/>
        <w:numPr>
          <w:ilvl w:val="0"/>
          <w:numId w:val="5"/>
        </w:numPr>
        <w:pBdr>
          <w:between w:val="nil"/>
        </w:pBdr>
        <w:spacing w:after="0" w:line="276" w:lineRule="auto"/>
        <w:jc w:val="both"/>
        <w:rPr>
          <w:color w:val="000000"/>
          <w:u w:val="single"/>
          <w:lang w:val="en-GB"/>
        </w:rPr>
      </w:pPr>
      <w:r>
        <w:rPr>
          <w:color w:val="000000"/>
          <w:u w:val="single"/>
          <w:lang w:val="en-GB"/>
        </w:rPr>
        <w:t xml:space="preserve">Ensuring the </w:t>
      </w:r>
      <w:r w:rsidR="00916476">
        <w:rPr>
          <w:color w:val="000000"/>
          <w:u w:val="single"/>
          <w:lang w:val="en-GB"/>
        </w:rPr>
        <w:t>translation</w:t>
      </w:r>
      <w:r>
        <w:rPr>
          <w:color w:val="000000"/>
          <w:u w:val="single"/>
          <w:lang w:val="en-GB"/>
        </w:rPr>
        <w:t xml:space="preserve"> </w:t>
      </w:r>
      <w:r w:rsidR="00E7406E">
        <w:rPr>
          <w:color w:val="000000"/>
          <w:u w:val="single"/>
          <w:lang w:val="en-GB"/>
        </w:rPr>
        <w:t xml:space="preserve">from </w:t>
      </w:r>
      <w:r w:rsidR="008776D6">
        <w:rPr>
          <w:color w:val="000000"/>
          <w:u w:val="single"/>
          <w:lang w:val="en-GB"/>
        </w:rPr>
        <w:t>Arabic</w:t>
      </w:r>
      <w:r w:rsidR="00E7406E">
        <w:rPr>
          <w:color w:val="000000"/>
          <w:u w:val="single"/>
          <w:lang w:val="en-GB"/>
        </w:rPr>
        <w:t xml:space="preserve"> to English </w:t>
      </w:r>
      <w:r w:rsidR="00916476">
        <w:rPr>
          <w:color w:val="000000"/>
          <w:u w:val="single"/>
          <w:lang w:val="en-GB"/>
        </w:rPr>
        <w:t>o</w:t>
      </w:r>
      <w:r w:rsidR="007B7293">
        <w:rPr>
          <w:color w:val="000000"/>
          <w:u w:val="single"/>
          <w:lang w:val="en-GB"/>
        </w:rPr>
        <w:t>f</w:t>
      </w:r>
      <w:r w:rsidR="00005435" w:rsidRPr="00005435">
        <w:rPr>
          <w:color w:val="000000"/>
          <w:u w:val="single"/>
          <w:lang w:val="en-GB"/>
        </w:rPr>
        <w:t>:</w:t>
      </w:r>
    </w:p>
    <w:p w14:paraId="6AAAB7B4" w14:textId="77777777" w:rsidR="00A3792B" w:rsidRDefault="00A3792B" w:rsidP="00A3792B">
      <w:pPr>
        <w:pStyle w:val="Paragraphedeliste"/>
        <w:numPr>
          <w:ilvl w:val="1"/>
          <w:numId w:val="5"/>
        </w:numPr>
        <w:pBdr>
          <w:between w:val="nil"/>
        </w:pBdr>
        <w:spacing w:after="0" w:line="276" w:lineRule="auto"/>
        <w:jc w:val="both"/>
        <w:rPr>
          <w:color w:val="000000"/>
          <w:lang w:val="en-GB"/>
        </w:rPr>
      </w:pPr>
      <w:r w:rsidRPr="00C24331">
        <w:rPr>
          <w:lang w:val="en-GB"/>
        </w:rPr>
        <w:t xml:space="preserve">The Learning Management System public interface (homepage, registration page, </w:t>
      </w:r>
      <w:r>
        <w:rPr>
          <w:lang w:val="en-GB"/>
        </w:rPr>
        <w:t xml:space="preserve">presentation pages, </w:t>
      </w:r>
      <w:r w:rsidRPr="00C24331">
        <w:rPr>
          <w:lang w:val="en-GB"/>
        </w:rPr>
        <w:t>certificate</w:t>
      </w:r>
      <w:r>
        <w:rPr>
          <w:lang w:val="en-GB"/>
        </w:rPr>
        <w:t>s, FAQ and database sheet</w:t>
      </w:r>
      <w:r w:rsidRPr="00C24331">
        <w:rPr>
          <w:color w:val="000000"/>
          <w:lang w:val="en-GB"/>
        </w:rPr>
        <w:t>)</w:t>
      </w:r>
      <w:r>
        <w:rPr>
          <w:color w:val="000000"/>
          <w:lang w:val="en-GB"/>
        </w:rPr>
        <w:t>.</w:t>
      </w:r>
    </w:p>
    <w:p w14:paraId="5E5BDCBE" w14:textId="77777777" w:rsidR="00B3444E" w:rsidRDefault="00B3444E" w:rsidP="00B3444E">
      <w:pPr>
        <w:pStyle w:val="Paragraphedeliste"/>
        <w:pBdr>
          <w:between w:val="nil"/>
        </w:pBdr>
        <w:spacing w:after="0" w:line="276" w:lineRule="auto"/>
        <w:jc w:val="both"/>
        <w:rPr>
          <w:color w:val="000000"/>
          <w:u w:val="single"/>
          <w:lang w:val="en-GB"/>
        </w:rPr>
      </w:pPr>
    </w:p>
    <w:p w14:paraId="28D06B73" w14:textId="3944EEC4" w:rsidR="00005435" w:rsidRPr="00005435" w:rsidRDefault="00916476" w:rsidP="00005435">
      <w:pPr>
        <w:pStyle w:val="Paragraphedeliste"/>
        <w:numPr>
          <w:ilvl w:val="0"/>
          <w:numId w:val="5"/>
        </w:numPr>
        <w:pBdr>
          <w:between w:val="nil"/>
        </w:pBdr>
        <w:spacing w:after="0" w:line="276" w:lineRule="auto"/>
        <w:jc w:val="both"/>
        <w:rPr>
          <w:color w:val="000000"/>
          <w:u w:val="single"/>
          <w:lang w:val="en-GB"/>
        </w:rPr>
      </w:pPr>
      <w:r>
        <w:rPr>
          <w:color w:val="000000"/>
          <w:u w:val="single"/>
          <w:lang w:val="en-GB"/>
        </w:rPr>
        <w:t>Ensuring the</w:t>
      </w:r>
      <w:r w:rsidR="00005435">
        <w:rPr>
          <w:color w:val="000000"/>
          <w:u w:val="single"/>
          <w:lang w:val="en-GB"/>
        </w:rPr>
        <w:t xml:space="preserve"> reporting</w:t>
      </w:r>
      <w:r w:rsidR="00005435" w:rsidRPr="00005435">
        <w:rPr>
          <w:color w:val="000000"/>
          <w:u w:val="single"/>
          <w:lang w:val="en-GB"/>
        </w:rPr>
        <w:t xml:space="preserve"> </w:t>
      </w:r>
      <w:r w:rsidR="00432D31">
        <w:rPr>
          <w:color w:val="000000"/>
          <w:u w:val="single"/>
          <w:lang w:val="en-GB"/>
        </w:rPr>
        <w:t xml:space="preserve">of activities managed </w:t>
      </w:r>
      <w:r w:rsidR="00005435" w:rsidRPr="00005435">
        <w:rPr>
          <w:color w:val="000000"/>
          <w:u w:val="single"/>
          <w:lang w:val="en-GB"/>
        </w:rPr>
        <w:t>by:</w:t>
      </w:r>
    </w:p>
    <w:p w14:paraId="40AEF124" w14:textId="5E23D287" w:rsidR="00D61D50" w:rsidRPr="00D61D50" w:rsidRDefault="00C24331" w:rsidP="00C24331">
      <w:pPr>
        <w:pStyle w:val="Paragraphedeliste"/>
        <w:numPr>
          <w:ilvl w:val="1"/>
          <w:numId w:val="5"/>
        </w:numPr>
        <w:pBdr>
          <w:between w:val="nil"/>
        </w:pBdr>
        <w:spacing w:after="0" w:line="276" w:lineRule="auto"/>
        <w:jc w:val="both"/>
        <w:rPr>
          <w:rFonts w:cs="Calibri"/>
          <w:lang w:val="en-US" w:eastAsia="ja-JP"/>
        </w:rPr>
      </w:pPr>
      <w:bookmarkStart w:id="12" w:name="_Toc75345360"/>
      <w:r>
        <w:rPr>
          <w:color w:val="000000"/>
          <w:lang w:val="en-GB"/>
        </w:rPr>
        <w:t xml:space="preserve">Providing </w:t>
      </w:r>
      <w:r w:rsidR="00D61D50">
        <w:rPr>
          <w:color w:val="000000"/>
          <w:lang w:val="en-GB"/>
        </w:rPr>
        <w:t>weekly updates on the advancement situation;</w:t>
      </w:r>
    </w:p>
    <w:p w14:paraId="6BE09518" w14:textId="4723A07B" w:rsidR="009D6AC1" w:rsidRPr="00C24331" w:rsidRDefault="00D61D50" w:rsidP="00C24331">
      <w:pPr>
        <w:pStyle w:val="Paragraphedeliste"/>
        <w:numPr>
          <w:ilvl w:val="1"/>
          <w:numId w:val="5"/>
        </w:numPr>
        <w:pBdr>
          <w:between w:val="nil"/>
        </w:pBdr>
        <w:spacing w:after="0" w:line="276" w:lineRule="auto"/>
        <w:jc w:val="both"/>
        <w:rPr>
          <w:rFonts w:cs="Calibri"/>
          <w:lang w:val="en-US" w:eastAsia="ja-JP"/>
        </w:rPr>
      </w:pPr>
      <w:r>
        <w:rPr>
          <w:color w:val="000000"/>
          <w:lang w:val="en-GB"/>
        </w:rPr>
        <w:t xml:space="preserve">Providing </w:t>
      </w:r>
      <w:r w:rsidR="00C24331">
        <w:rPr>
          <w:color w:val="000000"/>
          <w:lang w:val="en-GB"/>
        </w:rPr>
        <w:t>a final report on the activity achievement.</w:t>
      </w:r>
    </w:p>
    <w:p w14:paraId="519428E0" w14:textId="77777777" w:rsidR="00C24331" w:rsidRDefault="00C24331" w:rsidP="00C24331">
      <w:pPr>
        <w:pStyle w:val="Paragraphedeliste"/>
        <w:pBdr>
          <w:between w:val="nil"/>
        </w:pBdr>
        <w:spacing w:after="0" w:line="276" w:lineRule="auto"/>
        <w:ind w:left="1440"/>
        <w:jc w:val="both"/>
        <w:rPr>
          <w:rFonts w:cs="Calibri"/>
          <w:lang w:val="en-US" w:eastAsia="ja-JP"/>
        </w:rPr>
      </w:pPr>
    </w:p>
    <w:p w14:paraId="21C4B43B" w14:textId="77777777" w:rsidR="009D6AC1" w:rsidRPr="00D646FF" w:rsidRDefault="009D6AC1" w:rsidP="00D646FF">
      <w:pPr>
        <w:pStyle w:val="EXP-Titre2"/>
        <w:spacing w:before="240"/>
        <w:jc w:val="both"/>
        <w:rPr>
          <w:rFonts w:ascii="Calibri" w:hAnsi="Calibri" w:cs="Calibri"/>
          <w:lang w:val="en-US"/>
        </w:rPr>
      </w:pPr>
      <w:r w:rsidRPr="00D646FF">
        <w:rPr>
          <w:rFonts w:ascii="Calibri" w:hAnsi="Calibri" w:cs="Calibri"/>
          <w:lang w:val="en-US"/>
        </w:rPr>
        <w:t>1.2 Deliverables</w:t>
      </w:r>
    </w:p>
    <w:p w14:paraId="7F95F3D2" w14:textId="77777777" w:rsidR="002E6DFD" w:rsidRDefault="002E7562" w:rsidP="002E6DFD">
      <w:pPr>
        <w:pStyle w:val="Corpsdetexte"/>
        <w:spacing w:after="160"/>
        <w:contextualSpacing/>
        <w:rPr>
          <w:rFonts w:asciiTheme="minorHAnsi" w:hAnsiTheme="minorHAnsi" w:cstheme="minorHAnsi"/>
          <w:sz w:val="22"/>
          <w:szCs w:val="22"/>
          <w:lang w:val="en-US" w:eastAsia="ja-JP"/>
        </w:rPr>
      </w:pPr>
      <w:r w:rsidRPr="00B72687">
        <w:rPr>
          <w:rFonts w:asciiTheme="minorHAnsi" w:hAnsiTheme="minorHAnsi" w:cstheme="minorHAnsi"/>
          <w:sz w:val="22"/>
          <w:szCs w:val="22"/>
          <w:lang w:val="en-US" w:eastAsia="ja-JP"/>
        </w:rPr>
        <w:t xml:space="preserve">The service provider </w:t>
      </w:r>
      <w:r w:rsidR="002E6DFD" w:rsidRPr="00B72687">
        <w:rPr>
          <w:rFonts w:asciiTheme="minorHAnsi" w:hAnsiTheme="minorHAnsi" w:cstheme="minorHAnsi"/>
          <w:sz w:val="22"/>
          <w:szCs w:val="22"/>
          <w:lang w:val="en-US" w:eastAsia="ja-JP"/>
        </w:rPr>
        <w:t>shall</w:t>
      </w:r>
      <w:r w:rsidRPr="00B72687">
        <w:rPr>
          <w:rFonts w:asciiTheme="minorHAnsi" w:hAnsiTheme="minorHAnsi" w:cstheme="minorHAnsi"/>
          <w:sz w:val="22"/>
          <w:szCs w:val="22"/>
          <w:lang w:val="en-US" w:eastAsia="ja-JP"/>
        </w:rPr>
        <w:t xml:space="preserve"> provide</w:t>
      </w:r>
      <w:r w:rsidR="002E6DFD" w:rsidRPr="00B72687">
        <w:rPr>
          <w:rFonts w:asciiTheme="minorHAnsi" w:hAnsiTheme="minorHAnsi" w:cstheme="minorHAnsi"/>
          <w:sz w:val="22"/>
          <w:szCs w:val="22"/>
          <w:lang w:val="en-US" w:eastAsia="ja-JP"/>
        </w:rPr>
        <w:t>:</w:t>
      </w:r>
    </w:p>
    <w:p w14:paraId="6C421CF0" w14:textId="244EB215" w:rsidR="005625EA" w:rsidRDefault="000E1C1A" w:rsidP="000960D2">
      <w:pPr>
        <w:pStyle w:val="Corpsdetexte"/>
        <w:numPr>
          <w:ilvl w:val="0"/>
          <w:numId w:val="5"/>
        </w:numPr>
        <w:spacing w:after="240"/>
        <w:ind w:left="714" w:hanging="357"/>
        <w:contextualSpacing/>
        <w:rPr>
          <w:rFonts w:asciiTheme="minorHAnsi" w:hAnsiTheme="minorHAnsi" w:cstheme="minorHAnsi"/>
          <w:sz w:val="22"/>
          <w:szCs w:val="22"/>
          <w:lang w:val="en-US" w:eastAsia="ja-JP"/>
        </w:rPr>
      </w:pPr>
      <w:r>
        <w:rPr>
          <w:rFonts w:asciiTheme="minorHAnsi" w:hAnsiTheme="minorHAnsi" w:cstheme="minorHAnsi"/>
          <w:sz w:val="22"/>
          <w:szCs w:val="22"/>
          <w:lang w:val="en-US" w:eastAsia="ja-JP"/>
        </w:rPr>
        <w:t xml:space="preserve">All material translated into </w:t>
      </w:r>
      <w:r w:rsidR="007B7293">
        <w:rPr>
          <w:rFonts w:asciiTheme="minorHAnsi" w:hAnsiTheme="minorHAnsi" w:cstheme="minorHAnsi"/>
          <w:sz w:val="22"/>
          <w:szCs w:val="22"/>
          <w:lang w:val="en-US" w:eastAsia="ja-JP"/>
        </w:rPr>
        <w:t>English</w:t>
      </w:r>
      <w:r w:rsidR="000960D2">
        <w:rPr>
          <w:rFonts w:asciiTheme="minorHAnsi" w:hAnsiTheme="minorHAnsi" w:cstheme="minorHAnsi"/>
          <w:sz w:val="22"/>
          <w:szCs w:val="22"/>
          <w:lang w:val="en-US" w:eastAsia="ja-JP"/>
        </w:rPr>
        <w:t xml:space="preserve"> on the </w:t>
      </w:r>
      <w:r w:rsidR="000960D2" w:rsidRPr="006B1981">
        <w:rPr>
          <w:rFonts w:asciiTheme="minorHAnsi" w:hAnsiTheme="minorHAnsi" w:cstheme="minorHAnsi"/>
          <w:sz w:val="22"/>
          <w:szCs w:val="22"/>
          <w:lang w:val="en-US" w:eastAsia="ja-JP"/>
        </w:rPr>
        <w:t>Learning Management System</w:t>
      </w:r>
      <w:r w:rsidR="00D61D50">
        <w:rPr>
          <w:rFonts w:asciiTheme="minorHAnsi" w:hAnsiTheme="minorHAnsi" w:cstheme="minorHAnsi"/>
          <w:sz w:val="22"/>
          <w:szCs w:val="22"/>
          <w:lang w:val="en-US" w:eastAsia="ja-JP"/>
        </w:rPr>
        <w:t>;</w:t>
      </w:r>
    </w:p>
    <w:p w14:paraId="3CD06826" w14:textId="1F505C90" w:rsidR="00D61D50" w:rsidRDefault="00D61D50" w:rsidP="00D646FF">
      <w:pPr>
        <w:pStyle w:val="Corpsdetexte"/>
        <w:numPr>
          <w:ilvl w:val="0"/>
          <w:numId w:val="5"/>
        </w:numPr>
        <w:spacing w:after="240"/>
        <w:ind w:left="714" w:hanging="357"/>
        <w:contextualSpacing/>
        <w:rPr>
          <w:rFonts w:asciiTheme="minorHAnsi" w:hAnsiTheme="minorHAnsi" w:cstheme="minorHAnsi"/>
          <w:sz w:val="22"/>
          <w:szCs w:val="22"/>
          <w:lang w:val="en-US" w:eastAsia="ja-JP"/>
        </w:rPr>
      </w:pPr>
      <w:r>
        <w:rPr>
          <w:rFonts w:asciiTheme="minorHAnsi" w:hAnsiTheme="minorHAnsi" w:cstheme="minorHAnsi"/>
          <w:sz w:val="22"/>
          <w:szCs w:val="22"/>
          <w:lang w:val="en-US" w:eastAsia="ja-JP"/>
        </w:rPr>
        <w:t>Weekly updates on the advancement situation;</w:t>
      </w:r>
    </w:p>
    <w:p w14:paraId="1242EE50" w14:textId="3CA4716B" w:rsidR="009D6AC1" w:rsidRDefault="007B7293" w:rsidP="00D646FF">
      <w:pPr>
        <w:pStyle w:val="Corpsdetexte"/>
        <w:numPr>
          <w:ilvl w:val="0"/>
          <w:numId w:val="5"/>
        </w:numPr>
        <w:spacing w:after="240"/>
        <w:ind w:left="714" w:hanging="357"/>
        <w:contextualSpacing/>
        <w:rPr>
          <w:rFonts w:asciiTheme="minorHAnsi" w:hAnsiTheme="minorHAnsi" w:cstheme="minorHAnsi"/>
          <w:sz w:val="22"/>
          <w:szCs w:val="22"/>
          <w:lang w:val="en-US" w:eastAsia="ja-JP"/>
        </w:rPr>
      </w:pPr>
      <w:r>
        <w:rPr>
          <w:rFonts w:asciiTheme="minorHAnsi" w:hAnsiTheme="minorHAnsi" w:cstheme="minorHAnsi"/>
          <w:sz w:val="22"/>
          <w:szCs w:val="22"/>
          <w:lang w:val="en-US" w:eastAsia="ja-JP"/>
        </w:rPr>
        <w:t>A</w:t>
      </w:r>
      <w:r w:rsidR="002E6DFD">
        <w:rPr>
          <w:rFonts w:asciiTheme="minorHAnsi" w:hAnsiTheme="minorHAnsi" w:cstheme="minorHAnsi"/>
          <w:sz w:val="22"/>
          <w:szCs w:val="22"/>
          <w:lang w:val="en-US" w:eastAsia="ja-JP"/>
        </w:rPr>
        <w:t xml:space="preserve"> final report </w:t>
      </w:r>
      <w:r w:rsidR="00AC5CB1">
        <w:rPr>
          <w:rFonts w:asciiTheme="minorHAnsi" w:hAnsiTheme="minorHAnsi" w:cstheme="minorHAnsi"/>
          <w:sz w:val="22"/>
          <w:szCs w:val="22"/>
          <w:lang w:val="en-US" w:eastAsia="ja-JP"/>
        </w:rPr>
        <w:t xml:space="preserve">on the </w:t>
      </w:r>
      <w:r>
        <w:rPr>
          <w:rFonts w:asciiTheme="minorHAnsi" w:hAnsiTheme="minorHAnsi" w:cstheme="minorHAnsi"/>
          <w:sz w:val="22"/>
          <w:szCs w:val="22"/>
          <w:lang w:val="en-US" w:eastAsia="ja-JP"/>
        </w:rPr>
        <w:t>activity managed</w:t>
      </w:r>
      <w:r w:rsidR="002E7562" w:rsidRPr="002E6DFD">
        <w:rPr>
          <w:rFonts w:asciiTheme="minorHAnsi" w:hAnsiTheme="minorHAnsi" w:cstheme="minorHAnsi"/>
          <w:sz w:val="22"/>
          <w:szCs w:val="22"/>
          <w:lang w:val="en-US" w:eastAsia="ja-JP"/>
        </w:rPr>
        <w:t>.</w:t>
      </w:r>
    </w:p>
    <w:p w14:paraId="67B5E7C2" w14:textId="77777777" w:rsidR="00D646FF" w:rsidRPr="002E6DFD" w:rsidRDefault="00D646FF" w:rsidP="00D646FF">
      <w:pPr>
        <w:pStyle w:val="Corpsdetexte"/>
        <w:spacing w:after="240"/>
        <w:ind w:left="714"/>
        <w:contextualSpacing/>
        <w:rPr>
          <w:rFonts w:asciiTheme="minorHAnsi" w:hAnsiTheme="minorHAnsi" w:cstheme="minorHAnsi"/>
          <w:sz w:val="22"/>
          <w:szCs w:val="22"/>
          <w:lang w:val="en-US" w:eastAsia="ja-JP"/>
        </w:rPr>
      </w:pPr>
    </w:p>
    <w:p w14:paraId="6AD25A17" w14:textId="77777777" w:rsidR="004A1256" w:rsidRPr="007A44A3" w:rsidRDefault="004A1256" w:rsidP="00D646FF">
      <w:pPr>
        <w:pStyle w:val="EXP-Titre1"/>
        <w:ind w:left="357" w:hanging="357"/>
        <w:rPr>
          <w:lang w:val="en-GB"/>
        </w:rPr>
      </w:pPr>
      <w:r w:rsidRPr="007A44A3">
        <w:rPr>
          <w:lang w:val="en-GB"/>
        </w:rPr>
        <w:t>Expertise required</w:t>
      </w:r>
      <w:bookmarkEnd w:id="12"/>
    </w:p>
    <w:p w14:paraId="77D5479D" w14:textId="4AEA0C4F" w:rsidR="005625EA" w:rsidRPr="00B72687" w:rsidRDefault="002E6DFD" w:rsidP="005625EA">
      <w:pPr>
        <w:pStyle w:val="Paragraphedeliste"/>
        <w:numPr>
          <w:ilvl w:val="0"/>
          <w:numId w:val="5"/>
        </w:numPr>
        <w:spacing w:after="0" w:line="240" w:lineRule="auto"/>
        <w:jc w:val="both"/>
        <w:rPr>
          <w:rFonts w:cs="Calibri"/>
          <w:lang w:val="en-US" w:eastAsia="ja-JP"/>
        </w:rPr>
      </w:pPr>
      <w:r w:rsidRPr="00B72687">
        <w:rPr>
          <w:rFonts w:cs="Calibri"/>
          <w:lang w:val="en-US" w:eastAsia="ja-JP"/>
        </w:rPr>
        <w:t xml:space="preserve">The service provider </w:t>
      </w:r>
      <w:r w:rsidR="00AC5CB1" w:rsidRPr="00B72687">
        <w:rPr>
          <w:rFonts w:cs="Calibri"/>
          <w:lang w:val="en-US" w:eastAsia="ja-JP"/>
        </w:rPr>
        <w:t xml:space="preserve">shall </w:t>
      </w:r>
      <w:r w:rsidR="00681D87">
        <w:rPr>
          <w:rFonts w:cs="Calibri"/>
          <w:lang w:val="en-US" w:eastAsia="ja-JP"/>
        </w:rPr>
        <w:t>d</w:t>
      </w:r>
      <w:r w:rsidR="003153D2" w:rsidRPr="00B72687">
        <w:rPr>
          <w:rFonts w:cs="Calibri"/>
          <w:lang w:val="en-US" w:eastAsia="ja-JP"/>
        </w:rPr>
        <w:t>emonstrate</w:t>
      </w:r>
      <w:r w:rsidR="005625EA" w:rsidRPr="00B72687">
        <w:rPr>
          <w:rFonts w:cs="Calibri"/>
          <w:lang w:val="en-US" w:eastAsia="ja-JP"/>
        </w:rPr>
        <w:t>:</w:t>
      </w:r>
    </w:p>
    <w:p w14:paraId="71472172" w14:textId="26C93067" w:rsidR="001D52C8" w:rsidRPr="001D52C8" w:rsidRDefault="00CF08B6" w:rsidP="00753674">
      <w:pPr>
        <w:pStyle w:val="Paragraphedeliste"/>
        <w:numPr>
          <w:ilvl w:val="1"/>
          <w:numId w:val="5"/>
        </w:numPr>
        <w:spacing w:after="0" w:line="240" w:lineRule="auto"/>
        <w:jc w:val="both"/>
        <w:rPr>
          <w:rFonts w:cs="Calibri"/>
          <w:lang w:val="en-US" w:eastAsia="ja-JP"/>
        </w:rPr>
      </w:pPr>
      <w:r>
        <w:rPr>
          <w:rFonts w:cs="Calibri"/>
          <w:lang w:val="en-US" w:eastAsia="ja-JP"/>
        </w:rPr>
        <w:t>A</w:t>
      </w:r>
      <w:r w:rsidR="00C41276">
        <w:rPr>
          <w:rFonts w:cs="Calibri"/>
          <w:lang w:val="en-US" w:eastAsia="ja-JP"/>
        </w:rPr>
        <w:t xml:space="preserve"> minimum of </w:t>
      </w:r>
      <w:r w:rsidR="00632601">
        <w:rPr>
          <w:rFonts w:cs="Calibri"/>
          <w:lang w:val="en-US" w:eastAsia="ja-JP"/>
        </w:rPr>
        <w:t>10</w:t>
      </w:r>
      <w:r w:rsidR="00435528" w:rsidRPr="00435528">
        <w:rPr>
          <w:rFonts w:cs="Calibri"/>
          <w:lang w:val="en-US" w:eastAsia="ja-JP"/>
        </w:rPr>
        <w:t xml:space="preserve"> years of verifiable experience in </w:t>
      </w:r>
      <w:r w:rsidR="00753674">
        <w:rPr>
          <w:rFonts w:cs="Calibri"/>
          <w:lang w:val="en-US" w:eastAsia="ja-JP"/>
        </w:rPr>
        <w:t xml:space="preserve">developing </w:t>
      </w:r>
      <w:r w:rsidR="00753674" w:rsidRPr="006B1981">
        <w:rPr>
          <w:rFonts w:asciiTheme="minorHAnsi" w:hAnsiTheme="minorHAnsi" w:cstheme="minorHAnsi"/>
          <w:lang w:val="en-US" w:eastAsia="ja-JP"/>
        </w:rPr>
        <w:t>Learning Management System</w:t>
      </w:r>
      <w:r w:rsidR="00753674">
        <w:rPr>
          <w:rFonts w:cs="Calibri"/>
          <w:lang w:val="en-US" w:eastAsia="ja-JP"/>
        </w:rPr>
        <w:t xml:space="preserve">s </w:t>
      </w:r>
      <w:r w:rsidR="006142FF">
        <w:rPr>
          <w:rFonts w:cs="Calibri"/>
          <w:lang w:val="en-US" w:eastAsia="ja-JP"/>
        </w:rPr>
        <w:t>in</w:t>
      </w:r>
      <w:r w:rsidR="00632601">
        <w:rPr>
          <w:rFonts w:cs="Calibri"/>
          <w:lang w:val="en-US" w:eastAsia="ja-JP"/>
        </w:rPr>
        <w:t xml:space="preserve"> English </w:t>
      </w:r>
      <w:r w:rsidR="001D52C8">
        <w:rPr>
          <w:rFonts w:cs="Calibri"/>
          <w:lang w:val="en-US" w:eastAsia="ja-JP"/>
        </w:rPr>
        <w:t>(2</w:t>
      </w:r>
      <w:r w:rsidR="00FC6802">
        <w:rPr>
          <w:rFonts w:cs="Calibri"/>
          <w:lang w:val="en-US" w:eastAsia="ja-JP"/>
        </w:rPr>
        <w:t>5</w:t>
      </w:r>
      <w:r w:rsidR="001D52C8">
        <w:rPr>
          <w:rFonts w:cs="Calibri"/>
          <w:lang w:val="en-US" w:eastAsia="ja-JP"/>
        </w:rPr>
        <w:t xml:space="preserve">pts max. upon ranking); </w:t>
      </w:r>
    </w:p>
    <w:p w14:paraId="57AF7E05" w14:textId="4BE68990" w:rsidR="009818A9" w:rsidRPr="001D52C8" w:rsidRDefault="001D52C8" w:rsidP="001D52C8">
      <w:pPr>
        <w:pStyle w:val="Paragraphedeliste"/>
        <w:numPr>
          <w:ilvl w:val="1"/>
          <w:numId w:val="5"/>
        </w:numPr>
        <w:rPr>
          <w:rFonts w:cs="Calibri"/>
          <w:lang w:val="en-US" w:eastAsia="ja-JP"/>
        </w:rPr>
      </w:pPr>
      <w:r>
        <w:rPr>
          <w:rFonts w:cs="Calibri"/>
          <w:lang w:val="en-US" w:eastAsia="ja-JP"/>
        </w:rPr>
        <w:t>P</w:t>
      </w:r>
      <w:r w:rsidR="007228DD" w:rsidRPr="009818A9">
        <w:rPr>
          <w:rFonts w:cs="Calibri"/>
          <w:lang w:val="en-GB" w:eastAsia="ja-JP"/>
        </w:rPr>
        <w:t>rior</w:t>
      </w:r>
      <w:r w:rsidR="009818A9" w:rsidRPr="009818A9">
        <w:rPr>
          <w:rFonts w:cs="Calibri"/>
          <w:lang w:val="en-GB" w:eastAsia="ja-JP"/>
        </w:rPr>
        <w:t xml:space="preserve"> experi</w:t>
      </w:r>
      <w:r w:rsidR="00C41276">
        <w:rPr>
          <w:rFonts w:cs="Calibri"/>
          <w:lang w:val="en-GB" w:eastAsia="ja-JP"/>
        </w:rPr>
        <w:t xml:space="preserve">ence working </w:t>
      </w:r>
      <w:r w:rsidR="00C41276">
        <w:rPr>
          <w:rFonts w:cs="Calibri"/>
          <w:lang w:val="en-US"/>
        </w:rPr>
        <w:t>with international organizations on cooperation activities</w:t>
      </w:r>
      <w:r w:rsidR="00C41276" w:rsidRPr="009818A9">
        <w:rPr>
          <w:rFonts w:cs="Calibri"/>
          <w:lang w:val="en-GB" w:eastAsia="ja-JP"/>
        </w:rPr>
        <w:t xml:space="preserve"> </w:t>
      </w:r>
      <w:r w:rsidR="002E523E">
        <w:rPr>
          <w:rFonts w:cs="Calibri"/>
          <w:lang w:val="en-GB" w:eastAsia="ja-JP"/>
        </w:rPr>
        <w:t>in Libya</w:t>
      </w:r>
      <w:r w:rsidR="00C41276">
        <w:rPr>
          <w:rFonts w:cs="Calibri"/>
          <w:lang w:val="en-GB" w:eastAsia="ja-JP"/>
        </w:rPr>
        <w:t xml:space="preserve"> </w:t>
      </w:r>
      <w:r>
        <w:rPr>
          <w:rFonts w:cs="Calibri"/>
          <w:lang w:val="en-GB" w:eastAsia="ja-JP"/>
        </w:rPr>
        <w:t>(15pts max. upon ranking);</w:t>
      </w:r>
    </w:p>
    <w:p w14:paraId="4AB79045" w14:textId="4EB7AE21" w:rsidR="001D52C8" w:rsidRPr="00C1678E" w:rsidRDefault="001D52C8" w:rsidP="001D52C8">
      <w:pPr>
        <w:pStyle w:val="Paragraphedeliste"/>
        <w:numPr>
          <w:ilvl w:val="1"/>
          <w:numId w:val="5"/>
        </w:numPr>
        <w:rPr>
          <w:rFonts w:cs="Calibri"/>
          <w:lang w:val="en-US" w:eastAsia="ja-JP"/>
        </w:rPr>
      </w:pPr>
      <w:r w:rsidRPr="001D52C8">
        <w:rPr>
          <w:rFonts w:cs="Calibri"/>
          <w:lang w:val="en-US" w:eastAsia="ja-JP"/>
        </w:rPr>
        <w:t>Prior experience in healthcare related projects</w:t>
      </w:r>
      <w:r w:rsidRPr="001D52C8">
        <w:rPr>
          <w:rFonts w:cs="Calibri"/>
          <w:lang w:val="en-GB" w:eastAsia="ja-JP"/>
        </w:rPr>
        <w:t xml:space="preserve"> (15pts max. upon ranking);</w:t>
      </w:r>
    </w:p>
    <w:p w14:paraId="2ECDA193" w14:textId="5FDA70C3" w:rsidR="00C1678E" w:rsidRPr="001D52C8" w:rsidRDefault="00C1678E" w:rsidP="00C1678E">
      <w:pPr>
        <w:pStyle w:val="Paragraphedeliste"/>
        <w:numPr>
          <w:ilvl w:val="1"/>
          <w:numId w:val="5"/>
        </w:numPr>
        <w:rPr>
          <w:rFonts w:cs="Calibri"/>
          <w:lang w:val="en-US" w:eastAsia="ja-JP"/>
        </w:rPr>
      </w:pPr>
      <w:r>
        <w:rPr>
          <w:rFonts w:cs="Calibri"/>
          <w:lang w:val="en-US" w:eastAsia="ja-JP"/>
        </w:rPr>
        <w:t>Bilingual (English/Arabic) Storyline integration experience</w:t>
      </w:r>
    </w:p>
    <w:p w14:paraId="1A4CA003" w14:textId="141CBF24" w:rsidR="00C41276" w:rsidRPr="001D52C8" w:rsidRDefault="00C41276" w:rsidP="001D52C8">
      <w:pPr>
        <w:pStyle w:val="Paragraphedeliste"/>
        <w:numPr>
          <w:ilvl w:val="1"/>
          <w:numId w:val="5"/>
        </w:numPr>
        <w:rPr>
          <w:rFonts w:cs="Calibri"/>
          <w:lang w:val="en-US" w:eastAsia="ja-JP"/>
        </w:rPr>
      </w:pPr>
      <w:r w:rsidRPr="00C41276">
        <w:rPr>
          <w:rFonts w:cs="Calibri"/>
          <w:lang w:val="en-US" w:eastAsia="ja-JP"/>
        </w:rPr>
        <w:t>Strong experience on data collection</w:t>
      </w:r>
      <w:r w:rsidR="001D52C8" w:rsidRPr="001D52C8">
        <w:rPr>
          <w:rFonts w:cs="Calibri"/>
          <w:lang w:val="en-GB" w:eastAsia="ja-JP"/>
        </w:rPr>
        <w:t xml:space="preserve"> (</w:t>
      </w:r>
      <w:r w:rsidR="001D52C8">
        <w:rPr>
          <w:rFonts w:cs="Calibri"/>
          <w:lang w:val="en-GB" w:eastAsia="ja-JP"/>
        </w:rPr>
        <w:t>10</w:t>
      </w:r>
      <w:r w:rsidR="001D52C8" w:rsidRPr="001D52C8">
        <w:rPr>
          <w:rFonts w:cs="Calibri"/>
          <w:lang w:val="en-GB" w:eastAsia="ja-JP"/>
        </w:rPr>
        <w:t>pts max. upon ranking);</w:t>
      </w:r>
    </w:p>
    <w:p w14:paraId="1F45EC3E" w14:textId="595F10E3" w:rsidR="00C41276" w:rsidRPr="001D52C8" w:rsidRDefault="00CF08B6" w:rsidP="001D52C8">
      <w:pPr>
        <w:pStyle w:val="Paragraphedeliste"/>
        <w:numPr>
          <w:ilvl w:val="1"/>
          <w:numId w:val="5"/>
        </w:numPr>
        <w:spacing w:after="0" w:line="240" w:lineRule="auto"/>
        <w:jc w:val="both"/>
        <w:rPr>
          <w:rFonts w:cs="Calibri"/>
          <w:lang w:val="en-US" w:eastAsia="ja-JP"/>
        </w:rPr>
      </w:pPr>
      <w:r>
        <w:rPr>
          <w:rFonts w:cs="Calibri"/>
          <w:lang w:val="en-GB" w:eastAsia="ja-JP"/>
        </w:rPr>
        <w:t>F</w:t>
      </w:r>
      <w:r w:rsidR="00C41276" w:rsidRPr="00C41276">
        <w:rPr>
          <w:rFonts w:cs="Calibri"/>
          <w:lang w:val="en-GB" w:eastAsia="ja-JP"/>
        </w:rPr>
        <w:t>amiliarity with EU</w:t>
      </w:r>
      <w:r w:rsidR="00C41276">
        <w:rPr>
          <w:rFonts w:cs="Calibri"/>
          <w:lang w:val="en-GB" w:eastAsia="ja-JP"/>
        </w:rPr>
        <w:t xml:space="preserve"> projects and</w:t>
      </w:r>
      <w:r w:rsidR="00C41276" w:rsidRPr="00C41276">
        <w:rPr>
          <w:rFonts w:cs="Calibri"/>
          <w:lang w:val="en-GB" w:eastAsia="ja-JP"/>
        </w:rPr>
        <w:t xml:space="preserve"> work standards and regulations</w:t>
      </w:r>
      <w:r w:rsidR="001D52C8" w:rsidRPr="001D52C8">
        <w:rPr>
          <w:rFonts w:cs="Calibri"/>
          <w:lang w:val="en-GB" w:eastAsia="ja-JP"/>
        </w:rPr>
        <w:t xml:space="preserve"> (5pts max.</w:t>
      </w:r>
      <w:r w:rsidR="001D52C8">
        <w:rPr>
          <w:rFonts w:cs="Calibri"/>
          <w:lang w:val="en-GB" w:eastAsia="ja-JP"/>
        </w:rPr>
        <w:t>);</w:t>
      </w:r>
    </w:p>
    <w:p w14:paraId="749C9B39" w14:textId="164C7F8F" w:rsidR="00FC2DBD" w:rsidRPr="00FC2DBD" w:rsidRDefault="00FC2DBD" w:rsidP="00FC2DBD">
      <w:pPr>
        <w:pStyle w:val="Paragraphedeliste"/>
        <w:numPr>
          <w:ilvl w:val="0"/>
          <w:numId w:val="5"/>
        </w:numPr>
        <w:spacing w:after="0" w:line="240" w:lineRule="auto"/>
        <w:jc w:val="both"/>
        <w:rPr>
          <w:rFonts w:cs="Calibri"/>
          <w:lang w:val="en-GB"/>
        </w:rPr>
      </w:pPr>
      <w:r>
        <w:rPr>
          <w:rFonts w:cs="Calibri"/>
          <w:lang w:val="en-GB"/>
        </w:rPr>
        <w:t>Will be considered as an asset:</w:t>
      </w:r>
    </w:p>
    <w:p w14:paraId="4E025230" w14:textId="3EF904CC" w:rsidR="00681D87" w:rsidRPr="007228DD" w:rsidRDefault="00CF08B6" w:rsidP="007228DD">
      <w:pPr>
        <w:pStyle w:val="Paragraphedeliste"/>
        <w:numPr>
          <w:ilvl w:val="1"/>
          <w:numId w:val="5"/>
        </w:numPr>
        <w:spacing w:after="0" w:line="240" w:lineRule="auto"/>
        <w:jc w:val="both"/>
        <w:rPr>
          <w:rFonts w:cs="Calibri"/>
          <w:lang w:val="en-GB"/>
        </w:rPr>
      </w:pPr>
      <w:r>
        <w:rPr>
          <w:rFonts w:cs="Calibri"/>
          <w:lang w:val="en-GB"/>
        </w:rPr>
        <w:t>P</w:t>
      </w:r>
      <w:r w:rsidR="00950150" w:rsidRPr="00681D87">
        <w:rPr>
          <w:rFonts w:cs="Calibri"/>
          <w:lang w:val="en-GB"/>
        </w:rPr>
        <w:t>roof of collaboration as lead contractor on similar projects in terms of content.</w:t>
      </w:r>
    </w:p>
    <w:p w14:paraId="4E0A24E6" w14:textId="77777777" w:rsidR="004A1256" w:rsidRPr="00F671A5" w:rsidRDefault="004A1256" w:rsidP="005625EA">
      <w:pPr>
        <w:pStyle w:val="Paragraphedeliste"/>
        <w:numPr>
          <w:ilvl w:val="1"/>
          <w:numId w:val="4"/>
        </w:numPr>
        <w:spacing w:after="0" w:line="240" w:lineRule="auto"/>
        <w:jc w:val="both"/>
        <w:rPr>
          <w:rFonts w:cs="Calibri"/>
          <w:lang w:val="en-US"/>
        </w:rPr>
      </w:pPr>
      <w:r w:rsidRPr="00F671A5">
        <w:rPr>
          <w:rFonts w:cs="Calibri"/>
          <w:lang w:val="en-US"/>
        </w:rPr>
        <w:t>Proven reporting skills;</w:t>
      </w:r>
    </w:p>
    <w:p w14:paraId="76366192" w14:textId="35E0179F" w:rsidR="004A1256" w:rsidRPr="00F671A5" w:rsidRDefault="004A1256" w:rsidP="00E7406E">
      <w:pPr>
        <w:pStyle w:val="Paragraphedeliste"/>
        <w:numPr>
          <w:ilvl w:val="1"/>
          <w:numId w:val="4"/>
        </w:numPr>
        <w:spacing w:after="240" w:line="240" w:lineRule="auto"/>
        <w:jc w:val="both"/>
        <w:rPr>
          <w:rFonts w:cs="Calibri"/>
          <w:lang w:val="en-US"/>
        </w:rPr>
      </w:pPr>
      <w:r w:rsidRPr="00F671A5">
        <w:rPr>
          <w:rFonts w:cs="Calibri"/>
          <w:lang w:val="en-US"/>
        </w:rPr>
        <w:t xml:space="preserve">Strong interpersonal skills and ability to </w:t>
      </w:r>
      <w:r w:rsidR="00E7406E">
        <w:rPr>
          <w:rFonts w:cs="Calibri"/>
          <w:lang w:val="en-US"/>
        </w:rPr>
        <w:t>deliver</w:t>
      </w:r>
      <w:r w:rsidRPr="00F671A5">
        <w:rPr>
          <w:rFonts w:cs="Calibri"/>
          <w:lang w:val="en-US"/>
        </w:rPr>
        <w:t xml:space="preserve"> </w:t>
      </w:r>
      <w:r w:rsidR="00702AFB">
        <w:rPr>
          <w:rFonts w:cs="Calibri"/>
          <w:lang w:val="en-US"/>
        </w:rPr>
        <w:t>for the project</w:t>
      </w:r>
      <w:r w:rsidRPr="00F671A5">
        <w:rPr>
          <w:rFonts w:cs="Calibri"/>
          <w:lang w:val="en-US"/>
        </w:rPr>
        <w:t>.</w:t>
      </w:r>
    </w:p>
    <w:p w14:paraId="3D5B18C7" w14:textId="77777777" w:rsidR="004A1256" w:rsidRPr="00EA0E3D" w:rsidRDefault="004A1256" w:rsidP="00EA0E3D">
      <w:pPr>
        <w:pStyle w:val="Sansinterligne"/>
        <w:rPr>
          <w:rFonts w:cs="Calibri"/>
          <w:sz w:val="22"/>
          <w:szCs w:val="22"/>
          <w:lang w:val="en-GB"/>
        </w:rPr>
      </w:pPr>
    </w:p>
    <w:p w14:paraId="13C00447" w14:textId="77777777" w:rsidR="00B66B91" w:rsidRDefault="00FF4132" w:rsidP="00D646FF">
      <w:pPr>
        <w:pStyle w:val="EXP-Titre1"/>
        <w:rPr>
          <w:lang w:val="en-GB"/>
        </w:rPr>
      </w:pPr>
      <w:r>
        <w:rPr>
          <w:lang w:val="en-GB"/>
        </w:rPr>
        <w:t>Location</w:t>
      </w:r>
    </w:p>
    <w:p w14:paraId="4870DB27" w14:textId="28C85DB0" w:rsidR="00B66B91" w:rsidRDefault="00FF4132" w:rsidP="004A1256">
      <w:pPr>
        <w:spacing w:after="240" w:line="240" w:lineRule="auto"/>
        <w:jc w:val="both"/>
        <w:rPr>
          <w:rFonts w:cs="Calibri"/>
          <w:lang w:val="en-US"/>
        </w:rPr>
      </w:pPr>
      <w:r w:rsidRPr="00B72687">
        <w:rPr>
          <w:rFonts w:cs="Calibri"/>
          <w:lang w:val="en-US"/>
        </w:rPr>
        <w:t xml:space="preserve">The duty station for </w:t>
      </w:r>
      <w:r w:rsidR="00EA0E3D" w:rsidRPr="00B72687">
        <w:rPr>
          <w:rFonts w:cs="Calibri"/>
          <w:lang w:val="en-US" w:eastAsia="ja-JP"/>
        </w:rPr>
        <w:t xml:space="preserve">the </w:t>
      </w:r>
      <w:r w:rsidR="00CB5729" w:rsidRPr="00B72687">
        <w:rPr>
          <w:rFonts w:cs="Calibri"/>
          <w:lang w:val="en-US" w:eastAsia="ja-JP"/>
        </w:rPr>
        <w:t>service provider</w:t>
      </w:r>
      <w:r w:rsidR="00CB5729" w:rsidRPr="00B72687">
        <w:rPr>
          <w:rFonts w:cs="Calibri"/>
          <w:lang w:val="en-US"/>
        </w:rPr>
        <w:t xml:space="preserve"> </w:t>
      </w:r>
      <w:r w:rsidRPr="00B72687">
        <w:rPr>
          <w:rFonts w:cs="Calibri"/>
          <w:lang w:val="en-US"/>
        </w:rPr>
        <w:t xml:space="preserve">is </w:t>
      </w:r>
      <w:r w:rsidR="003211A2">
        <w:rPr>
          <w:rFonts w:cs="Calibri"/>
          <w:b/>
          <w:lang w:val="en-US"/>
        </w:rPr>
        <w:t>Tunis</w:t>
      </w:r>
      <w:r w:rsidR="00FC5762">
        <w:rPr>
          <w:rFonts w:cs="Calibri"/>
          <w:b/>
          <w:lang w:val="en-US"/>
        </w:rPr>
        <w:t xml:space="preserve"> </w:t>
      </w:r>
      <w:r w:rsidR="00FC5762">
        <w:rPr>
          <w:rFonts w:cs="Calibri"/>
          <w:lang w:val="en-US"/>
        </w:rPr>
        <w:t>but the mission can be realized remotely</w:t>
      </w:r>
      <w:r w:rsidR="00CB5729" w:rsidRPr="00B72687">
        <w:rPr>
          <w:rFonts w:cs="Calibri"/>
          <w:b/>
          <w:lang w:val="en-US"/>
        </w:rPr>
        <w:t xml:space="preserve">. </w:t>
      </w:r>
      <w:r w:rsidR="00B165DA">
        <w:rPr>
          <w:rFonts w:cs="Calibri"/>
          <w:lang w:val="en-US"/>
        </w:rPr>
        <w:t>F</w:t>
      </w:r>
      <w:r w:rsidR="008E5789">
        <w:rPr>
          <w:rFonts w:cs="Calibri"/>
          <w:lang w:val="en-US"/>
        </w:rPr>
        <w:t xml:space="preserve">ield </w:t>
      </w:r>
      <w:r w:rsidR="004B7239">
        <w:rPr>
          <w:rFonts w:cs="Calibri"/>
          <w:lang w:val="en-US"/>
        </w:rPr>
        <w:t>missions might occur over the project time</w:t>
      </w:r>
      <w:r w:rsidR="008E5789">
        <w:rPr>
          <w:rFonts w:cs="Calibri"/>
          <w:lang w:val="en-US"/>
        </w:rPr>
        <w:t xml:space="preserve"> in Libya</w:t>
      </w:r>
      <w:r w:rsidR="007A7FC1">
        <w:rPr>
          <w:rFonts w:cs="Calibri"/>
          <w:lang w:val="en-US"/>
        </w:rPr>
        <w:t xml:space="preserve"> </w:t>
      </w:r>
      <w:r w:rsidR="008B55AD">
        <w:rPr>
          <w:rFonts w:cs="Calibri"/>
          <w:lang w:val="en-US"/>
        </w:rPr>
        <w:t>upon necessity</w:t>
      </w:r>
      <w:r w:rsidR="00307F29">
        <w:rPr>
          <w:rFonts w:cs="Calibri"/>
          <w:lang w:val="en-US"/>
        </w:rPr>
        <w:t xml:space="preserve"> defined but the NBTSA Director or the Mendami 2 Project Manager</w:t>
      </w:r>
      <w:r w:rsidR="008E5789">
        <w:rPr>
          <w:rFonts w:cs="Calibri"/>
          <w:lang w:val="en-US"/>
        </w:rPr>
        <w:t>.</w:t>
      </w:r>
    </w:p>
    <w:p w14:paraId="2C944C53" w14:textId="77777777" w:rsidR="00B66B91" w:rsidRDefault="00B66B91">
      <w:pPr>
        <w:pStyle w:val="Sansinterligne"/>
        <w:rPr>
          <w:rFonts w:cs="Calibri"/>
          <w:sz w:val="22"/>
          <w:szCs w:val="22"/>
          <w:lang w:val="en-GB"/>
        </w:rPr>
      </w:pPr>
    </w:p>
    <w:p w14:paraId="5040C7DF" w14:textId="77777777" w:rsidR="00B66B91" w:rsidRPr="007A44A3" w:rsidRDefault="00FF4132" w:rsidP="00D646FF">
      <w:pPr>
        <w:pStyle w:val="EXP-Titre1"/>
        <w:rPr>
          <w:lang w:val="en-GB"/>
        </w:rPr>
      </w:pPr>
      <w:bookmarkStart w:id="13" w:name="_Toc75345362"/>
      <w:r w:rsidRPr="007A44A3">
        <w:rPr>
          <w:lang w:val="en-GB"/>
        </w:rPr>
        <w:t>Duration</w:t>
      </w:r>
      <w:bookmarkEnd w:id="13"/>
    </w:p>
    <w:p w14:paraId="4D58D137" w14:textId="51950DE5" w:rsidR="005332D8" w:rsidRPr="005332D8" w:rsidRDefault="005332D8" w:rsidP="00AC1BA1">
      <w:pPr>
        <w:spacing w:after="0" w:line="240" w:lineRule="auto"/>
        <w:jc w:val="both"/>
        <w:rPr>
          <w:rFonts w:cs="Calibri"/>
          <w:lang w:val="en-US"/>
        </w:rPr>
      </w:pPr>
      <w:r w:rsidRPr="005332D8">
        <w:rPr>
          <w:rFonts w:cs="Calibri"/>
          <w:lang w:val="en-US"/>
        </w:rPr>
        <w:t>This consultin</w:t>
      </w:r>
      <w:r w:rsidR="008F79A5">
        <w:rPr>
          <w:rFonts w:cs="Calibri"/>
          <w:lang w:val="en-US"/>
        </w:rPr>
        <w:t xml:space="preserve">g service is scheduled to last </w:t>
      </w:r>
      <w:r w:rsidR="00E7406E">
        <w:rPr>
          <w:rFonts w:cs="Calibri"/>
          <w:lang w:val="en-US"/>
        </w:rPr>
        <w:t>4</w:t>
      </w:r>
      <w:r w:rsidRPr="005332D8">
        <w:rPr>
          <w:rFonts w:cs="Calibri"/>
          <w:lang w:val="en-US"/>
        </w:rPr>
        <w:t xml:space="preserve"> months </w:t>
      </w:r>
      <w:r w:rsidR="00E7406E" w:rsidRPr="005332D8">
        <w:rPr>
          <w:rFonts w:cs="Calibri"/>
          <w:lang w:val="en-US"/>
        </w:rPr>
        <w:t xml:space="preserve">between </w:t>
      </w:r>
      <w:r w:rsidR="00AC1BA1">
        <w:rPr>
          <w:rFonts w:cs="Calibri"/>
          <w:lang w:val="en-US"/>
        </w:rPr>
        <w:t>01</w:t>
      </w:r>
      <w:r w:rsidR="00E7406E">
        <w:rPr>
          <w:rFonts w:cs="Calibri"/>
          <w:lang w:val="en-US"/>
        </w:rPr>
        <w:t xml:space="preserve"> </w:t>
      </w:r>
      <w:r w:rsidR="00E7406E" w:rsidRPr="005332D8">
        <w:rPr>
          <w:rFonts w:cs="Calibri"/>
          <w:lang w:val="en-US"/>
        </w:rPr>
        <w:t xml:space="preserve">of </w:t>
      </w:r>
      <w:r w:rsidR="00AC1BA1">
        <w:rPr>
          <w:rFonts w:cs="Calibri"/>
          <w:lang w:val="en-US"/>
        </w:rPr>
        <w:t xml:space="preserve">November </w:t>
      </w:r>
      <w:r w:rsidR="00E7406E">
        <w:rPr>
          <w:rFonts w:cs="Calibri"/>
          <w:lang w:val="en-US"/>
        </w:rPr>
        <w:t xml:space="preserve"> 2024</w:t>
      </w:r>
      <w:r w:rsidR="00E7406E" w:rsidRPr="005332D8">
        <w:rPr>
          <w:rFonts w:cs="Calibri"/>
          <w:lang w:val="en-US"/>
        </w:rPr>
        <w:t xml:space="preserve"> until</w:t>
      </w:r>
      <w:r w:rsidR="00E7406E">
        <w:rPr>
          <w:rFonts w:cs="Calibri"/>
          <w:lang w:val="en-US"/>
        </w:rPr>
        <w:t xml:space="preserve"> </w:t>
      </w:r>
      <w:r w:rsidR="00AC1BA1">
        <w:rPr>
          <w:rFonts w:cs="Calibri"/>
          <w:lang w:val="en-US"/>
        </w:rPr>
        <w:t>30</w:t>
      </w:r>
      <w:r w:rsidR="00E7406E">
        <w:rPr>
          <w:rFonts w:cs="Calibri"/>
          <w:lang w:val="en-US"/>
        </w:rPr>
        <w:t xml:space="preserve"> of </w:t>
      </w:r>
      <w:r w:rsidR="00AC1BA1">
        <w:rPr>
          <w:rFonts w:cs="Calibri"/>
          <w:lang w:val="en-US"/>
        </w:rPr>
        <w:t>April</w:t>
      </w:r>
      <w:bookmarkStart w:id="14" w:name="_GoBack"/>
      <w:bookmarkEnd w:id="14"/>
      <w:r w:rsidR="00E7406E">
        <w:rPr>
          <w:rFonts w:cs="Calibri"/>
          <w:lang w:val="en-US"/>
        </w:rPr>
        <w:t xml:space="preserve"> </w:t>
      </w:r>
      <w:r w:rsidR="00E7406E" w:rsidRPr="005332D8">
        <w:rPr>
          <w:rFonts w:cs="Calibri"/>
          <w:lang w:val="en-US"/>
        </w:rPr>
        <w:t>202</w:t>
      </w:r>
      <w:r w:rsidR="00E7406E">
        <w:rPr>
          <w:rFonts w:cs="Calibri"/>
          <w:lang w:val="en-US"/>
        </w:rPr>
        <w:t>5</w:t>
      </w:r>
      <w:r w:rsidR="003211A2">
        <w:rPr>
          <w:rFonts w:cs="Calibri"/>
          <w:lang w:val="en-US"/>
        </w:rPr>
        <w:t>.</w:t>
      </w:r>
    </w:p>
    <w:p w14:paraId="7DD422AA" w14:textId="77777777" w:rsidR="0070145D" w:rsidRPr="004755A1" w:rsidRDefault="0070145D" w:rsidP="0070145D">
      <w:pPr>
        <w:spacing w:after="0" w:line="240" w:lineRule="auto"/>
        <w:jc w:val="both"/>
        <w:rPr>
          <w:rFonts w:cs="Calibri"/>
          <w:lang w:val="en-US" w:eastAsia="fr-FR"/>
        </w:rPr>
      </w:pPr>
    </w:p>
    <w:p w14:paraId="1FE434F7" w14:textId="77777777" w:rsidR="00757D2E" w:rsidRPr="003E39B4" w:rsidRDefault="00757D2E" w:rsidP="0070145D">
      <w:pPr>
        <w:spacing w:after="0" w:line="240" w:lineRule="auto"/>
        <w:jc w:val="both"/>
        <w:rPr>
          <w:rFonts w:cs="Calibri"/>
          <w:lang w:val="en-GB" w:eastAsia="fr-FR"/>
        </w:rPr>
      </w:pPr>
    </w:p>
    <w:p w14:paraId="236CD718" w14:textId="5FE076B9" w:rsidR="0070145D" w:rsidRPr="007A44A3" w:rsidRDefault="00747561" w:rsidP="00D646FF">
      <w:pPr>
        <w:pStyle w:val="EXP-Titre1"/>
        <w:rPr>
          <w:lang w:val="en-GB"/>
        </w:rPr>
      </w:pPr>
      <w:r>
        <w:rPr>
          <w:lang w:val="en-GB"/>
        </w:rPr>
        <w:t>ELIGIBLE COSTS</w:t>
      </w:r>
    </w:p>
    <w:p w14:paraId="41377E15" w14:textId="76BA1A94" w:rsidR="00747561" w:rsidRDefault="0070145D" w:rsidP="0070145D">
      <w:pPr>
        <w:spacing w:after="0" w:line="240" w:lineRule="auto"/>
        <w:jc w:val="both"/>
        <w:rPr>
          <w:lang w:val="en-GB"/>
        </w:rPr>
      </w:pPr>
      <w:r w:rsidRPr="0070145D">
        <w:rPr>
          <w:lang w:val="en-GB"/>
        </w:rPr>
        <w:t>Expertise France will take in charge</w:t>
      </w:r>
      <w:r w:rsidR="009D63DD">
        <w:rPr>
          <w:lang w:val="en-GB"/>
        </w:rPr>
        <w:t xml:space="preserve"> the</w:t>
      </w:r>
      <w:r w:rsidRPr="0070145D">
        <w:rPr>
          <w:lang w:val="en-GB"/>
        </w:rPr>
        <w:t xml:space="preserve"> direct cost </w:t>
      </w:r>
      <w:r w:rsidR="00747561" w:rsidRPr="0070145D">
        <w:rPr>
          <w:lang w:val="en-GB"/>
        </w:rPr>
        <w:t>for</w:t>
      </w:r>
      <w:r w:rsidR="00747561">
        <w:rPr>
          <w:lang w:val="en-GB"/>
        </w:rPr>
        <w:t>:</w:t>
      </w:r>
    </w:p>
    <w:p w14:paraId="17A61390" w14:textId="3582BACA" w:rsidR="00747561" w:rsidRDefault="00747561" w:rsidP="00747561">
      <w:pPr>
        <w:pStyle w:val="Paragraphedeliste"/>
        <w:numPr>
          <w:ilvl w:val="0"/>
          <w:numId w:val="4"/>
        </w:numPr>
        <w:spacing w:after="0" w:line="240" w:lineRule="auto"/>
        <w:jc w:val="both"/>
        <w:rPr>
          <w:lang w:val="en-GB"/>
        </w:rPr>
      </w:pPr>
      <w:r>
        <w:rPr>
          <w:lang w:val="en-GB"/>
        </w:rPr>
        <w:t>T</w:t>
      </w:r>
      <w:r w:rsidR="0070145D" w:rsidRPr="00747561">
        <w:rPr>
          <w:lang w:val="en-GB"/>
        </w:rPr>
        <w:t>ransportation</w:t>
      </w:r>
      <w:r w:rsidR="009D63DD" w:rsidRPr="00747561">
        <w:rPr>
          <w:lang w:val="en-GB"/>
        </w:rPr>
        <w:t xml:space="preserve"> and accommodation</w:t>
      </w:r>
      <w:r w:rsidR="00614E5D" w:rsidRPr="00747561">
        <w:rPr>
          <w:lang w:val="en-GB"/>
        </w:rPr>
        <w:t xml:space="preserve"> only</w:t>
      </w:r>
      <w:r w:rsidR="009D63DD" w:rsidRPr="00747561">
        <w:rPr>
          <w:lang w:val="en-GB"/>
        </w:rPr>
        <w:t xml:space="preserve"> </w:t>
      </w:r>
      <w:r w:rsidR="00017048" w:rsidRPr="00747561">
        <w:rPr>
          <w:lang w:val="en-GB"/>
        </w:rPr>
        <w:t>i</w:t>
      </w:r>
      <w:r w:rsidR="001122B5" w:rsidRPr="00747561">
        <w:rPr>
          <w:lang w:val="en-GB"/>
        </w:rPr>
        <w:t>n case</w:t>
      </w:r>
      <w:r w:rsidR="00017048" w:rsidRPr="00747561">
        <w:rPr>
          <w:lang w:val="en-GB"/>
        </w:rPr>
        <w:t xml:space="preserve"> </w:t>
      </w:r>
      <w:r w:rsidR="004B7239" w:rsidRPr="00747561">
        <w:rPr>
          <w:lang w:val="en-GB"/>
        </w:rPr>
        <w:t xml:space="preserve">of </w:t>
      </w:r>
      <w:r w:rsidR="00B11927" w:rsidRPr="00747561">
        <w:rPr>
          <w:lang w:val="en-GB"/>
        </w:rPr>
        <w:t xml:space="preserve">requirement </w:t>
      </w:r>
      <w:r w:rsidR="00DF4B5A">
        <w:rPr>
          <w:lang w:val="en-GB"/>
        </w:rPr>
        <w:t>at the behest of Expertise France</w:t>
      </w:r>
      <w:r w:rsidR="00DF4B5A" w:rsidRPr="00747561">
        <w:rPr>
          <w:lang w:val="en-GB"/>
        </w:rPr>
        <w:t xml:space="preserve"> </w:t>
      </w:r>
      <w:r w:rsidR="00031C9F" w:rsidRPr="00747561">
        <w:rPr>
          <w:lang w:val="en-GB"/>
        </w:rPr>
        <w:t>for</w:t>
      </w:r>
      <w:r w:rsidR="00B11927" w:rsidRPr="00747561">
        <w:rPr>
          <w:lang w:val="en-GB"/>
        </w:rPr>
        <w:t xml:space="preserve"> </w:t>
      </w:r>
      <w:r w:rsidR="00D646FF" w:rsidRPr="00747561">
        <w:rPr>
          <w:lang w:val="en-GB"/>
        </w:rPr>
        <w:t xml:space="preserve">specific </w:t>
      </w:r>
      <w:r w:rsidR="004B7239" w:rsidRPr="00747561">
        <w:rPr>
          <w:lang w:val="en-GB"/>
        </w:rPr>
        <w:t xml:space="preserve">field </w:t>
      </w:r>
      <w:r w:rsidR="00017048" w:rsidRPr="00747561">
        <w:rPr>
          <w:lang w:val="en-GB"/>
        </w:rPr>
        <w:t>mission</w:t>
      </w:r>
      <w:r w:rsidR="001122B5" w:rsidRPr="00747561">
        <w:rPr>
          <w:lang w:val="en-GB"/>
        </w:rPr>
        <w:t>s</w:t>
      </w:r>
      <w:r w:rsidR="00DB6ECC" w:rsidRPr="00747561">
        <w:rPr>
          <w:lang w:val="en-GB"/>
        </w:rPr>
        <w:t xml:space="preserve"> </w:t>
      </w:r>
      <w:r w:rsidR="00D646FF" w:rsidRPr="00747561">
        <w:rPr>
          <w:lang w:val="en-GB"/>
        </w:rPr>
        <w:t>within</w:t>
      </w:r>
      <w:r w:rsidR="00017048" w:rsidRPr="00747561">
        <w:rPr>
          <w:lang w:val="en-GB"/>
        </w:rPr>
        <w:t xml:space="preserve"> Libya</w:t>
      </w:r>
      <w:r w:rsidR="008F79A5" w:rsidRPr="00747561">
        <w:rPr>
          <w:lang w:val="en-GB"/>
        </w:rPr>
        <w:t xml:space="preserve"> related to the </w:t>
      </w:r>
      <w:r w:rsidR="00D646FF" w:rsidRPr="00747561">
        <w:rPr>
          <w:lang w:val="en-GB"/>
        </w:rPr>
        <w:t xml:space="preserve">e-learning programme </w:t>
      </w:r>
      <w:r w:rsidR="008F79A5" w:rsidRPr="00747561">
        <w:rPr>
          <w:lang w:val="en-GB"/>
        </w:rPr>
        <w:t>implementation</w:t>
      </w:r>
      <w:r w:rsidR="00D343F4">
        <w:rPr>
          <w:lang w:val="en-GB"/>
        </w:rPr>
        <w:t xml:space="preserve"> and upon receipts provision</w:t>
      </w:r>
      <w:r w:rsidR="001122B5" w:rsidRPr="00747561">
        <w:rPr>
          <w:lang w:val="en-GB"/>
        </w:rPr>
        <w:t>.</w:t>
      </w:r>
    </w:p>
    <w:p w14:paraId="73449499" w14:textId="77777777" w:rsidR="00DF4B5A" w:rsidRDefault="00DF4B5A" w:rsidP="00DF4B5A">
      <w:pPr>
        <w:spacing w:after="0" w:line="240" w:lineRule="auto"/>
        <w:jc w:val="both"/>
        <w:rPr>
          <w:lang w:val="en-GB"/>
        </w:rPr>
      </w:pPr>
    </w:p>
    <w:p w14:paraId="27152202" w14:textId="77777777" w:rsidR="00DF4B5A" w:rsidRDefault="00DF4B5A" w:rsidP="00DF4B5A">
      <w:pPr>
        <w:spacing w:after="0" w:line="240" w:lineRule="auto"/>
        <w:jc w:val="both"/>
        <w:rPr>
          <w:lang w:val="en-GB"/>
        </w:rPr>
      </w:pPr>
    </w:p>
    <w:p w14:paraId="2F0CFC7F" w14:textId="77777777" w:rsidR="00DF4B5A" w:rsidRPr="009331A4" w:rsidRDefault="00DF4B5A" w:rsidP="00DF4B5A">
      <w:pPr>
        <w:pStyle w:val="EXP-Titre1"/>
        <w:rPr>
          <w:lang w:val="en-GB"/>
        </w:rPr>
      </w:pPr>
      <w:r w:rsidRPr="009331A4">
        <w:rPr>
          <w:lang w:val="en-GB"/>
        </w:rPr>
        <w:t>Content of offers</w:t>
      </w:r>
    </w:p>
    <w:p w14:paraId="203F6F1A" w14:textId="77777777" w:rsidR="00DF4B5A" w:rsidRPr="009331A4" w:rsidRDefault="00DF4B5A" w:rsidP="00DF4B5A">
      <w:pPr>
        <w:spacing w:after="0" w:line="240" w:lineRule="auto"/>
        <w:jc w:val="both"/>
        <w:rPr>
          <w:lang w:val="en-GB"/>
        </w:rPr>
      </w:pPr>
      <w:r w:rsidRPr="009331A4">
        <w:rPr>
          <w:lang w:val="en-GB"/>
        </w:rPr>
        <w:t>For the MENDAMI 2 project, the tenders must include:</w:t>
      </w:r>
    </w:p>
    <w:p w14:paraId="3C95FF8E" w14:textId="77777777" w:rsidR="00DF4B5A" w:rsidRDefault="00DF4B5A" w:rsidP="00DF4B5A">
      <w:pPr>
        <w:pStyle w:val="Paragraphedeliste"/>
        <w:numPr>
          <w:ilvl w:val="0"/>
          <w:numId w:val="35"/>
        </w:numPr>
        <w:spacing w:after="0" w:line="240" w:lineRule="auto"/>
        <w:jc w:val="both"/>
        <w:rPr>
          <w:lang w:val="en-GB"/>
        </w:rPr>
      </w:pPr>
      <w:r w:rsidRPr="009331A4">
        <w:rPr>
          <w:b/>
          <w:bCs/>
          <w:u w:val="single"/>
          <w:lang w:val="en-GB"/>
        </w:rPr>
        <w:t>A complete technical offer:</w:t>
      </w:r>
      <w:r w:rsidRPr="009331A4">
        <w:rPr>
          <w:lang w:val="en-GB"/>
        </w:rPr>
        <w:t xml:space="preserve"> This should include an analysis of the elements outlined in the terms of reference, the proposed methodology, and CVs highlighting relevant experience in similar projects. The offer must also include the elements specified in these terms of reference, such as a detailed work plan for the various phases, coordination between experts, and a comprehensive timetable.</w:t>
      </w:r>
    </w:p>
    <w:p w14:paraId="6179AC85" w14:textId="77777777" w:rsidR="00DF4B5A" w:rsidRPr="009331A4" w:rsidRDefault="00DF4B5A" w:rsidP="00DF4B5A">
      <w:pPr>
        <w:pStyle w:val="Paragraphedeliste"/>
        <w:spacing w:after="0" w:line="240" w:lineRule="auto"/>
        <w:ind w:left="360"/>
        <w:jc w:val="both"/>
        <w:rPr>
          <w:lang w:val="en-GB"/>
        </w:rPr>
      </w:pPr>
    </w:p>
    <w:p w14:paraId="13DC6487" w14:textId="1D32657B" w:rsidR="00DF4B5A" w:rsidRDefault="00DF4B5A" w:rsidP="000A1125">
      <w:pPr>
        <w:pStyle w:val="Paragraphedeliste"/>
        <w:numPr>
          <w:ilvl w:val="0"/>
          <w:numId w:val="35"/>
        </w:numPr>
        <w:spacing w:after="240" w:line="240" w:lineRule="auto"/>
        <w:ind w:left="357" w:hanging="357"/>
        <w:jc w:val="both"/>
        <w:rPr>
          <w:lang w:val="en-GB"/>
        </w:rPr>
      </w:pPr>
      <w:r w:rsidRPr="009331A4">
        <w:rPr>
          <w:b/>
          <w:bCs/>
          <w:u w:val="single"/>
          <w:lang w:val="en-GB"/>
        </w:rPr>
        <w:t xml:space="preserve">A </w:t>
      </w:r>
      <w:r>
        <w:rPr>
          <w:b/>
          <w:bCs/>
          <w:u w:val="single"/>
          <w:lang w:val="en-GB"/>
        </w:rPr>
        <w:t xml:space="preserve">detailed </w:t>
      </w:r>
      <w:r w:rsidRPr="009331A4">
        <w:rPr>
          <w:b/>
          <w:bCs/>
          <w:u w:val="single"/>
          <w:lang w:val="en-GB"/>
        </w:rPr>
        <w:t>financial offer:</w:t>
      </w:r>
      <w:r w:rsidRPr="009331A4">
        <w:rPr>
          <w:lang w:val="en-GB"/>
        </w:rPr>
        <w:t xml:space="preserve"> This should present the overall budget for the </w:t>
      </w:r>
      <w:r w:rsidR="00AB4D18">
        <w:rPr>
          <w:lang w:val="en-GB"/>
        </w:rPr>
        <w:t>overall English translation of all documents and supervision activity</w:t>
      </w:r>
      <w:r w:rsidRPr="009331A4">
        <w:rPr>
          <w:lang w:val="en-GB"/>
        </w:rPr>
        <w:t>. The budget should detail the following items: daily consultancy fees, a breakdown of the time allocated to each stage of the work, ancillary costs (including addition</w:t>
      </w:r>
      <w:r w:rsidR="000A1125">
        <w:rPr>
          <w:lang w:val="en-GB"/>
        </w:rPr>
        <w:t xml:space="preserve">al services and documentation) </w:t>
      </w:r>
      <w:r w:rsidRPr="009331A4">
        <w:rPr>
          <w:lang w:val="en-GB"/>
        </w:rPr>
        <w:t>and proposed payment arrangements.</w:t>
      </w:r>
    </w:p>
    <w:p w14:paraId="09094C57" w14:textId="77777777" w:rsidR="00DF4B5A" w:rsidRPr="009331A4" w:rsidRDefault="00DF4B5A" w:rsidP="00DF4B5A">
      <w:pPr>
        <w:spacing w:after="0" w:line="240" w:lineRule="auto"/>
        <w:jc w:val="both"/>
        <w:rPr>
          <w:lang w:val="en-GB"/>
        </w:rPr>
      </w:pPr>
    </w:p>
    <w:p w14:paraId="3804E68A" w14:textId="77777777" w:rsidR="00DF4B5A" w:rsidRPr="00DF4B5A" w:rsidRDefault="00DF4B5A" w:rsidP="00DF4B5A">
      <w:pPr>
        <w:spacing w:after="0" w:line="240" w:lineRule="auto"/>
        <w:jc w:val="both"/>
        <w:rPr>
          <w:lang w:val="en-GB"/>
        </w:rPr>
      </w:pPr>
    </w:p>
    <w:sectPr w:rsidR="00DF4B5A" w:rsidRPr="00DF4B5A" w:rsidSect="00753674">
      <w:headerReference w:type="default" r:id="rId8"/>
      <w:footerReference w:type="default" r:id="rId9"/>
      <w:type w:val="continuous"/>
      <w:pgSz w:w="12240" w:h="15840"/>
      <w:pgMar w:top="2268" w:right="1800" w:bottom="1276" w:left="1800" w:header="568"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7342B" w14:textId="77777777" w:rsidR="00E54751" w:rsidRDefault="00E54751">
      <w:pPr>
        <w:spacing w:after="0" w:line="240" w:lineRule="auto"/>
      </w:pPr>
      <w:r>
        <w:separator/>
      </w:r>
    </w:p>
  </w:endnote>
  <w:endnote w:type="continuationSeparator" w:id="0">
    <w:p w14:paraId="35867CE8" w14:textId="77777777" w:rsidR="00E54751" w:rsidRDefault="00E54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mo">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Tin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93C3" w14:textId="77777777" w:rsidR="003E39B4" w:rsidRDefault="003E39B4">
    <w:pPr>
      <w:pStyle w:val="Pieddepage"/>
      <w:jc w:val="center"/>
    </w:pPr>
  </w:p>
  <w:p w14:paraId="3AED1648" w14:textId="4DAC9A7E" w:rsidR="003E39B4" w:rsidRDefault="003E39B4" w:rsidP="00102EAF">
    <w:pPr>
      <w:pStyle w:val="Pieddepage"/>
    </w:pPr>
    <w:r>
      <w:t>V2</w:t>
    </w:r>
    <w:r w:rsidR="001768EA">
      <w:t>4</w:t>
    </w:r>
    <w:r>
      <w:t>.0</w:t>
    </w:r>
    <w:r w:rsidR="00102EAF">
      <w:t>9</w:t>
    </w:r>
    <w:r>
      <w:t>.</w:t>
    </w:r>
    <w:r w:rsidR="00102EAF">
      <w:t>13</w:t>
    </w:r>
    <w:r>
      <w:tab/>
    </w:r>
    <w:r>
      <w:tab/>
    </w:r>
    <w:r w:rsidR="00FF4132">
      <w:fldChar w:fldCharType="begin"/>
    </w:r>
    <w:r w:rsidR="00FF4132">
      <w:instrText xml:space="preserve"> PAGE </w:instrText>
    </w:r>
    <w:r w:rsidR="00FF4132">
      <w:fldChar w:fldCharType="separate"/>
    </w:r>
    <w:r w:rsidR="00E54751">
      <w:rPr>
        <w:noProof/>
      </w:rPr>
      <w:t>1</w:t>
    </w:r>
    <w:r w:rsidR="00FF4132">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6AB4A" w14:textId="77777777" w:rsidR="00E54751" w:rsidRDefault="00E54751">
      <w:pPr>
        <w:rPr>
          <w:sz w:val="12"/>
        </w:rPr>
      </w:pPr>
      <w:r>
        <w:separator/>
      </w:r>
    </w:p>
  </w:footnote>
  <w:footnote w:type="continuationSeparator" w:id="0">
    <w:p w14:paraId="58A66574" w14:textId="77777777" w:rsidR="00E54751" w:rsidRDefault="00E54751">
      <w:pPr>
        <w:rPr>
          <w:sz w:val="12"/>
        </w:rPr>
      </w:pPr>
      <w:r>
        <w:continuationSeparator/>
      </w:r>
    </w:p>
  </w:footnote>
  <w:footnote w:id="1">
    <w:p w14:paraId="62E0A258" w14:textId="77777777" w:rsidR="00B66B91" w:rsidRDefault="00FF4132">
      <w:pPr>
        <w:pStyle w:val="NormalWeb"/>
        <w:ind w:left="142" w:hanging="142"/>
        <w:rPr>
          <w:rFonts w:ascii="Calibri" w:eastAsia="Calibri" w:hAnsi="Calibri" w:cs="Calibri"/>
          <w:sz w:val="16"/>
          <w:szCs w:val="16"/>
          <w:lang w:eastAsia="en-US"/>
        </w:rPr>
      </w:pPr>
      <w:r w:rsidRPr="001A5A42">
        <w:rPr>
          <w:rStyle w:val="FootnoteCharacters"/>
          <w:sz w:val="18"/>
        </w:rPr>
        <w:footnoteRef/>
      </w:r>
      <w:r>
        <w:rPr>
          <w:rFonts w:ascii="Calibri" w:eastAsia="Calibri" w:hAnsi="Calibri" w:cs="Calibri"/>
          <w:sz w:val="16"/>
          <w:szCs w:val="16"/>
          <w:lang w:eastAsia="en-US"/>
        </w:rPr>
        <w:tab/>
        <w:t>- Blood Transfusion Services in Libya Nov 1998 by Robin C Knight - WHO consultant; Situation analysis of laboratory and blood safety in Libya February 2003 by Prof. Dr. Cees Sibinga - WHO consultant. Further studies have not been published.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0DEAD" w14:textId="44F174C3" w:rsidR="00B66B91" w:rsidRDefault="00F02F80" w:rsidP="00A3792B">
    <w:pPr>
      <w:pStyle w:val="En-tte"/>
      <w:pBdr>
        <w:bottom w:val="single" w:sz="4" w:space="1" w:color="000000"/>
      </w:pBdr>
      <w:jc w:val="center"/>
      <w:rPr>
        <w:i/>
        <w:iCs/>
        <w:sz w:val="18"/>
        <w:szCs w:val="18"/>
        <w:lang w:val="en-US"/>
      </w:rPr>
    </w:pPr>
    <w:r>
      <w:rPr>
        <w:i/>
        <w:iCs/>
        <w:noProof/>
        <w:sz w:val="18"/>
        <w:szCs w:val="18"/>
        <w:lang w:eastAsia="fr-FR"/>
      </w:rPr>
      <w:drawing>
        <wp:anchor distT="0" distB="0" distL="0" distR="0" simplePos="0" relativeHeight="11" behindDoc="1" locked="0" layoutInCell="0" allowOverlap="1" wp14:anchorId="09220702" wp14:editId="1C482BEC">
          <wp:simplePos x="0" y="0"/>
          <wp:positionH relativeFrom="margin">
            <wp:align>center</wp:align>
          </wp:positionH>
          <wp:positionV relativeFrom="paragraph">
            <wp:posOffset>194945</wp:posOffset>
          </wp:positionV>
          <wp:extent cx="1679575" cy="862330"/>
          <wp:effectExtent l="0" t="0" r="0" b="0"/>
          <wp:wrapNone/>
          <wp:docPr id="11" name="Image 23" descr="C:\Users\baptiste.pain\Desktop\Administration Générale\EF\Outils EF\COM\Logo Expertise France - Fon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3" descr="C:\Users\baptiste.pain\Desktop\Administration Générale\EF\Outils EF\COM\Logo Expertise France - Fond transparent.png"/>
                  <pic:cNvPicPr>
                    <a:picLocks noChangeAspect="1" noChangeArrowheads="1"/>
                  </pic:cNvPicPr>
                </pic:nvPicPr>
                <pic:blipFill>
                  <a:blip r:embed="rId1"/>
                  <a:stretch>
                    <a:fillRect/>
                  </a:stretch>
                </pic:blipFill>
                <pic:spPr bwMode="auto">
                  <a:xfrm>
                    <a:off x="0" y="0"/>
                    <a:ext cx="1679575" cy="862330"/>
                  </a:xfrm>
                  <a:prstGeom prst="rect">
                    <a:avLst/>
                  </a:prstGeom>
                </pic:spPr>
              </pic:pic>
            </a:graphicData>
          </a:graphic>
        </wp:anchor>
      </w:drawing>
    </w:r>
    <w:r w:rsidR="00FF4132">
      <w:rPr>
        <w:i/>
        <w:iCs/>
        <w:sz w:val="18"/>
        <w:szCs w:val="18"/>
        <w:lang w:val="en-US"/>
      </w:rPr>
      <w:t xml:space="preserve">Expertise France in Libya - ToRs </w:t>
    </w:r>
    <w:r w:rsidR="001768EA">
      <w:rPr>
        <w:i/>
        <w:iCs/>
        <w:sz w:val="18"/>
        <w:szCs w:val="18"/>
        <w:lang w:val="en-US"/>
      </w:rPr>
      <w:t xml:space="preserve">E-learning </w:t>
    </w:r>
    <w:r w:rsidR="003211A2">
      <w:rPr>
        <w:i/>
        <w:iCs/>
        <w:sz w:val="18"/>
        <w:szCs w:val="18"/>
        <w:lang w:val="en-US"/>
      </w:rPr>
      <w:t xml:space="preserve">platform </w:t>
    </w:r>
    <w:r w:rsidR="00102EAF">
      <w:rPr>
        <w:i/>
        <w:iCs/>
        <w:sz w:val="18"/>
        <w:szCs w:val="18"/>
        <w:lang w:val="en-US"/>
      </w:rPr>
      <w:t xml:space="preserve">English </w:t>
    </w:r>
    <w:r w:rsidR="00A3792B">
      <w:rPr>
        <w:i/>
        <w:iCs/>
        <w:sz w:val="18"/>
        <w:szCs w:val="18"/>
        <w:lang w:val="en-US"/>
      </w:rPr>
      <w:t>integration</w:t>
    </w:r>
    <w:r w:rsidR="004D4513">
      <w:rPr>
        <w:i/>
        <w:iCs/>
        <w:sz w:val="18"/>
        <w:szCs w:val="18"/>
        <w:lang w:val="en-US"/>
      </w:rPr>
      <w:t xml:space="preserve"> for Mendami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B43"/>
    <w:multiLevelType w:val="hybridMultilevel"/>
    <w:tmpl w:val="8E6643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C81A2C"/>
    <w:multiLevelType w:val="multilevel"/>
    <w:tmpl w:val="7EC6E4D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1C56F3A"/>
    <w:multiLevelType w:val="multilevel"/>
    <w:tmpl w:val="9FC6DB1E"/>
    <w:lvl w:ilvl="0">
      <w:start w:val="1"/>
      <w:numFmt w:val="bullet"/>
      <w:lvlText w:val="-"/>
      <w:lvlJc w:val="left"/>
      <w:pPr>
        <w:tabs>
          <w:tab w:val="num" w:pos="0"/>
        </w:tabs>
        <w:ind w:left="720" w:hanging="360"/>
      </w:pPr>
      <w:rPr>
        <w:rFonts w:ascii="Arial" w:hAnsi="Arial" w:cs="Arial"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68E6808"/>
    <w:multiLevelType w:val="hybridMultilevel"/>
    <w:tmpl w:val="760AF47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9E63AE1"/>
    <w:multiLevelType w:val="multilevel"/>
    <w:tmpl w:val="2E26C74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F1C38C0"/>
    <w:multiLevelType w:val="multilevel"/>
    <w:tmpl w:val="9718221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15:restartNumberingAfterBreak="0">
    <w:nsid w:val="217A0B05"/>
    <w:multiLevelType w:val="hybridMultilevel"/>
    <w:tmpl w:val="DE144D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9AD01AE"/>
    <w:multiLevelType w:val="hybridMultilevel"/>
    <w:tmpl w:val="604839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010172E"/>
    <w:multiLevelType w:val="multilevel"/>
    <w:tmpl w:val="D1A08BE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55E1CF1"/>
    <w:multiLevelType w:val="hybridMultilevel"/>
    <w:tmpl w:val="8E6643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8B54F10"/>
    <w:multiLevelType w:val="hybridMultilevel"/>
    <w:tmpl w:val="BAC80E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9724105"/>
    <w:multiLevelType w:val="multilevel"/>
    <w:tmpl w:val="520AC2FE"/>
    <w:lvl w:ilvl="0">
      <w:start w:val="1"/>
      <w:numFmt w:val="bullet"/>
      <w:lvlText w:val="-"/>
      <w:lvlJc w:val="left"/>
      <w:pPr>
        <w:tabs>
          <w:tab w:val="num" w:pos="0"/>
        </w:tabs>
        <w:ind w:left="720" w:hanging="360"/>
      </w:pPr>
      <w:rPr>
        <w:rFonts w:ascii="Arial" w:hAnsi="Arial" w:cs="Arial"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BBC150F"/>
    <w:multiLevelType w:val="hybridMultilevel"/>
    <w:tmpl w:val="30C460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D0E1DC3"/>
    <w:multiLevelType w:val="multilevel"/>
    <w:tmpl w:val="16ECA2AE"/>
    <w:lvl w:ilvl="0">
      <w:start w:val="1"/>
      <w:numFmt w:val="bullet"/>
      <w:lvlText w:val="-"/>
      <w:lvlJc w:val="left"/>
      <w:pPr>
        <w:tabs>
          <w:tab w:val="num" w:pos="0"/>
        </w:tabs>
        <w:ind w:left="720" w:hanging="360"/>
      </w:pPr>
      <w:rPr>
        <w:rFonts w:ascii="Arial" w:hAnsi="Arial" w:cs="Aria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7015924"/>
    <w:multiLevelType w:val="multilevel"/>
    <w:tmpl w:val="080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738F0517"/>
    <w:multiLevelType w:val="multilevel"/>
    <w:tmpl w:val="080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7D4B0351"/>
    <w:multiLevelType w:val="multilevel"/>
    <w:tmpl w:val="22DCB13A"/>
    <w:lvl w:ilvl="0">
      <w:start w:val="1"/>
      <w:numFmt w:val="decimal"/>
      <w:pStyle w:val="EXP-Titre1"/>
      <w:lvlText w:val="%1."/>
      <w:lvlJc w:val="left"/>
      <w:pPr>
        <w:tabs>
          <w:tab w:val="num" w:pos="4253"/>
        </w:tabs>
        <w:ind w:left="4613"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5"/>
  </w:num>
  <w:num w:numId="2">
    <w:abstractNumId w:val="15"/>
  </w:num>
  <w:num w:numId="3">
    <w:abstractNumId w:val="16"/>
  </w:num>
  <w:num w:numId="4">
    <w:abstractNumId w:val="13"/>
  </w:num>
  <w:num w:numId="5">
    <w:abstractNumId w:val="8"/>
  </w:num>
  <w:num w:numId="6">
    <w:abstractNumId w:val="4"/>
  </w:num>
  <w:num w:numId="7">
    <w:abstractNumId w:val="2"/>
  </w:num>
  <w:num w:numId="8">
    <w:abstractNumId w:val="11"/>
  </w:num>
  <w:num w:numId="9">
    <w:abstractNumId w:val="16"/>
  </w:num>
  <w:num w:numId="10">
    <w:abstractNumId w:val="16"/>
  </w:num>
  <w:num w:numId="11">
    <w:abstractNumId w:val="16"/>
  </w:num>
  <w:num w:numId="12">
    <w:abstractNumId w:val="16"/>
  </w:num>
  <w:num w:numId="13">
    <w:abstractNumId w:val="14"/>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0"/>
  </w:num>
  <w:num w:numId="31">
    <w:abstractNumId w:val="3"/>
  </w:num>
  <w:num w:numId="32">
    <w:abstractNumId w:val="12"/>
  </w:num>
  <w:num w:numId="33">
    <w:abstractNumId w:val="0"/>
  </w:num>
  <w:num w:numId="34">
    <w:abstractNumId w:val="9"/>
  </w:num>
  <w:num w:numId="35">
    <w:abstractNumId w:val="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91"/>
    <w:rsid w:val="00003748"/>
    <w:rsid w:val="00005435"/>
    <w:rsid w:val="00017048"/>
    <w:rsid w:val="00023A3A"/>
    <w:rsid w:val="0002799A"/>
    <w:rsid w:val="00031C9F"/>
    <w:rsid w:val="00037354"/>
    <w:rsid w:val="00037EF5"/>
    <w:rsid w:val="0005501C"/>
    <w:rsid w:val="00055E49"/>
    <w:rsid w:val="00056777"/>
    <w:rsid w:val="000571B7"/>
    <w:rsid w:val="00065D47"/>
    <w:rsid w:val="000815C5"/>
    <w:rsid w:val="000960D2"/>
    <w:rsid w:val="000A0CE3"/>
    <w:rsid w:val="000A1125"/>
    <w:rsid w:val="000A532E"/>
    <w:rsid w:val="000C60B3"/>
    <w:rsid w:val="000D1B22"/>
    <w:rsid w:val="000D36E7"/>
    <w:rsid w:val="000D7422"/>
    <w:rsid w:val="000E19FD"/>
    <w:rsid w:val="000E1C1A"/>
    <w:rsid w:val="000F6193"/>
    <w:rsid w:val="00102EAF"/>
    <w:rsid w:val="001079BC"/>
    <w:rsid w:val="001122B5"/>
    <w:rsid w:val="00136AB2"/>
    <w:rsid w:val="00146B9B"/>
    <w:rsid w:val="00150DE6"/>
    <w:rsid w:val="00170B9C"/>
    <w:rsid w:val="00173BAD"/>
    <w:rsid w:val="001768EA"/>
    <w:rsid w:val="0018765C"/>
    <w:rsid w:val="001A5A42"/>
    <w:rsid w:val="001A5CD9"/>
    <w:rsid w:val="001C3A54"/>
    <w:rsid w:val="001D0A6C"/>
    <w:rsid w:val="001D450B"/>
    <w:rsid w:val="001D52C8"/>
    <w:rsid w:val="001D7130"/>
    <w:rsid w:val="001E07BD"/>
    <w:rsid w:val="001F783A"/>
    <w:rsid w:val="00200A8A"/>
    <w:rsid w:val="00207DB3"/>
    <w:rsid w:val="002143CB"/>
    <w:rsid w:val="00223964"/>
    <w:rsid w:val="00266D7D"/>
    <w:rsid w:val="00283D93"/>
    <w:rsid w:val="002921E4"/>
    <w:rsid w:val="002A0D43"/>
    <w:rsid w:val="002B20AF"/>
    <w:rsid w:val="002D0C33"/>
    <w:rsid w:val="002D1344"/>
    <w:rsid w:val="002D15DC"/>
    <w:rsid w:val="002E523E"/>
    <w:rsid w:val="002E6D4B"/>
    <w:rsid w:val="002E6DFD"/>
    <w:rsid w:val="002E70A9"/>
    <w:rsid w:val="002E7562"/>
    <w:rsid w:val="002F1B0B"/>
    <w:rsid w:val="00305A6D"/>
    <w:rsid w:val="00307F29"/>
    <w:rsid w:val="00314795"/>
    <w:rsid w:val="003153D2"/>
    <w:rsid w:val="003211A2"/>
    <w:rsid w:val="00325443"/>
    <w:rsid w:val="0032564A"/>
    <w:rsid w:val="00343847"/>
    <w:rsid w:val="0035772F"/>
    <w:rsid w:val="00370739"/>
    <w:rsid w:val="00374544"/>
    <w:rsid w:val="003A562B"/>
    <w:rsid w:val="003C7DE8"/>
    <w:rsid w:val="003E39B4"/>
    <w:rsid w:val="004204A9"/>
    <w:rsid w:val="00424B89"/>
    <w:rsid w:val="00431414"/>
    <w:rsid w:val="004315E6"/>
    <w:rsid w:val="00432D31"/>
    <w:rsid w:val="0043388E"/>
    <w:rsid w:val="00435528"/>
    <w:rsid w:val="004367C8"/>
    <w:rsid w:val="00436B83"/>
    <w:rsid w:val="00440859"/>
    <w:rsid w:val="00460F27"/>
    <w:rsid w:val="004755A1"/>
    <w:rsid w:val="004826A5"/>
    <w:rsid w:val="004A1256"/>
    <w:rsid w:val="004A275A"/>
    <w:rsid w:val="004B04C5"/>
    <w:rsid w:val="004B3AE7"/>
    <w:rsid w:val="004B7239"/>
    <w:rsid w:val="004C1D3A"/>
    <w:rsid w:val="004D4513"/>
    <w:rsid w:val="004D5CB9"/>
    <w:rsid w:val="004E1555"/>
    <w:rsid w:val="00504E06"/>
    <w:rsid w:val="005118B4"/>
    <w:rsid w:val="005261CB"/>
    <w:rsid w:val="005332D8"/>
    <w:rsid w:val="005450A4"/>
    <w:rsid w:val="005571C7"/>
    <w:rsid w:val="005625EA"/>
    <w:rsid w:val="00574AC8"/>
    <w:rsid w:val="00574ACB"/>
    <w:rsid w:val="00577DF0"/>
    <w:rsid w:val="00581FFF"/>
    <w:rsid w:val="005845B6"/>
    <w:rsid w:val="0059420B"/>
    <w:rsid w:val="005966C5"/>
    <w:rsid w:val="005B2C53"/>
    <w:rsid w:val="005C5A1C"/>
    <w:rsid w:val="005D00A5"/>
    <w:rsid w:val="005D490E"/>
    <w:rsid w:val="005D73F6"/>
    <w:rsid w:val="005E024A"/>
    <w:rsid w:val="005E39BE"/>
    <w:rsid w:val="006040E2"/>
    <w:rsid w:val="006078E2"/>
    <w:rsid w:val="00613B9D"/>
    <w:rsid w:val="006142FF"/>
    <w:rsid w:val="006146EA"/>
    <w:rsid w:val="00614E5D"/>
    <w:rsid w:val="00621DC5"/>
    <w:rsid w:val="00631B53"/>
    <w:rsid w:val="00632601"/>
    <w:rsid w:val="00633CE9"/>
    <w:rsid w:val="006573ED"/>
    <w:rsid w:val="006579C0"/>
    <w:rsid w:val="00670F9A"/>
    <w:rsid w:val="00681D87"/>
    <w:rsid w:val="006843F9"/>
    <w:rsid w:val="00686C64"/>
    <w:rsid w:val="00686F38"/>
    <w:rsid w:val="006B1981"/>
    <w:rsid w:val="006B49F1"/>
    <w:rsid w:val="006C1188"/>
    <w:rsid w:val="006C3551"/>
    <w:rsid w:val="006C4127"/>
    <w:rsid w:val="006D33CE"/>
    <w:rsid w:val="006D7330"/>
    <w:rsid w:val="006E25B5"/>
    <w:rsid w:val="006F0ED4"/>
    <w:rsid w:val="006F5C24"/>
    <w:rsid w:val="006F5D9D"/>
    <w:rsid w:val="0070145D"/>
    <w:rsid w:val="00702AFB"/>
    <w:rsid w:val="00710B14"/>
    <w:rsid w:val="007228DD"/>
    <w:rsid w:val="0072443D"/>
    <w:rsid w:val="0073767B"/>
    <w:rsid w:val="00747561"/>
    <w:rsid w:val="007526F7"/>
    <w:rsid w:val="00753674"/>
    <w:rsid w:val="00757D2E"/>
    <w:rsid w:val="007A3B01"/>
    <w:rsid w:val="007A44A3"/>
    <w:rsid w:val="007A6D1C"/>
    <w:rsid w:val="007A7FC1"/>
    <w:rsid w:val="007B4139"/>
    <w:rsid w:val="007B7293"/>
    <w:rsid w:val="007C23B9"/>
    <w:rsid w:val="007C4322"/>
    <w:rsid w:val="007D25DD"/>
    <w:rsid w:val="007F5FD0"/>
    <w:rsid w:val="008073F9"/>
    <w:rsid w:val="00812CD2"/>
    <w:rsid w:val="008219A6"/>
    <w:rsid w:val="00823CA5"/>
    <w:rsid w:val="008459FC"/>
    <w:rsid w:val="00855848"/>
    <w:rsid w:val="008641E1"/>
    <w:rsid w:val="008776D6"/>
    <w:rsid w:val="008826CB"/>
    <w:rsid w:val="00886D49"/>
    <w:rsid w:val="008A208E"/>
    <w:rsid w:val="008A30D6"/>
    <w:rsid w:val="008B276B"/>
    <w:rsid w:val="008B55AD"/>
    <w:rsid w:val="008B6042"/>
    <w:rsid w:val="008D1A8A"/>
    <w:rsid w:val="008D25C7"/>
    <w:rsid w:val="008E2325"/>
    <w:rsid w:val="008E5789"/>
    <w:rsid w:val="008E6833"/>
    <w:rsid w:val="008F79A5"/>
    <w:rsid w:val="008F7F0C"/>
    <w:rsid w:val="009107FD"/>
    <w:rsid w:val="00912D7B"/>
    <w:rsid w:val="00916476"/>
    <w:rsid w:val="009333A9"/>
    <w:rsid w:val="00950150"/>
    <w:rsid w:val="00950E74"/>
    <w:rsid w:val="00953006"/>
    <w:rsid w:val="00953D7B"/>
    <w:rsid w:val="00954CC4"/>
    <w:rsid w:val="00955CE7"/>
    <w:rsid w:val="00966DE7"/>
    <w:rsid w:val="0097224B"/>
    <w:rsid w:val="00972250"/>
    <w:rsid w:val="00974D59"/>
    <w:rsid w:val="009818A9"/>
    <w:rsid w:val="009844D0"/>
    <w:rsid w:val="00985394"/>
    <w:rsid w:val="00992A5D"/>
    <w:rsid w:val="00996C72"/>
    <w:rsid w:val="009A66C3"/>
    <w:rsid w:val="009D63DD"/>
    <w:rsid w:val="009D6AC1"/>
    <w:rsid w:val="009E1720"/>
    <w:rsid w:val="009E1931"/>
    <w:rsid w:val="009E5F48"/>
    <w:rsid w:val="009F31B6"/>
    <w:rsid w:val="009F3566"/>
    <w:rsid w:val="009F5E7B"/>
    <w:rsid w:val="009F6C36"/>
    <w:rsid w:val="00A12781"/>
    <w:rsid w:val="00A12A2D"/>
    <w:rsid w:val="00A36AE9"/>
    <w:rsid w:val="00A3792B"/>
    <w:rsid w:val="00A50E6D"/>
    <w:rsid w:val="00A51D42"/>
    <w:rsid w:val="00A51DE9"/>
    <w:rsid w:val="00A71162"/>
    <w:rsid w:val="00A73235"/>
    <w:rsid w:val="00A80C7B"/>
    <w:rsid w:val="00A80D8D"/>
    <w:rsid w:val="00A818E7"/>
    <w:rsid w:val="00A819C0"/>
    <w:rsid w:val="00A843B8"/>
    <w:rsid w:val="00A90102"/>
    <w:rsid w:val="00A90815"/>
    <w:rsid w:val="00A94525"/>
    <w:rsid w:val="00AA1B1C"/>
    <w:rsid w:val="00AA5A41"/>
    <w:rsid w:val="00AA6A22"/>
    <w:rsid w:val="00AB4D18"/>
    <w:rsid w:val="00AC1BA1"/>
    <w:rsid w:val="00AC289A"/>
    <w:rsid w:val="00AC4108"/>
    <w:rsid w:val="00AC5CB1"/>
    <w:rsid w:val="00AF04C7"/>
    <w:rsid w:val="00B11927"/>
    <w:rsid w:val="00B124CE"/>
    <w:rsid w:val="00B165DA"/>
    <w:rsid w:val="00B34043"/>
    <w:rsid w:val="00B3444E"/>
    <w:rsid w:val="00B40C9A"/>
    <w:rsid w:val="00B469B1"/>
    <w:rsid w:val="00B5575E"/>
    <w:rsid w:val="00B62859"/>
    <w:rsid w:val="00B6317E"/>
    <w:rsid w:val="00B66B91"/>
    <w:rsid w:val="00B6758D"/>
    <w:rsid w:val="00B72687"/>
    <w:rsid w:val="00B85436"/>
    <w:rsid w:val="00B86D9E"/>
    <w:rsid w:val="00BA5D56"/>
    <w:rsid w:val="00BB4D2F"/>
    <w:rsid w:val="00BB50B3"/>
    <w:rsid w:val="00C00FF2"/>
    <w:rsid w:val="00C04386"/>
    <w:rsid w:val="00C12154"/>
    <w:rsid w:val="00C1678E"/>
    <w:rsid w:val="00C204EB"/>
    <w:rsid w:val="00C20E89"/>
    <w:rsid w:val="00C22591"/>
    <w:rsid w:val="00C24331"/>
    <w:rsid w:val="00C409BC"/>
    <w:rsid w:val="00C41276"/>
    <w:rsid w:val="00C4676D"/>
    <w:rsid w:val="00C545D7"/>
    <w:rsid w:val="00C54DD0"/>
    <w:rsid w:val="00C76425"/>
    <w:rsid w:val="00CA3711"/>
    <w:rsid w:val="00CA4005"/>
    <w:rsid w:val="00CA5A66"/>
    <w:rsid w:val="00CB0B55"/>
    <w:rsid w:val="00CB5729"/>
    <w:rsid w:val="00CC6D6F"/>
    <w:rsid w:val="00CC7693"/>
    <w:rsid w:val="00CD2CD4"/>
    <w:rsid w:val="00CD3FB3"/>
    <w:rsid w:val="00CF08B6"/>
    <w:rsid w:val="00D15983"/>
    <w:rsid w:val="00D2005E"/>
    <w:rsid w:val="00D25218"/>
    <w:rsid w:val="00D343F4"/>
    <w:rsid w:val="00D50606"/>
    <w:rsid w:val="00D5524B"/>
    <w:rsid w:val="00D552DF"/>
    <w:rsid w:val="00D61D50"/>
    <w:rsid w:val="00D62DCA"/>
    <w:rsid w:val="00D646FF"/>
    <w:rsid w:val="00D748BE"/>
    <w:rsid w:val="00D8017A"/>
    <w:rsid w:val="00D95E4B"/>
    <w:rsid w:val="00DA0C46"/>
    <w:rsid w:val="00DB3073"/>
    <w:rsid w:val="00DB64C1"/>
    <w:rsid w:val="00DB6ECC"/>
    <w:rsid w:val="00DB73ED"/>
    <w:rsid w:val="00DC072A"/>
    <w:rsid w:val="00DC5963"/>
    <w:rsid w:val="00DD6D24"/>
    <w:rsid w:val="00DE2270"/>
    <w:rsid w:val="00DE5DCE"/>
    <w:rsid w:val="00DF1D30"/>
    <w:rsid w:val="00DF4B5A"/>
    <w:rsid w:val="00E148A7"/>
    <w:rsid w:val="00E32E07"/>
    <w:rsid w:val="00E36087"/>
    <w:rsid w:val="00E46594"/>
    <w:rsid w:val="00E46910"/>
    <w:rsid w:val="00E54751"/>
    <w:rsid w:val="00E62AA3"/>
    <w:rsid w:val="00E7406E"/>
    <w:rsid w:val="00E81A3B"/>
    <w:rsid w:val="00E92030"/>
    <w:rsid w:val="00E952B5"/>
    <w:rsid w:val="00EA0E3D"/>
    <w:rsid w:val="00EA3ACA"/>
    <w:rsid w:val="00EB272B"/>
    <w:rsid w:val="00ED76D8"/>
    <w:rsid w:val="00F020C9"/>
    <w:rsid w:val="00F02F80"/>
    <w:rsid w:val="00F35AE7"/>
    <w:rsid w:val="00F616AE"/>
    <w:rsid w:val="00F71C55"/>
    <w:rsid w:val="00F82A31"/>
    <w:rsid w:val="00F873E2"/>
    <w:rsid w:val="00F9008F"/>
    <w:rsid w:val="00FB294F"/>
    <w:rsid w:val="00FB5E08"/>
    <w:rsid w:val="00FC2DBD"/>
    <w:rsid w:val="00FC2EA6"/>
    <w:rsid w:val="00FC5762"/>
    <w:rsid w:val="00FC6802"/>
    <w:rsid w:val="00FD4483"/>
    <w:rsid w:val="00FD5BEE"/>
    <w:rsid w:val="00FE01CE"/>
    <w:rsid w:val="00FF1DB0"/>
    <w:rsid w:val="00FF4132"/>
    <w:rsid w:val="00FF662B"/>
    <w:rsid w:val="00FF73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4FADD"/>
  <w15:docId w15:val="{3BCB9A03-FEF5-4A86-889C-4B768471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4" w:lineRule="auto"/>
    </w:pPr>
    <w:rPr>
      <w:lang w:val="fr-FR"/>
    </w:rPr>
  </w:style>
  <w:style w:type="paragraph" w:styleId="Titre1">
    <w:name w:val="heading 1"/>
    <w:basedOn w:val="Normal"/>
    <w:next w:val="Normal"/>
    <w:link w:val="Titre1Car"/>
    <w:qFormat/>
    <w:pPr>
      <w:keepNext/>
      <w:keepLines/>
      <w:spacing w:before="240" w:after="0"/>
      <w:outlineLvl w:val="0"/>
    </w:pPr>
    <w:rPr>
      <w:rFonts w:ascii="Calibri Light" w:hAnsi="Calibri Light" w:cs="Times New Roman"/>
      <w:color w:val="2F5496"/>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rformatHTMLCar">
    <w:name w:val="Préformaté HTML Car"/>
    <w:basedOn w:val="Policepardfaut"/>
    <w:link w:val="PrformatHTML"/>
    <w:qFormat/>
    <w:rPr>
      <w:rFonts w:ascii="Courier New" w:eastAsia="Times New Roman" w:hAnsi="Courier New" w:cs="Courier New"/>
      <w:sz w:val="20"/>
      <w:szCs w:val="20"/>
      <w:lang w:val="fr-FR" w:eastAsia="fr-FR"/>
    </w:rPr>
  </w:style>
  <w:style w:type="character" w:customStyle="1" w:styleId="En-tteCar">
    <w:name w:val="En-tête Car"/>
    <w:basedOn w:val="Policepardfaut"/>
    <w:link w:val="En-tte"/>
    <w:qFormat/>
    <w:rPr>
      <w:rFonts w:ascii="Calibri" w:eastAsia="Calibri" w:hAnsi="Calibri" w:cs="Arial"/>
      <w:lang w:val="fr-FR"/>
    </w:rPr>
  </w:style>
  <w:style w:type="character" w:customStyle="1" w:styleId="PieddepageCar">
    <w:name w:val="Pied de page Car"/>
    <w:basedOn w:val="Policepardfaut"/>
    <w:link w:val="Pieddepage"/>
    <w:qFormat/>
    <w:rPr>
      <w:rFonts w:ascii="Calibri" w:eastAsia="Calibri" w:hAnsi="Calibri" w:cs="Arial"/>
      <w:lang w:val="fr-FR"/>
    </w:rPr>
  </w:style>
  <w:style w:type="character" w:styleId="Lienhypertexte">
    <w:name w:val="Hyperlink"/>
    <w:basedOn w:val="Policepardfaut"/>
    <w:rPr>
      <w:color w:val="0000FF"/>
      <w:u w:val="single"/>
    </w:rPr>
  </w:style>
  <w:style w:type="character" w:customStyle="1" w:styleId="ParagraphedelisteCar">
    <w:name w:val="Paragraphe de liste Car"/>
    <w:basedOn w:val="Policepardfaut"/>
    <w:link w:val="Paragraphedeliste"/>
    <w:qFormat/>
    <w:rPr>
      <w:rFonts w:ascii="Calibri" w:eastAsia="Calibri" w:hAnsi="Calibri" w:cs="Arial"/>
      <w:lang w:val="fr-FR"/>
    </w:rPr>
  </w:style>
  <w:style w:type="character" w:customStyle="1" w:styleId="EXP-Titre1Car">
    <w:name w:val="EXP - Titre 1 Car"/>
    <w:basedOn w:val="ParagraphedelisteCar"/>
    <w:link w:val="EXP-Titre1"/>
    <w:qFormat/>
    <w:rsid w:val="00D646FF"/>
    <w:rPr>
      <w:rFonts w:ascii="Arial" w:eastAsia="Calibri" w:hAnsi="Arial" w:cs="Arial"/>
      <w:caps/>
      <w:color w:val="FFFFFF"/>
      <w:lang w:val="fr-FR" w:eastAsia="ja-JP"/>
    </w:rPr>
  </w:style>
  <w:style w:type="character" w:customStyle="1" w:styleId="EXP-Titre2Car">
    <w:name w:val="EXP - Titre 2 Car"/>
    <w:basedOn w:val="ParagraphedelisteCar"/>
    <w:link w:val="EXP-Titre2"/>
    <w:qFormat/>
    <w:rPr>
      <w:rFonts w:ascii="Arial" w:eastAsia="Calibri" w:hAnsi="Arial" w:cs="Arial"/>
      <w:color w:val="FFFFFF"/>
      <w:lang w:val="fr-FR" w:eastAsia="ja-JP"/>
    </w:rPr>
  </w:style>
  <w:style w:type="character" w:customStyle="1" w:styleId="NotedebasdepageCar">
    <w:name w:val="Note de bas de page Car"/>
    <w:basedOn w:val="Policepardfaut"/>
    <w:link w:val="Notedebasdepage"/>
    <w:qFormat/>
    <w:rPr>
      <w:rFonts w:eastAsia="Calibri"/>
      <w:sz w:val="20"/>
      <w:szCs w:val="20"/>
      <w:lang w:val="fr-FR" w:eastAsia="ja-JP"/>
    </w:rPr>
  </w:style>
  <w:style w:type="character" w:customStyle="1" w:styleId="FootnoteCharacters">
    <w:name w:val="Footnote Characters"/>
    <w:qFormat/>
  </w:style>
  <w:style w:type="character" w:styleId="Appelnotedebasdep">
    <w:name w:val="footnote reference"/>
    <w:rPr>
      <w:vertAlign w:val="superscript"/>
    </w:rPr>
  </w:style>
  <w:style w:type="character" w:customStyle="1" w:styleId="Titre1Car">
    <w:name w:val="Titre 1 Car"/>
    <w:basedOn w:val="Policepardfaut"/>
    <w:link w:val="Titre1"/>
    <w:qFormat/>
    <w:rPr>
      <w:rFonts w:ascii="Calibri Light" w:eastAsia="Calibri" w:hAnsi="Calibri Light" w:cs="Times New Roman"/>
      <w:color w:val="2F5496"/>
      <w:sz w:val="32"/>
      <w:szCs w:val="32"/>
      <w:lang w:val="fr-FR"/>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link w:val="Commentaire"/>
    <w:qFormat/>
    <w:rPr>
      <w:rFonts w:ascii="Calibri" w:eastAsia="Calibri" w:hAnsi="Calibri" w:cs="Arial"/>
      <w:sz w:val="20"/>
      <w:szCs w:val="20"/>
      <w:lang w:val="fr-FR"/>
    </w:rPr>
  </w:style>
  <w:style w:type="character" w:customStyle="1" w:styleId="ObjetducommentaireCar">
    <w:name w:val="Objet du commentaire Car"/>
    <w:basedOn w:val="CommentaireCar"/>
    <w:link w:val="Objetducommentaire"/>
    <w:qFormat/>
    <w:rPr>
      <w:rFonts w:ascii="Calibri" w:eastAsia="Calibri" w:hAnsi="Calibri" w:cs="Arial"/>
      <w:b/>
      <w:bCs/>
      <w:sz w:val="20"/>
      <w:szCs w:val="20"/>
      <w:lang w:val="fr-FR"/>
    </w:rPr>
  </w:style>
  <w:style w:type="character" w:customStyle="1" w:styleId="TextedebullesCar">
    <w:name w:val="Texte de bulles Car"/>
    <w:basedOn w:val="Policepardfaut"/>
    <w:link w:val="Textedebulles"/>
    <w:qFormat/>
    <w:rPr>
      <w:rFonts w:ascii="Times New Roman" w:eastAsia="Calibri" w:hAnsi="Times New Roman" w:cs="Times New Roman"/>
      <w:sz w:val="18"/>
      <w:szCs w:val="18"/>
      <w:lang w:val="fr-FR"/>
    </w:rPr>
  </w:style>
  <w:style w:type="character" w:customStyle="1" w:styleId="EXP-Titre3Char">
    <w:name w:val="EXP - Titre 3 Char"/>
    <w:basedOn w:val="Policepardfaut"/>
    <w:link w:val="EXP-Titre3"/>
    <w:qFormat/>
    <w:rPr>
      <w:rFonts w:ascii="Arial" w:eastAsia="Calibri" w:hAnsi="Arial" w:cs="Arial"/>
      <w:b/>
      <w:color w:val="004979"/>
      <w:shd w:val="clear" w:color="auto" w:fill="E9E4DE"/>
      <w:lang w:val="en-GB" w:eastAsia="ja-JP"/>
    </w:rPr>
  </w:style>
  <w:style w:type="character" w:customStyle="1" w:styleId="EXP-ContenuCar">
    <w:name w:val="EXP - Contenu Car"/>
    <w:basedOn w:val="Policepardfaut"/>
    <w:link w:val="EXP-Contenu"/>
    <w:qFormat/>
    <w:rPr>
      <w:rFonts w:ascii="Arial" w:eastAsia="Calibri" w:hAnsi="Arial" w:cs="Arial"/>
      <w:lang w:val="en-GB" w:eastAsia="ja-JP"/>
    </w:rPr>
  </w:style>
  <w:style w:type="character" w:customStyle="1" w:styleId="CorpsdetexteCar">
    <w:name w:val="Corps de texte Car"/>
    <w:basedOn w:val="Policepardfaut"/>
    <w:link w:val="Corpsdetexte"/>
    <w:qFormat/>
    <w:rPr>
      <w:rFonts w:ascii="Verdana" w:eastAsia="Times New Roman" w:hAnsi="Verdana" w:cs="Verdana"/>
      <w:sz w:val="20"/>
      <w:szCs w:val="20"/>
      <w:lang w:val="en-GB" w:eastAsia="it-IT"/>
    </w:rPr>
  </w:style>
  <w:style w:type="character" w:styleId="Appeldenotedefin">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Arimo" w:eastAsia="Noto Sans CJK SC" w:hAnsi="Arimo" w:cs="Noto Sans Devanagari"/>
      <w:sz w:val="28"/>
      <w:szCs w:val="28"/>
    </w:rPr>
  </w:style>
  <w:style w:type="paragraph" w:styleId="Corpsdetexte">
    <w:name w:val="Body Text"/>
    <w:basedOn w:val="Normal"/>
    <w:link w:val="CorpsdetexteCar"/>
    <w:pPr>
      <w:spacing w:after="120" w:line="240" w:lineRule="auto"/>
      <w:jc w:val="both"/>
    </w:pPr>
    <w:rPr>
      <w:rFonts w:ascii="Verdana" w:eastAsia="Times New Roman" w:hAnsi="Verdana" w:cs="Verdana"/>
      <w:sz w:val="20"/>
      <w:szCs w:val="20"/>
      <w:lang w:val="en-GB" w:eastAsia="it-IT"/>
    </w:r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Paragraphedeliste">
    <w:name w:val="List Paragraph"/>
    <w:basedOn w:val="Normal"/>
    <w:link w:val="ParagraphedelisteCar"/>
    <w:qFormat/>
    <w:pPr>
      <w:ind w:left="720"/>
      <w:contextualSpacing/>
    </w:pPr>
  </w:style>
  <w:style w:type="paragraph" w:styleId="PrformatHTML">
    <w:name w:val="HTML Preformatted"/>
    <w:basedOn w:val="Normal"/>
    <w:link w:val="PrformatHTMLC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paragraph" w:customStyle="1" w:styleId="HeaderandFooter">
    <w:name w:val="Header and Footer"/>
    <w:basedOn w:val="Normal"/>
    <w:qFormat/>
  </w:style>
  <w:style w:type="paragraph" w:styleId="En-tte">
    <w:name w:val="header"/>
    <w:basedOn w:val="Normal"/>
    <w:link w:val="En-tteCar"/>
    <w:pPr>
      <w:tabs>
        <w:tab w:val="center" w:pos="4536"/>
        <w:tab w:val="right" w:pos="9072"/>
      </w:tabs>
      <w:spacing w:after="0" w:line="240" w:lineRule="auto"/>
    </w:pPr>
  </w:style>
  <w:style w:type="paragraph" w:styleId="Pieddepage">
    <w:name w:val="footer"/>
    <w:basedOn w:val="Normal"/>
    <w:link w:val="PieddepageCar"/>
    <w:pPr>
      <w:tabs>
        <w:tab w:val="center" w:pos="4536"/>
        <w:tab w:val="right" w:pos="9072"/>
      </w:tabs>
      <w:spacing w:after="0" w:line="240" w:lineRule="auto"/>
    </w:pPr>
  </w:style>
  <w:style w:type="paragraph" w:customStyle="1" w:styleId="EXP-Titre1">
    <w:name w:val="EXP - Titre 1"/>
    <w:basedOn w:val="Paragraphedeliste"/>
    <w:link w:val="EXP-Titre1Car"/>
    <w:autoRedefine/>
    <w:qFormat/>
    <w:rsid w:val="00D646FF"/>
    <w:pPr>
      <w:numPr>
        <w:numId w:val="3"/>
      </w:numPr>
      <w:tabs>
        <w:tab w:val="clear" w:pos="4253"/>
        <w:tab w:val="num" w:pos="0"/>
        <w:tab w:val="right" w:leader="dot" w:pos="9923"/>
      </w:tabs>
      <w:spacing w:after="240" w:line="300" w:lineRule="atLeast"/>
      <w:ind w:left="360"/>
      <w:contextualSpacing w:val="0"/>
      <w:jc w:val="both"/>
    </w:pPr>
    <w:rPr>
      <w:rFonts w:ascii="Arial" w:hAnsi="Arial"/>
      <w:caps/>
      <w:color w:val="FFFFFF"/>
      <w:shd w:val="clear" w:color="auto" w:fill="004979"/>
      <w:lang w:eastAsia="ja-JP"/>
    </w:rPr>
  </w:style>
  <w:style w:type="paragraph" w:customStyle="1" w:styleId="EXP-Titre2">
    <w:name w:val="EXP - Titre 2"/>
    <w:basedOn w:val="Paragraphedeliste"/>
    <w:link w:val="EXP-Titre2Car"/>
    <w:qFormat/>
    <w:pPr>
      <w:tabs>
        <w:tab w:val="right" w:leader="dot" w:pos="9923"/>
      </w:tabs>
      <w:spacing w:after="240" w:line="300" w:lineRule="atLeast"/>
      <w:ind w:left="0"/>
      <w:contextualSpacing w:val="0"/>
    </w:pPr>
    <w:rPr>
      <w:rFonts w:ascii="Arial" w:hAnsi="Arial"/>
      <w:color w:val="FFFFFF"/>
      <w:shd w:val="clear" w:color="auto" w:fill="68B1E6"/>
      <w:lang w:eastAsia="ja-JP"/>
    </w:rPr>
  </w:style>
  <w:style w:type="paragraph" w:styleId="Notedebasdepage">
    <w:name w:val="footnote text"/>
    <w:basedOn w:val="Normal"/>
    <w:link w:val="NotedebasdepageCar"/>
    <w:pPr>
      <w:spacing w:after="0" w:line="240" w:lineRule="auto"/>
    </w:pPr>
    <w:rPr>
      <w:sz w:val="20"/>
      <w:szCs w:val="20"/>
      <w:lang w:eastAsia="ja-JP"/>
    </w:rPr>
  </w:style>
  <w:style w:type="paragraph" w:styleId="Sansinterligne">
    <w:name w:val="No Spacing"/>
    <w:qFormat/>
    <w:rPr>
      <w:sz w:val="24"/>
      <w:szCs w:val="24"/>
      <w:lang w:val="fr-FR"/>
    </w:rPr>
  </w:style>
  <w:style w:type="paragraph" w:styleId="Titreindex">
    <w:name w:val="index heading"/>
    <w:basedOn w:val="Heading"/>
  </w:style>
  <w:style w:type="paragraph" w:styleId="En-ttedetabledesmatires">
    <w:name w:val="TOC Heading"/>
    <w:basedOn w:val="Titre1"/>
    <w:next w:val="Normal"/>
    <w:pPr>
      <w:spacing w:line="259" w:lineRule="auto"/>
      <w:outlineLvl w:val="9"/>
    </w:pPr>
    <w:rPr>
      <w:lang w:eastAsia="fr-FR"/>
    </w:rPr>
  </w:style>
  <w:style w:type="paragraph" w:styleId="Commentaire">
    <w:name w:val="annotation text"/>
    <w:basedOn w:val="Normal"/>
    <w:link w:val="CommentaireCar"/>
    <w:qFormat/>
    <w:pPr>
      <w:spacing w:line="240" w:lineRule="auto"/>
    </w:pPr>
    <w:rPr>
      <w:sz w:val="20"/>
      <w:szCs w:val="20"/>
    </w:rPr>
  </w:style>
  <w:style w:type="paragraph" w:styleId="Objetducommentaire">
    <w:name w:val="annotation subject"/>
    <w:basedOn w:val="Commentaire"/>
    <w:next w:val="Commentaire"/>
    <w:link w:val="ObjetducommentaireCar"/>
    <w:qFormat/>
    <w:rPr>
      <w:b/>
      <w:bCs/>
    </w:rPr>
  </w:style>
  <w:style w:type="paragraph" w:styleId="Textedebulles">
    <w:name w:val="Balloon Text"/>
    <w:basedOn w:val="Normal"/>
    <w:link w:val="TextedebullesCar"/>
    <w:qFormat/>
    <w:pPr>
      <w:spacing w:after="0" w:line="240" w:lineRule="auto"/>
    </w:pPr>
    <w:rPr>
      <w:rFonts w:ascii="Times New Roman" w:hAnsi="Times New Roman" w:cs="Times New Roman"/>
      <w:sz w:val="18"/>
      <w:szCs w:val="18"/>
    </w:rPr>
  </w:style>
  <w:style w:type="paragraph" w:customStyle="1" w:styleId="EXP-Titre3">
    <w:name w:val="EXP - Titre 3"/>
    <w:basedOn w:val="Normal"/>
    <w:link w:val="EXP-Titre3Char"/>
    <w:qFormat/>
    <w:pPr>
      <w:shd w:val="clear" w:color="auto" w:fill="E9E4DE"/>
      <w:spacing w:after="200" w:line="240" w:lineRule="auto"/>
      <w:ind w:left="709"/>
      <w:jc w:val="both"/>
    </w:pPr>
    <w:rPr>
      <w:rFonts w:ascii="Arial" w:hAnsi="Arial"/>
      <w:b/>
      <w:color w:val="004979"/>
      <w:lang w:val="en-GB" w:eastAsia="ja-JP"/>
    </w:rPr>
  </w:style>
  <w:style w:type="paragraph" w:customStyle="1" w:styleId="EXP-Contenu">
    <w:name w:val="EXP - Contenu"/>
    <w:basedOn w:val="Normal"/>
    <w:link w:val="EXP-ContenuCar"/>
    <w:qFormat/>
    <w:pPr>
      <w:tabs>
        <w:tab w:val="right" w:leader="dot" w:pos="9923"/>
      </w:tabs>
      <w:spacing w:after="240" w:line="240" w:lineRule="auto"/>
      <w:ind w:left="709"/>
      <w:jc w:val="both"/>
    </w:pPr>
    <w:rPr>
      <w:rFonts w:ascii="Arial" w:hAnsi="Arial"/>
      <w:lang w:val="en-GB" w:eastAsia="ja-JP"/>
    </w:r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lang w:val="en-GB" w:eastAsia="en-GB"/>
    </w:rPr>
  </w:style>
  <w:style w:type="paragraph" w:customStyle="1" w:styleId="TableParagraph">
    <w:name w:val="Table Paragraph"/>
    <w:basedOn w:val="Normal"/>
    <w:qFormat/>
    <w:pPr>
      <w:widowControl w:val="0"/>
      <w:spacing w:before="56" w:after="0" w:line="252" w:lineRule="exact"/>
      <w:ind w:left="710"/>
      <w:jc w:val="center"/>
    </w:pPr>
    <w:rPr>
      <w:rFonts w:cs="Calibri"/>
      <w:lang w:val="en-US"/>
    </w:rPr>
  </w:style>
  <w:style w:type="numbering" w:styleId="111111">
    <w:name w:val="Outline List 2"/>
    <w:qFormat/>
  </w:style>
  <w:style w:type="table" w:styleId="Grilledutableau">
    <w:name w:val="Table Grid"/>
    <w:basedOn w:val="TableauNormal"/>
    <w:uiPriority w:val="59"/>
    <w:rsid w:val="0010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541871">
      <w:bodyDiv w:val="1"/>
      <w:marLeft w:val="0"/>
      <w:marRight w:val="0"/>
      <w:marTop w:val="0"/>
      <w:marBottom w:val="0"/>
      <w:divBdr>
        <w:top w:val="none" w:sz="0" w:space="0" w:color="auto"/>
        <w:left w:val="none" w:sz="0" w:space="0" w:color="auto"/>
        <w:bottom w:val="none" w:sz="0" w:space="0" w:color="auto"/>
        <w:right w:val="none" w:sz="0" w:space="0" w:color="auto"/>
      </w:divBdr>
    </w:div>
    <w:div w:id="1428111205">
      <w:bodyDiv w:val="1"/>
      <w:marLeft w:val="0"/>
      <w:marRight w:val="0"/>
      <w:marTop w:val="0"/>
      <w:marBottom w:val="0"/>
      <w:divBdr>
        <w:top w:val="none" w:sz="0" w:space="0" w:color="auto"/>
        <w:left w:val="none" w:sz="0" w:space="0" w:color="auto"/>
        <w:bottom w:val="none" w:sz="0" w:space="0" w:color="auto"/>
        <w:right w:val="none" w:sz="0" w:space="0" w:color="auto"/>
      </w:divBdr>
    </w:div>
    <w:div w:id="172795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15FA4-042A-4808-A60A-37C4AB39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3405</Words>
  <Characters>18732</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Ahmed Zied BENNOUR</cp:lastModifiedBy>
  <cp:revision>16</cp:revision>
  <cp:lastPrinted>2021-01-11T22:09:00Z</cp:lastPrinted>
  <dcterms:created xsi:type="dcterms:W3CDTF">2024-09-13T23:03:00Z</dcterms:created>
  <dcterms:modified xsi:type="dcterms:W3CDTF">2024-10-11T07:16:00Z</dcterms:modified>
  <dc:language>en-GB</dc:language>
</cp:coreProperties>
</file>