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6FD1" w14:textId="77777777" w:rsidR="00D91F62" w:rsidRPr="0064064F" w:rsidRDefault="001D0638">
      <w:pPr>
        <w:spacing w:after="281"/>
        <w:ind w:right="1311"/>
        <w:textAlignment w:val="baseline"/>
        <w:rPr>
          <w:lang w:val="pt-PT"/>
        </w:rPr>
      </w:pPr>
      <w:r w:rsidRPr="0064064F">
        <w:rPr>
          <w:noProof/>
        </w:rPr>
        <w:drawing>
          <wp:inline distT="0" distB="0" distL="0" distR="0" wp14:anchorId="184B319B" wp14:editId="17BAC161">
            <wp:extent cx="4653915" cy="192913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391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6A29" w14:textId="77777777" w:rsidR="00D91F62" w:rsidRPr="0064064F" w:rsidRDefault="00FA10DD">
      <w:pPr>
        <w:spacing w:before="3" w:after="1324" w:line="278" w:lineRule="exact"/>
        <w:jc w:val="center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 xml:space="preserve">Grupo </w:t>
      </w:r>
      <w:r w:rsidR="001D0638" w:rsidRPr="0064064F">
        <w:rPr>
          <w:rFonts w:eastAsia="Times New Roman"/>
          <w:b/>
          <w:color w:val="000000"/>
          <w:sz w:val="24"/>
          <w:lang w:val="pt-PT"/>
        </w:rPr>
        <w:t>Inter</w:t>
      </w:r>
      <w:r w:rsidRPr="0064064F">
        <w:rPr>
          <w:rFonts w:eastAsia="Times New Roman"/>
          <w:b/>
          <w:color w:val="000000"/>
          <w:sz w:val="24"/>
          <w:lang w:val="pt-PT"/>
        </w:rPr>
        <w:t>-G</w:t>
      </w:r>
      <w:r w:rsidR="001D0638" w:rsidRPr="0064064F">
        <w:rPr>
          <w:rFonts w:eastAsia="Times New Roman"/>
          <w:b/>
          <w:color w:val="000000"/>
          <w:sz w:val="24"/>
          <w:lang w:val="pt-PT"/>
        </w:rPr>
        <w:t>overn</w:t>
      </w:r>
      <w:r w:rsidRPr="0064064F">
        <w:rPr>
          <w:rFonts w:eastAsia="Times New Roman"/>
          <w:b/>
          <w:color w:val="000000"/>
          <w:sz w:val="24"/>
          <w:lang w:val="pt-PT"/>
        </w:rPr>
        <w:t>a</w:t>
      </w:r>
      <w:r w:rsidR="001D0638" w:rsidRPr="0064064F">
        <w:rPr>
          <w:rFonts w:eastAsia="Times New Roman"/>
          <w:b/>
          <w:color w:val="000000"/>
          <w:sz w:val="24"/>
          <w:lang w:val="pt-PT"/>
        </w:rPr>
        <w:t xml:space="preserve">mental </w:t>
      </w:r>
      <w:r w:rsidRPr="0064064F">
        <w:rPr>
          <w:rFonts w:eastAsia="Times New Roman"/>
          <w:b/>
          <w:color w:val="000000"/>
          <w:sz w:val="24"/>
          <w:lang w:val="pt-PT"/>
        </w:rPr>
        <w:t xml:space="preserve">de </w:t>
      </w:r>
      <w:r w:rsidR="001D0638" w:rsidRPr="0064064F">
        <w:rPr>
          <w:rFonts w:eastAsia="Times New Roman"/>
          <w:b/>
          <w:color w:val="000000"/>
          <w:sz w:val="24"/>
          <w:lang w:val="pt-PT"/>
        </w:rPr>
        <w:t>Ac</w:t>
      </w:r>
      <w:r w:rsidRPr="0064064F">
        <w:rPr>
          <w:rFonts w:eastAsia="Times New Roman"/>
          <w:b/>
          <w:color w:val="000000"/>
          <w:sz w:val="24"/>
          <w:lang w:val="pt-PT"/>
        </w:rPr>
        <w:t>ção contra o Branqueamento de Dinheiro em Á</w:t>
      </w:r>
      <w:r w:rsidR="001D0638" w:rsidRPr="0064064F">
        <w:rPr>
          <w:rFonts w:eastAsia="Times New Roman"/>
          <w:b/>
          <w:color w:val="000000"/>
          <w:sz w:val="24"/>
          <w:lang w:val="pt-PT"/>
        </w:rPr>
        <w:t>frica</w:t>
      </w:r>
      <w:r w:rsidRPr="0064064F">
        <w:rPr>
          <w:rFonts w:eastAsia="Times New Roman"/>
          <w:b/>
          <w:color w:val="000000"/>
          <w:sz w:val="24"/>
          <w:lang w:val="pt-PT"/>
        </w:rPr>
        <w:t xml:space="preserve"> Ocidental - GIABA</w:t>
      </w:r>
    </w:p>
    <w:p w14:paraId="3C1F7A71" w14:textId="77777777" w:rsidR="00D91F62" w:rsidRPr="0064064F" w:rsidRDefault="00D91F62">
      <w:pPr>
        <w:spacing w:before="3" w:after="1324" w:line="278" w:lineRule="exact"/>
        <w:rPr>
          <w:lang w:val="pt-PT"/>
        </w:rPr>
        <w:sectPr w:rsidR="00D91F62" w:rsidRPr="0064064F">
          <w:pgSz w:w="11899" w:h="16843"/>
          <w:pgMar w:top="720" w:right="1838" w:bottom="227" w:left="1421" w:header="720" w:footer="720" w:gutter="0"/>
          <w:cols w:space="720"/>
        </w:sectPr>
      </w:pPr>
    </w:p>
    <w:p w14:paraId="1EA908D6" w14:textId="77777777" w:rsidR="00D91F62" w:rsidRPr="0064064F" w:rsidRDefault="00D83DA1">
      <w:pPr>
        <w:spacing w:before="97" w:line="489" w:lineRule="exact"/>
        <w:jc w:val="center"/>
        <w:textAlignment w:val="baseline"/>
        <w:rPr>
          <w:rFonts w:ascii="Tahoma" w:eastAsia="Tahoma" w:hAnsi="Tahoma"/>
          <w:color w:val="1F1F1E"/>
          <w:spacing w:val="19"/>
          <w:w w:val="95"/>
          <w:sz w:val="41"/>
          <w:lang w:val="pt-PT"/>
        </w:rPr>
      </w:pPr>
      <w:r w:rsidRPr="0064064F">
        <w:rPr>
          <w:rFonts w:eastAsia="Calibri"/>
          <w:b/>
          <w:sz w:val="40"/>
          <w:szCs w:val="40"/>
          <w:lang w:val="pt-PT"/>
        </w:rPr>
        <w:t>RECRUTAMENTO DE UM ESPECIALISTA PARA APOIAR A REALIZAÇÃO DAS AVALIAÇÕES MÚTUAS DOS ESTADOS MEMBROS DO GIABA NO QUADRO DA SEGUNDA RONDA DE AVALIAÇÕES MÚTUAS</w:t>
      </w:r>
    </w:p>
    <w:p w14:paraId="55C4ADAB" w14:textId="77777777" w:rsidR="00D91F62" w:rsidRPr="0064064F" w:rsidRDefault="00D83DA1">
      <w:pPr>
        <w:spacing w:before="2541" w:after="4526" w:line="278" w:lineRule="exact"/>
        <w:jc w:val="center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>ESPECIALISTA EM AVALIAÇÃO MÚTUA</w:t>
      </w:r>
    </w:p>
    <w:p w14:paraId="75474E3D" w14:textId="77777777" w:rsidR="00D91F62" w:rsidRPr="0064064F" w:rsidRDefault="00D91F62">
      <w:pPr>
        <w:spacing w:before="2541" w:after="4526" w:line="278" w:lineRule="exact"/>
        <w:rPr>
          <w:lang w:val="pt-PT"/>
        </w:rPr>
        <w:sectPr w:rsidR="00D91F62" w:rsidRPr="0064064F">
          <w:type w:val="continuous"/>
          <w:pgSz w:w="11899" w:h="16843"/>
          <w:pgMar w:top="720" w:right="1752" w:bottom="227" w:left="1867" w:header="720" w:footer="720" w:gutter="0"/>
          <w:cols w:space="720"/>
        </w:sectPr>
      </w:pPr>
    </w:p>
    <w:p w14:paraId="4B916130" w14:textId="77777777" w:rsidR="00D91F62" w:rsidRPr="0064064F" w:rsidRDefault="001D0638">
      <w:pPr>
        <w:spacing w:before="22" w:line="256" w:lineRule="exact"/>
        <w:jc w:val="center"/>
        <w:textAlignment w:val="baseline"/>
        <w:rPr>
          <w:rFonts w:ascii="Tahoma" w:eastAsia="Tahoma" w:hAnsi="Tahoma"/>
          <w:color w:val="000000"/>
          <w:sz w:val="23"/>
          <w:lang w:val="pt-PT"/>
        </w:rPr>
      </w:pPr>
      <w:r w:rsidRPr="0064064F">
        <w:rPr>
          <w:rFonts w:ascii="Tahoma" w:eastAsia="Tahoma" w:hAnsi="Tahoma"/>
          <w:color w:val="000000"/>
          <w:sz w:val="23"/>
          <w:lang w:val="pt-PT"/>
        </w:rPr>
        <w:t>1</w:t>
      </w:r>
    </w:p>
    <w:p w14:paraId="234A3EFD" w14:textId="77777777" w:rsidR="00D91F62" w:rsidRPr="0064064F" w:rsidRDefault="00D91F62">
      <w:pPr>
        <w:rPr>
          <w:lang w:val="pt-PT"/>
        </w:rPr>
        <w:sectPr w:rsidR="00D91F62" w:rsidRPr="0064064F">
          <w:type w:val="continuous"/>
          <w:pgSz w:w="11899" w:h="16843"/>
          <w:pgMar w:top="720" w:right="5822" w:bottom="227" w:left="5837" w:header="720" w:footer="720" w:gutter="0"/>
          <w:cols w:space="720"/>
        </w:sectPr>
      </w:pPr>
    </w:p>
    <w:p w14:paraId="725F2D80" w14:textId="77777777" w:rsidR="00D91F62" w:rsidRPr="0064064F" w:rsidRDefault="001D0638">
      <w:pPr>
        <w:spacing w:after="2"/>
        <w:ind w:left="10" w:right="7229"/>
        <w:textAlignment w:val="baseline"/>
        <w:rPr>
          <w:lang w:val="pt-PT"/>
        </w:rPr>
      </w:pPr>
      <w:r w:rsidRPr="0064064F">
        <w:rPr>
          <w:noProof/>
        </w:rPr>
        <w:lastRenderedPageBreak/>
        <w:drawing>
          <wp:inline distT="0" distB="0" distL="0" distR="0" wp14:anchorId="7299774F" wp14:editId="04830013">
            <wp:extent cx="1194435" cy="44513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16D2D" w14:textId="77777777" w:rsidR="00D91F62" w:rsidRPr="0064064F" w:rsidRDefault="00D83DA1">
      <w:pPr>
        <w:spacing w:before="3" w:line="273" w:lineRule="exact"/>
        <w:textAlignment w:val="baseline"/>
        <w:rPr>
          <w:rFonts w:eastAsia="Times New Roman"/>
          <w:b/>
          <w:color w:val="000000"/>
          <w:spacing w:val="-1"/>
          <w:sz w:val="24"/>
          <w:lang w:val="pt-PT"/>
        </w:rPr>
      </w:pPr>
      <w:r w:rsidRPr="0064064F">
        <w:rPr>
          <w:rFonts w:eastAsia="Calibri"/>
          <w:b/>
          <w:sz w:val="24"/>
          <w:szCs w:val="24"/>
          <w:lang w:val="pt-PT"/>
        </w:rPr>
        <w:t>ANTECEDENTES</w:t>
      </w:r>
    </w:p>
    <w:p w14:paraId="5CA643EB" w14:textId="77777777" w:rsidR="00D91F62" w:rsidRPr="0064064F" w:rsidRDefault="00D83DA1">
      <w:pPr>
        <w:spacing w:before="273" w:line="276" w:lineRule="exact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O Grupo Inter-Governamental de Acção contra o Branqueamento de Dinheiro em África Ocidental (GIABA), com Secretariado localizado em Dakar, Senegal</w:t>
      </w:r>
      <w:r w:rsidR="001D0638" w:rsidRPr="0064064F">
        <w:rPr>
          <w:rFonts w:eastAsia="Times New Roman"/>
          <w:color w:val="000000"/>
          <w:sz w:val="24"/>
          <w:lang w:val="pt-PT"/>
        </w:rPr>
        <w:t>,</w:t>
      </w:r>
      <w:r w:rsidR="001D0638" w:rsidRPr="0064064F">
        <w:rPr>
          <w:rFonts w:eastAsia="Times New Roman"/>
          <w:color w:val="0462C1"/>
          <w:sz w:val="24"/>
          <w:u w:val="single"/>
          <w:lang w:val="pt-PT"/>
        </w:rPr>
        <w:t xml:space="preserve"> (</w:t>
      </w:r>
      <w:hyperlink r:id="rId7">
        <w:r w:rsidR="001D0638" w:rsidRPr="0064064F">
          <w:rPr>
            <w:rFonts w:eastAsia="Times New Roman"/>
            <w:color w:val="0000FF"/>
            <w:sz w:val="24"/>
            <w:u w:val="single"/>
            <w:lang w:val="pt-PT"/>
          </w:rPr>
          <w:t>www.giaba.org</w:t>
        </w:r>
      </w:hyperlink>
      <w:r w:rsidR="001D0638" w:rsidRPr="0064064F">
        <w:rPr>
          <w:rFonts w:eastAsia="Times New Roman"/>
          <w:color w:val="0462C1"/>
          <w:sz w:val="24"/>
          <w:u w:val="single"/>
          <w:lang w:val="pt-PT"/>
        </w:rPr>
        <w:t>)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 </w:t>
      </w:r>
      <w:r w:rsidRPr="0064064F">
        <w:rPr>
          <w:sz w:val="24"/>
          <w:szCs w:val="24"/>
          <w:lang w:val="pt-PT"/>
        </w:rPr>
        <w:t>é uma instituição especializada da Comunidade Económica dos Estados da África Ocidental (CEDEAO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). </w:t>
      </w:r>
      <w:r w:rsidR="00B86475" w:rsidRPr="0064064F">
        <w:rPr>
          <w:sz w:val="24"/>
          <w:szCs w:val="24"/>
          <w:lang w:val="pt-PT"/>
        </w:rPr>
        <w:t>O GIABA é também um Órgão Regional do Tipo Grupo de Acção Financeira (ORTG), comprometido com a implementação das Recomendações do GAFI para a luta contra o branqueamento de capitais e o combate ao financiamento do terrorismo e à proliferação (LBC/CFT/CFP)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. </w:t>
      </w:r>
      <w:r w:rsidR="00B86475" w:rsidRPr="0064064F">
        <w:rPr>
          <w:sz w:val="24"/>
          <w:szCs w:val="24"/>
          <w:lang w:val="pt-PT"/>
        </w:rPr>
        <w:t>O GIABA conta com 17 membros, sendo 15 Estados membros da CEDEAO, bem como a União das Comores e a República Democrática de São Tomé e Príncipe. Além disso, o GIABA tem membros observadores provenientes dos membros do GAFI, dos Estados membros do GIABA, de outros países africanos e de algumas organizações regionais e internacionais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71886FC6" w14:textId="77777777" w:rsidR="00D91F62" w:rsidRPr="0064064F" w:rsidRDefault="00526AE0">
      <w:pPr>
        <w:spacing w:before="276" w:line="276" w:lineRule="exact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Os objetivos do GIABA são: (i) Proteger as economias nacionais e os sistemas financeiros e bancários dos Estados membros contra o uso abusivo para branqueamento de produtos do crime e o financiamento do terrorismo; (ii) Melhorar as medidas e intensificar os esforços para combater o branqueamento de capitais e o financiamento do terrorismo na África Ocidental; e (iii) Reforçar a cooperação entre os seus membros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1A35043B" w14:textId="77777777" w:rsidR="00D91F62" w:rsidRPr="0064064F" w:rsidRDefault="00526AE0">
      <w:pPr>
        <w:spacing w:before="276" w:line="276" w:lineRule="exact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O GIABA tem também o mandato de coordenar a prestação de assistência técnica em matéria de LBC/CFT aos Estados membros da CEDEAO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. </w:t>
      </w:r>
      <w:r w:rsidRPr="0064064F">
        <w:rPr>
          <w:sz w:val="24"/>
          <w:szCs w:val="24"/>
          <w:lang w:val="pt-PT"/>
        </w:rPr>
        <w:t xml:space="preserve">Assim, as suas funções principais incluem: apoio aos Estados membros para aprovar e atualizar as respetivas legislações </w:t>
      </w:r>
      <w:r w:rsidR="00E33ED9">
        <w:rPr>
          <w:sz w:val="24"/>
          <w:szCs w:val="24"/>
          <w:lang w:val="pt-PT"/>
        </w:rPr>
        <w:t xml:space="preserve">de luta </w:t>
      </w:r>
      <w:r w:rsidRPr="0064064F">
        <w:rPr>
          <w:sz w:val="24"/>
          <w:szCs w:val="24"/>
          <w:lang w:val="pt-PT"/>
        </w:rPr>
        <w:t>contra o branqueamento de capitais e o financiamento do terrorismo e a proliferação de armas de destruição em massa; realizar avaliações mútuas dos seus membros com base nas Recomendações e na Metodologia de Avaliação da Conformidade Técnica e da Eficácia dos Sistemas de LBC/CFT (Metodologia) do GAFI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; </w:t>
      </w:r>
      <w:r w:rsidRPr="0064064F">
        <w:rPr>
          <w:sz w:val="24"/>
          <w:szCs w:val="24"/>
          <w:lang w:val="pt-PT"/>
        </w:rPr>
        <w:t>realizar exercícios de tipologia e outros estudos de investigação sobre o branqueamento de capitais e o financiamento do terrorismo para compreender os riscos, tendências e métodos de BC/FT/FP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; </w:t>
      </w:r>
      <w:r w:rsidRPr="0064064F">
        <w:rPr>
          <w:sz w:val="24"/>
          <w:szCs w:val="24"/>
          <w:lang w:val="pt-PT"/>
        </w:rPr>
        <w:t>apoiar a criação e manutenção de Unidades de Informação Financeira (UIF) e o reforço de outras autoridades nacionais competentes associadas à LBC/CFT/CFP; promover parcerias estratégicas com organizações profissionais e da sociedade civil; e promover e aprofundar a cooperação regional e internacional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7EF0044D" w14:textId="77777777" w:rsidR="00D91F62" w:rsidRPr="0064064F" w:rsidRDefault="00034781">
      <w:pPr>
        <w:spacing w:before="278"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 xml:space="preserve">VISÃO: </w:t>
      </w:r>
      <w:r w:rsidRPr="0064064F">
        <w:rPr>
          <w:rFonts w:eastAsia="Times New Roman"/>
          <w:color w:val="000000"/>
          <w:sz w:val="24"/>
          <w:lang w:val="pt-PT"/>
        </w:rPr>
        <w:t>O GIABA está comprometido em ser um líder na promoção de uma aliança regional contra o branqueamento de capitais e o financiamento do terrorismo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58E1F901" w14:textId="77777777" w:rsidR="00D91F62" w:rsidRPr="0064064F" w:rsidRDefault="00034781">
      <w:pPr>
        <w:spacing w:before="276"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 xml:space="preserve">DECLARAÇÃO DE MISSÃO DO GIABA: </w:t>
      </w:r>
      <w:r w:rsidRPr="0064064F">
        <w:rPr>
          <w:rFonts w:eastAsia="Times New Roman"/>
          <w:color w:val="000000"/>
          <w:sz w:val="24"/>
          <w:lang w:val="pt-PT"/>
        </w:rPr>
        <w:t>Promover ações concertadas na conceção e implementação diligente de regimes de LBC/CFT harmonizados na África Ocidental, consistentes com as normas internacionais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701A7F17" w14:textId="77777777" w:rsidR="00034781" w:rsidRPr="0064064F" w:rsidRDefault="00034781" w:rsidP="00034781">
      <w:pPr>
        <w:spacing w:before="274" w:after="3466" w:line="276" w:lineRule="exact"/>
        <w:jc w:val="both"/>
        <w:textAlignment w:val="baseline"/>
        <w:rPr>
          <w:lang w:val="pt-PT"/>
        </w:rPr>
        <w:sectPr w:rsidR="00034781" w:rsidRPr="0064064F">
          <w:pgSz w:w="11899" w:h="16843"/>
          <w:pgMar w:top="720" w:right="1368" w:bottom="207" w:left="1411" w:header="720" w:footer="720" w:gutter="0"/>
          <w:cols w:space="720"/>
        </w:sectPr>
      </w:pPr>
      <w:r w:rsidRPr="0064064F">
        <w:rPr>
          <w:rFonts w:eastAsia="Times New Roman"/>
          <w:b/>
          <w:color w:val="000000"/>
          <w:sz w:val="24"/>
          <w:lang w:val="pt-PT"/>
        </w:rPr>
        <w:t xml:space="preserve">VALORES DO GIABA: </w:t>
      </w:r>
      <w:r w:rsidRPr="0064064F">
        <w:rPr>
          <w:rFonts w:eastAsia="Times New Roman"/>
          <w:color w:val="000000"/>
          <w:sz w:val="24"/>
          <w:lang w:val="pt-PT"/>
        </w:rPr>
        <w:t xml:space="preserve">Integridade Profissionalismo Trabalho em Equipa Respeito pela Diversidade Transparência Responsabilidade </w:t>
      </w:r>
    </w:p>
    <w:p w14:paraId="438A8C7E" w14:textId="77777777" w:rsidR="00D91F62" w:rsidRPr="0064064F" w:rsidRDefault="001D0638">
      <w:pPr>
        <w:spacing w:before="27" w:line="266" w:lineRule="exact"/>
        <w:jc w:val="center"/>
        <w:textAlignment w:val="baseline"/>
        <w:rPr>
          <w:rFonts w:ascii="Calibri" w:eastAsia="Calibri" w:hAnsi="Calibri"/>
          <w:color w:val="000000"/>
          <w:sz w:val="24"/>
          <w:lang w:val="pt-PT"/>
        </w:rPr>
      </w:pPr>
      <w:r w:rsidRPr="0064064F">
        <w:rPr>
          <w:rFonts w:ascii="Calibri" w:eastAsia="Calibri" w:hAnsi="Calibri"/>
          <w:color w:val="000000"/>
          <w:sz w:val="24"/>
          <w:lang w:val="pt-PT"/>
        </w:rPr>
        <w:lastRenderedPageBreak/>
        <w:t>2</w:t>
      </w:r>
    </w:p>
    <w:p w14:paraId="6F7D401F" w14:textId="77777777" w:rsidR="00D91F62" w:rsidRPr="0064064F" w:rsidRDefault="001D0638">
      <w:pPr>
        <w:ind w:left="19" w:right="7220"/>
        <w:textAlignment w:val="baseline"/>
        <w:rPr>
          <w:lang w:val="pt-PT"/>
        </w:rPr>
      </w:pPr>
      <w:r w:rsidRPr="0064064F">
        <w:rPr>
          <w:noProof/>
        </w:rPr>
        <w:drawing>
          <wp:inline distT="0" distB="0" distL="0" distR="0" wp14:anchorId="30A67B72" wp14:editId="7DDA9422">
            <wp:extent cx="1194435" cy="44513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1CAA4" w14:textId="77777777" w:rsidR="00D91F62" w:rsidRPr="0064064F" w:rsidRDefault="00656A46">
      <w:pPr>
        <w:tabs>
          <w:tab w:val="left" w:pos="2880"/>
        </w:tabs>
        <w:spacing w:before="5" w:line="273" w:lineRule="exact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 xml:space="preserve">TÍTULO DA FUNÇÃO: </w:t>
      </w:r>
      <w:r w:rsidRPr="0064064F">
        <w:rPr>
          <w:rFonts w:eastAsia="Times New Roman"/>
          <w:b/>
          <w:color w:val="000000"/>
          <w:sz w:val="24"/>
          <w:lang w:val="pt-PT"/>
        </w:rPr>
        <w:tab/>
        <w:t>ESPECIALISTA EM AVALIAÇÃO MÚTUA</w:t>
      </w:r>
      <w:r w:rsidR="00E33ED9">
        <w:rPr>
          <w:rFonts w:eastAsia="Times New Roman"/>
          <w:b/>
          <w:color w:val="000000"/>
          <w:sz w:val="24"/>
          <w:lang w:val="pt-PT"/>
        </w:rPr>
        <w:t xml:space="preserve"> (EAM)</w:t>
      </w:r>
    </w:p>
    <w:p w14:paraId="4C97C647" w14:textId="77777777" w:rsidR="00D91F62" w:rsidRPr="0064064F" w:rsidRDefault="001D0638">
      <w:pPr>
        <w:tabs>
          <w:tab w:val="left" w:pos="2880"/>
        </w:tabs>
        <w:spacing w:before="48" w:line="273" w:lineRule="exact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>INSTITUI</w:t>
      </w:r>
      <w:r w:rsidR="00656A46" w:rsidRPr="0064064F">
        <w:rPr>
          <w:rFonts w:eastAsia="Times New Roman"/>
          <w:b/>
          <w:color w:val="000000"/>
          <w:sz w:val="24"/>
          <w:lang w:val="pt-PT"/>
        </w:rPr>
        <w:t>ÇÃO</w:t>
      </w:r>
      <w:r w:rsidRPr="0064064F">
        <w:rPr>
          <w:rFonts w:eastAsia="Times New Roman"/>
          <w:b/>
          <w:color w:val="000000"/>
          <w:sz w:val="24"/>
          <w:lang w:val="pt-PT"/>
        </w:rPr>
        <w:t>:</w:t>
      </w:r>
      <w:r w:rsidRPr="0064064F">
        <w:rPr>
          <w:rFonts w:eastAsia="Times New Roman"/>
          <w:b/>
          <w:color w:val="000000"/>
          <w:sz w:val="24"/>
          <w:lang w:val="pt-PT"/>
        </w:rPr>
        <w:tab/>
        <w:t>GIABA</w:t>
      </w:r>
    </w:p>
    <w:p w14:paraId="5602A807" w14:textId="77777777" w:rsidR="00D91F62" w:rsidRPr="0064064F" w:rsidRDefault="00BE4BB9">
      <w:pPr>
        <w:tabs>
          <w:tab w:val="left" w:pos="2880"/>
        </w:tabs>
        <w:spacing w:before="44" w:line="273" w:lineRule="exact"/>
        <w:textAlignment w:val="baseline"/>
        <w:rPr>
          <w:rFonts w:eastAsia="Times New Roman"/>
          <w:b/>
          <w:color w:val="000000"/>
          <w:spacing w:val="-1"/>
          <w:sz w:val="24"/>
          <w:lang w:val="pt-PT"/>
        </w:rPr>
      </w:pPr>
      <w:r w:rsidRPr="0064064F">
        <w:rPr>
          <w:b/>
          <w:sz w:val="24"/>
          <w:szCs w:val="24"/>
          <w:lang w:val="pt-PT"/>
        </w:rPr>
        <w:t>DIRECÇÃO</w:t>
      </w:r>
      <w:r w:rsidR="00F86F52" w:rsidRPr="0064064F">
        <w:rPr>
          <w:b/>
          <w:sz w:val="24"/>
          <w:szCs w:val="24"/>
          <w:lang w:val="pt-PT"/>
        </w:rPr>
        <w:t>:</w:t>
      </w:r>
      <w:r w:rsidRPr="0064064F">
        <w:rPr>
          <w:b/>
          <w:sz w:val="24"/>
          <w:szCs w:val="24"/>
          <w:lang w:val="pt-PT"/>
        </w:rPr>
        <w:t xml:space="preserve"> </w:t>
      </w:r>
      <w:r w:rsidR="001D0638" w:rsidRPr="0064064F">
        <w:rPr>
          <w:rFonts w:eastAsia="Times New Roman"/>
          <w:b/>
          <w:color w:val="000000"/>
          <w:spacing w:val="-1"/>
          <w:sz w:val="24"/>
          <w:lang w:val="pt-PT"/>
        </w:rPr>
        <w:tab/>
      </w:r>
      <w:r w:rsidRPr="0064064F">
        <w:rPr>
          <w:b/>
          <w:sz w:val="24"/>
          <w:szCs w:val="24"/>
          <w:lang w:val="pt-PT"/>
        </w:rPr>
        <w:t>DIRECÇÃO DE AVALIAÇÃO E CONFORMIDADE</w:t>
      </w:r>
    </w:p>
    <w:p w14:paraId="3EF4EEE8" w14:textId="77777777" w:rsidR="00D91F62" w:rsidRPr="0064064F" w:rsidRDefault="001D0638">
      <w:pPr>
        <w:tabs>
          <w:tab w:val="left" w:pos="2880"/>
        </w:tabs>
        <w:spacing w:before="44" w:line="273" w:lineRule="exact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>DIVIS</w:t>
      </w:r>
      <w:r w:rsidR="00BE4BB9" w:rsidRPr="0064064F">
        <w:rPr>
          <w:rFonts w:eastAsia="Times New Roman"/>
          <w:b/>
          <w:color w:val="000000"/>
          <w:sz w:val="24"/>
          <w:lang w:val="pt-PT"/>
        </w:rPr>
        <w:t>ÃO</w:t>
      </w:r>
      <w:r w:rsidR="00F86F52" w:rsidRPr="0064064F">
        <w:rPr>
          <w:rFonts w:eastAsia="Times New Roman"/>
          <w:b/>
          <w:color w:val="000000"/>
          <w:sz w:val="24"/>
          <w:lang w:val="pt-PT"/>
        </w:rPr>
        <w:t>:</w:t>
      </w:r>
      <w:r w:rsidRPr="0064064F">
        <w:rPr>
          <w:rFonts w:eastAsia="Times New Roman"/>
          <w:b/>
          <w:color w:val="000000"/>
          <w:sz w:val="24"/>
          <w:lang w:val="pt-PT"/>
        </w:rPr>
        <w:tab/>
      </w:r>
      <w:r w:rsidR="00BE4BB9" w:rsidRPr="0064064F">
        <w:rPr>
          <w:b/>
          <w:sz w:val="24"/>
          <w:szCs w:val="24"/>
          <w:lang w:val="pt-PT"/>
        </w:rPr>
        <w:t xml:space="preserve">UNIDADE JURÍDICA E DE APLICAÇÃO DA LEI </w:t>
      </w:r>
    </w:p>
    <w:p w14:paraId="557E165E" w14:textId="77777777" w:rsidR="00D91F62" w:rsidRPr="0064064F" w:rsidRDefault="00BE4BB9">
      <w:pPr>
        <w:tabs>
          <w:tab w:val="left" w:pos="2880"/>
        </w:tabs>
        <w:spacing w:before="43" w:line="273" w:lineRule="exact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b/>
          <w:sz w:val="24"/>
          <w:szCs w:val="24"/>
          <w:lang w:val="pt-PT"/>
        </w:rPr>
        <w:t xml:space="preserve">SUPERVISOR DIRETO: </w:t>
      </w:r>
      <w:r w:rsidRPr="0064064F">
        <w:rPr>
          <w:b/>
          <w:sz w:val="24"/>
          <w:szCs w:val="24"/>
          <w:lang w:val="pt-PT"/>
        </w:rPr>
        <w:tab/>
        <w:t>DIRETOR DE AVALIAÇÃO E CONFORMIDADE</w:t>
      </w:r>
    </w:p>
    <w:p w14:paraId="612CF70D" w14:textId="5F13EC75" w:rsidR="00D91F62" w:rsidRDefault="001D0638">
      <w:pPr>
        <w:tabs>
          <w:tab w:val="left" w:pos="2880"/>
        </w:tabs>
        <w:spacing w:before="44" w:line="273" w:lineRule="exact"/>
        <w:textAlignment w:val="baseline"/>
        <w:rPr>
          <w:b/>
          <w:sz w:val="24"/>
          <w:szCs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>DURA</w:t>
      </w:r>
      <w:r w:rsidR="00BE4BB9" w:rsidRPr="0064064F">
        <w:rPr>
          <w:rFonts w:eastAsia="Times New Roman"/>
          <w:b/>
          <w:color w:val="000000"/>
          <w:sz w:val="24"/>
          <w:lang w:val="pt-PT"/>
        </w:rPr>
        <w:t>ÇÃO</w:t>
      </w:r>
      <w:r w:rsidRPr="0064064F">
        <w:rPr>
          <w:rFonts w:eastAsia="Times New Roman"/>
          <w:b/>
          <w:color w:val="000000"/>
          <w:sz w:val="24"/>
          <w:lang w:val="pt-PT"/>
        </w:rPr>
        <w:t>:</w:t>
      </w:r>
      <w:r w:rsidRPr="0064064F">
        <w:rPr>
          <w:rFonts w:eastAsia="Times New Roman"/>
          <w:b/>
          <w:color w:val="000000"/>
          <w:sz w:val="24"/>
          <w:lang w:val="pt-PT"/>
        </w:rPr>
        <w:tab/>
      </w:r>
      <w:r w:rsidR="00BE4BB9" w:rsidRPr="0064064F">
        <w:rPr>
          <w:b/>
          <w:sz w:val="24"/>
          <w:szCs w:val="24"/>
          <w:lang w:val="pt-PT"/>
        </w:rPr>
        <w:t xml:space="preserve">UM (1) ANO, RENOVÁVEL </w:t>
      </w:r>
      <w:r w:rsidR="007669EC">
        <w:rPr>
          <w:b/>
          <w:sz w:val="24"/>
          <w:szCs w:val="24"/>
          <w:lang w:val="pt-PT"/>
        </w:rPr>
        <w:t>SEIS MESES</w:t>
      </w:r>
    </w:p>
    <w:p w14:paraId="6693F74B" w14:textId="47A4ECFA" w:rsidR="00D25116" w:rsidRPr="0064064F" w:rsidRDefault="00D25116" w:rsidP="00D25116">
      <w:pPr>
        <w:tabs>
          <w:tab w:val="left" w:pos="2880"/>
        </w:tabs>
        <w:spacing w:before="44" w:line="273" w:lineRule="exact"/>
        <w:ind w:left="2832" w:hanging="2832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D25116">
        <w:rPr>
          <w:rFonts w:eastAsia="Times New Roman"/>
          <w:b/>
          <w:color w:val="000000"/>
          <w:sz w:val="24"/>
          <w:lang w:val="pt-PT"/>
        </w:rPr>
        <w:t>REMUNERAÇÃO</w:t>
      </w:r>
      <w:r>
        <w:rPr>
          <w:rFonts w:eastAsia="Times New Roman"/>
          <w:b/>
          <w:color w:val="000000"/>
          <w:sz w:val="24"/>
          <w:lang w:val="pt-PT"/>
        </w:rPr>
        <w:t xml:space="preserve"> : </w:t>
      </w:r>
      <w:r>
        <w:rPr>
          <w:rFonts w:eastAsia="Times New Roman"/>
          <w:b/>
          <w:color w:val="000000"/>
          <w:sz w:val="24"/>
          <w:lang w:val="pt-PT"/>
        </w:rPr>
        <w:tab/>
        <w:t xml:space="preserve">4000 EUR </w:t>
      </w:r>
      <w:r w:rsidRPr="00D25116">
        <w:rPr>
          <w:rFonts w:eastAsia="Times New Roman"/>
          <w:b/>
          <w:color w:val="000000"/>
          <w:sz w:val="24"/>
          <w:lang w:val="pt-PT"/>
        </w:rPr>
        <w:t>POR MÊS</w:t>
      </w:r>
      <w:r>
        <w:rPr>
          <w:rFonts w:eastAsia="Times New Roman"/>
          <w:b/>
          <w:color w:val="000000"/>
          <w:sz w:val="24"/>
          <w:lang w:val="pt-PT"/>
        </w:rPr>
        <w:t xml:space="preserve"> (</w:t>
      </w:r>
      <w:r w:rsidRPr="00D25116">
        <w:rPr>
          <w:rFonts w:eastAsia="Times New Roman"/>
          <w:b/>
          <w:color w:val="000000"/>
          <w:sz w:val="24"/>
          <w:lang w:val="pt-PT"/>
        </w:rPr>
        <w:t>CONTRATO DE PRESTAÇÃO DE SERVIÇOS</w:t>
      </w:r>
      <w:r>
        <w:rPr>
          <w:rFonts w:eastAsia="Times New Roman"/>
          <w:b/>
          <w:color w:val="000000"/>
          <w:sz w:val="24"/>
          <w:lang w:val="pt-PT"/>
        </w:rPr>
        <w:t>)</w:t>
      </w:r>
    </w:p>
    <w:p w14:paraId="150EA4F0" w14:textId="77777777" w:rsidR="00D91F62" w:rsidRPr="0064064F" w:rsidRDefault="00BE4BB9">
      <w:pPr>
        <w:tabs>
          <w:tab w:val="left" w:pos="2880"/>
        </w:tabs>
        <w:spacing w:before="44" w:line="273" w:lineRule="exact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>LOCAL DE TRABALHO</w:t>
      </w:r>
      <w:r w:rsidR="001D0638" w:rsidRPr="0064064F">
        <w:rPr>
          <w:rFonts w:eastAsia="Times New Roman"/>
          <w:b/>
          <w:color w:val="000000"/>
          <w:sz w:val="24"/>
          <w:lang w:val="pt-PT"/>
        </w:rPr>
        <w:t>:</w:t>
      </w:r>
      <w:r w:rsidR="001D0638" w:rsidRPr="0064064F">
        <w:rPr>
          <w:rFonts w:eastAsia="Times New Roman"/>
          <w:b/>
          <w:color w:val="000000"/>
          <w:sz w:val="24"/>
          <w:lang w:val="pt-PT"/>
        </w:rPr>
        <w:tab/>
        <w:t>DA</w:t>
      </w:r>
      <w:r w:rsidRPr="0064064F">
        <w:rPr>
          <w:rFonts w:eastAsia="Times New Roman"/>
          <w:b/>
          <w:color w:val="000000"/>
          <w:sz w:val="24"/>
          <w:lang w:val="pt-PT"/>
        </w:rPr>
        <w:t>C</w:t>
      </w:r>
      <w:r w:rsidR="001D0638" w:rsidRPr="0064064F">
        <w:rPr>
          <w:rFonts w:eastAsia="Times New Roman"/>
          <w:b/>
          <w:color w:val="000000"/>
          <w:sz w:val="24"/>
          <w:lang w:val="pt-PT"/>
        </w:rPr>
        <w:t>AR, SENEGAL</w:t>
      </w:r>
    </w:p>
    <w:p w14:paraId="6DDA3E49" w14:textId="5CEE5443" w:rsidR="00D91F62" w:rsidRPr="0064064F" w:rsidRDefault="00413165">
      <w:pPr>
        <w:tabs>
          <w:tab w:val="left" w:pos="2952"/>
        </w:tabs>
        <w:spacing w:before="43" w:line="274" w:lineRule="exact"/>
        <w:textAlignment w:val="baseline"/>
        <w:rPr>
          <w:rFonts w:eastAsia="Times New Roman"/>
          <w:b/>
          <w:color w:val="000000"/>
          <w:spacing w:val="-2"/>
          <w:sz w:val="24"/>
          <w:lang w:val="pt-PT"/>
        </w:rPr>
      </w:pPr>
      <w:r>
        <w:rPr>
          <w:rFonts w:eastAsia="Times New Roman"/>
          <w:b/>
          <w:color w:val="000000"/>
          <w:spacing w:val="-2"/>
          <w:sz w:val="24"/>
          <w:lang w:val="pt-PT"/>
        </w:rPr>
        <w:t>PRAZO DE ENTREGA</w:t>
      </w:r>
      <w:r w:rsidR="001D0638" w:rsidRPr="0064064F">
        <w:rPr>
          <w:rFonts w:eastAsia="Times New Roman"/>
          <w:b/>
          <w:color w:val="000000"/>
          <w:spacing w:val="-2"/>
          <w:sz w:val="24"/>
          <w:lang w:val="pt-PT"/>
        </w:rPr>
        <w:t>:</w:t>
      </w:r>
      <w:r w:rsidR="001D0638" w:rsidRPr="0064064F">
        <w:rPr>
          <w:rFonts w:eastAsia="Times New Roman"/>
          <w:b/>
          <w:color w:val="000000"/>
          <w:spacing w:val="-2"/>
          <w:sz w:val="24"/>
          <w:lang w:val="pt-PT"/>
        </w:rPr>
        <w:tab/>
      </w:r>
      <w:r w:rsidR="004C076A">
        <w:rPr>
          <w:rFonts w:eastAsia="Times New Roman"/>
          <w:b/>
          <w:color w:val="000000"/>
          <w:spacing w:val="-2"/>
          <w:sz w:val="24"/>
          <w:lang w:val="pt-PT"/>
        </w:rPr>
        <w:t>30</w:t>
      </w:r>
      <w:r w:rsidR="00EA6BC0" w:rsidRPr="00EA6BC0">
        <w:rPr>
          <w:rFonts w:eastAsia="Times New Roman"/>
          <w:b/>
          <w:color w:val="000000"/>
          <w:spacing w:val="-2"/>
          <w:sz w:val="24"/>
          <w:lang w:val="pt-PT"/>
        </w:rPr>
        <w:t xml:space="preserve"> de </w:t>
      </w:r>
      <w:r w:rsidR="004C076A">
        <w:rPr>
          <w:rFonts w:eastAsia="Times New Roman"/>
          <w:b/>
          <w:color w:val="000000"/>
          <w:spacing w:val="-2"/>
          <w:sz w:val="24"/>
          <w:lang w:val="pt-PT"/>
        </w:rPr>
        <w:t>abril</w:t>
      </w:r>
      <w:r w:rsidR="00EA6BC0" w:rsidRPr="00EA6BC0">
        <w:rPr>
          <w:rFonts w:eastAsia="Times New Roman"/>
          <w:b/>
          <w:color w:val="000000"/>
          <w:spacing w:val="-2"/>
          <w:sz w:val="24"/>
          <w:lang w:val="pt-PT"/>
        </w:rPr>
        <w:t xml:space="preserve"> de 2021</w:t>
      </w:r>
    </w:p>
    <w:p w14:paraId="68947213" w14:textId="77777777" w:rsidR="00D91F62" w:rsidRPr="0064064F" w:rsidRDefault="00DA5DD4">
      <w:pPr>
        <w:spacing w:before="359" w:line="276" w:lineRule="exact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O GIABA encontra-se atualmente a realizar a sua segunda ronda de avaliações mútuas para avaliar o nível de conformidade dos seus Estados membros com as Recomendações do GAFI (2012), utilizando a Metodologia de Avaliação da Conformidade Técnico e da Eficácia dos Sistemas de LBC/CFT (2013) e orientado pelo Processo e Procedimentos de Avaliação Mútua</w:t>
      </w:r>
      <w:r w:rsidR="00877ED9" w:rsidRPr="0064064F">
        <w:rPr>
          <w:sz w:val="24"/>
          <w:szCs w:val="24"/>
          <w:lang w:val="pt-PT"/>
        </w:rPr>
        <w:t xml:space="preserve"> (P&amp;P)</w:t>
      </w:r>
      <w:r w:rsidRPr="0064064F">
        <w:rPr>
          <w:sz w:val="24"/>
          <w:szCs w:val="24"/>
          <w:lang w:val="pt-PT"/>
        </w:rPr>
        <w:t xml:space="preserve"> do GIABA, conforme sucessivas alterações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21E930F9" w14:textId="77777777" w:rsidR="00D91F62" w:rsidRPr="0064064F" w:rsidRDefault="00F86F52">
      <w:pPr>
        <w:spacing w:before="276" w:line="276" w:lineRule="exact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O escopo das avaliações envolve dois componentes inter-relacionados - conformidade técnica e eficácia. O componente de conformidade técnica avalia se as leis, os regulamentos ou outras medidas necessárias estão em vigor e efetividade e verifica a existência de um quadro institucional de apoio à Luta contra o Branqueamento de Capitais e Combate ao Financiamento do Terrorismo (LBC/CFT). O componente de eficácia avalia se o sistema de LBC/CFT está a funcionar de forma ótima com base no ambiente de risco e em que medida o país está a alcançar o conjunto de resultados definidos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0A0893C8" w14:textId="77777777" w:rsidR="00D91F62" w:rsidRPr="0064064F" w:rsidRDefault="00F86F52">
      <w:pPr>
        <w:spacing w:before="276" w:line="276" w:lineRule="exact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A fim de intensificar os seus esforços para concluir o processo de avaliação mútua em linha com os princípios e objetivos gerais que regem as avaliações mútuas realizadas pela Rede Global de LBC/CFT sob a liderança do GAFI, o GIABA deve recrutar um Especialista em Avaliação Mútua (EAM) para ajudar o Secretariado do GIABA a alcançar os seus objetivos em relação às avaliações mútuas. Os países a serem abrangidos são os 15 Estados membros da CEDEAO.</w:t>
      </w:r>
    </w:p>
    <w:p w14:paraId="061A1289" w14:textId="77777777" w:rsidR="00D91F62" w:rsidRPr="0064064F" w:rsidRDefault="00255A1D">
      <w:pPr>
        <w:spacing w:before="318" w:line="273" w:lineRule="exact"/>
        <w:textAlignment w:val="baseline"/>
        <w:rPr>
          <w:rFonts w:eastAsia="Times New Roman"/>
          <w:b/>
          <w:color w:val="000000"/>
          <w:sz w:val="24"/>
          <w:u w:val="single"/>
          <w:lang w:val="pt-PT"/>
        </w:rPr>
      </w:pPr>
      <w:r w:rsidRPr="0064064F">
        <w:rPr>
          <w:rFonts w:eastAsia="Times New Roman"/>
          <w:b/>
          <w:color w:val="000000"/>
          <w:sz w:val="24"/>
          <w:u w:val="single"/>
          <w:lang w:val="pt-PT"/>
        </w:rPr>
        <w:t>FUNÇÃO GERAL</w:t>
      </w:r>
    </w:p>
    <w:p w14:paraId="3145D20F" w14:textId="77777777" w:rsidR="00D91F62" w:rsidRPr="0064064F" w:rsidRDefault="00255A1D">
      <w:pPr>
        <w:spacing w:before="272" w:line="279" w:lineRule="exact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O EAM trabalhará em estreita colaboração com o Diretor de Avaliação e Conformidade e o pessoal relevante do Secretariado do GIABA envolvido na realização de avaliações mútuas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5E985D71" w14:textId="77777777" w:rsidR="00D91F62" w:rsidRPr="0064064F" w:rsidRDefault="00255A1D">
      <w:pPr>
        <w:spacing w:before="280" w:line="273" w:lineRule="exact"/>
        <w:textAlignment w:val="baseline"/>
        <w:rPr>
          <w:rFonts w:eastAsia="Times New Roman"/>
          <w:b/>
          <w:color w:val="000000"/>
          <w:sz w:val="24"/>
          <w:u w:val="single"/>
          <w:lang w:val="pt-PT"/>
        </w:rPr>
      </w:pPr>
      <w:r w:rsidRPr="0064064F">
        <w:rPr>
          <w:b/>
          <w:sz w:val="24"/>
          <w:szCs w:val="24"/>
          <w:u w:val="single"/>
          <w:lang w:val="pt-PT"/>
        </w:rPr>
        <w:t>FUNÇÃO E RESPONSABILIDADES</w:t>
      </w:r>
    </w:p>
    <w:p w14:paraId="1645A9A5" w14:textId="77777777" w:rsidR="00D91F62" w:rsidRPr="0064064F" w:rsidRDefault="00AC227A">
      <w:pPr>
        <w:spacing w:before="278" w:line="273" w:lineRule="exact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Enquanto membro da equipa do Secretariado do GIABA, o Especialista em Avaliação Mútua deverá desempenhar as seguintes tarefas</w:t>
      </w:r>
      <w:r w:rsidR="001D0638" w:rsidRPr="0064064F">
        <w:rPr>
          <w:rFonts w:eastAsia="Times New Roman"/>
          <w:color w:val="000000"/>
          <w:sz w:val="24"/>
          <w:lang w:val="pt-PT"/>
        </w:rPr>
        <w:t>:</w:t>
      </w:r>
    </w:p>
    <w:p w14:paraId="0989E082" w14:textId="77777777" w:rsidR="00D91F62" w:rsidRPr="0064064F" w:rsidRDefault="00AC227A">
      <w:pPr>
        <w:numPr>
          <w:ilvl w:val="0"/>
          <w:numId w:val="1"/>
        </w:numPr>
        <w:tabs>
          <w:tab w:val="clear" w:pos="360"/>
          <w:tab w:val="left" w:pos="720"/>
        </w:tabs>
        <w:spacing w:before="323" w:line="273" w:lineRule="exact"/>
        <w:ind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Apoiar os países do GIABA (somente países da CEDEAO) na planificação e condução da avaliação mútua, conforme necessário</w:t>
      </w:r>
      <w:r w:rsidR="001D0638" w:rsidRPr="0064064F">
        <w:rPr>
          <w:rFonts w:eastAsia="Times New Roman"/>
          <w:color w:val="000000"/>
          <w:sz w:val="24"/>
          <w:lang w:val="pt-PT"/>
        </w:rPr>
        <w:t>;</w:t>
      </w:r>
    </w:p>
    <w:p w14:paraId="09768C3C" w14:textId="77777777" w:rsidR="00D91F62" w:rsidRPr="0064064F" w:rsidRDefault="00AC227A">
      <w:pPr>
        <w:numPr>
          <w:ilvl w:val="0"/>
          <w:numId w:val="1"/>
        </w:numPr>
        <w:tabs>
          <w:tab w:val="clear" w:pos="360"/>
          <w:tab w:val="left" w:pos="720"/>
        </w:tabs>
        <w:spacing w:before="122" w:line="277" w:lineRule="exact"/>
        <w:ind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Participar nas avaliações mútuas no terreno (onsite)</w:t>
      </w:r>
      <w:r w:rsidR="001D0638" w:rsidRPr="0064064F">
        <w:rPr>
          <w:rFonts w:eastAsia="Times New Roman"/>
          <w:color w:val="000000"/>
          <w:sz w:val="24"/>
          <w:lang w:val="pt-PT"/>
        </w:rPr>
        <w:t>;</w:t>
      </w:r>
    </w:p>
    <w:p w14:paraId="23EE8555" w14:textId="77777777" w:rsidR="00D91F62" w:rsidRPr="0064064F" w:rsidRDefault="00AC227A">
      <w:pPr>
        <w:numPr>
          <w:ilvl w:val="0"/>
          <w:numId w:val="1"/>
        </w:numPr>
        <w:tabs>
          <w:tab w:val="clear" w:pos="360"/>
          <w:tab w:val="left" w:pos="720"/>
        </w:tabs>
        <w:spacing w:before="124" w:line="274" w:lineRule="exact"/>
        <w:ind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Apoiar os membros da equipa de avaliação no seu trabalho antes, durante e depois da avaliação no terreno</w:t>
      </w:r>
      <w:r w:rsidR="001D0638" w:rsidRPr="0064064F">
        <w:rPr>
          <w:rFonts w:eastAsia="Times New Roman"/>
          <w:color w:val="000000"/>
          <w:sz w:val="24"/>
          <w:lang w:val="pt-PT"/>
        </w:rPr>
        <w:t>;</w:t>
      </w:r>
    </w:p>
    <w:p w14:paraId="107DD5D0" w14:textId="77777777" w:rsidR="00D91F62" w:rsidRPr="0064064F" w:rsidRDefault="00AC227A" w:rsidP="00497D91">
      <w:pPr>
        <w:numPr>
          <w:ilvl w:val="0"/>
          <w:numId w:val="1"/>
        </w:numPr>
        <w:tabs>
          <w:tab w:val="clear" w:pos="360"/>
          <w:tab w:val="left" w:pos="630"/>
        </w:tabs>
        <w:spacing w:before="121" w:after="908" w:line="277" w:lineRule="exact"/>
        <w:ind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Elaborar os relatórios de avaliação mútua</w:t>
      </w:r>
      <w:r w:rsidR="001D0638" w:rsidRPr="0064064F">
        <w:rPr>
          <w:rFonts w:eastAsia="Times New Roman"/>
          <w:color w:val="000000"/>
          <w:sz w:val="24"/>
          <w:lang w:val="pt-PT"/>
        </w:rPr>
        <w:t>;</w:t>
      </w:r>
    </w:p>
    <w:p w14:paraId="46804E6D" w14:textId="77777777" w:rsidR="00D91F62" w:rsidRPr="0064064F" w:rsidRDefault="00D91F62">
      <w:pPr>
        <w:spacing w:before="121" w:after="908" w:line="277" w:lineRule="exact"/>
        <w:rPr>
          <w:lang w:val="pt-PT"/>
        </w:rPr>
        <w:sectPr w:rsidR="00D91F62" w:rsidRPr="0064064F">
          <w:pgSz w:w="11899" w:h="16843"/>
          <w:pgMar w:top="720" w:right="1377" w:bottom="207" w:left="1402" w:header="720" w:footer="720" w:gutter="0"/>
          <w:cols w:space="720"/>
        </w:sectPr>
      </w:pPr>
    </w:p>
    <w:p w14:paraId="0E13A1BC" w14:textId="1B0A54EA" w:rsidR="00D91F62" w:rsidRPr="00200C19" w:rsidRDefault="00D91F62" w:rsidP="00200C19">
      <w:pPr>
        <w:spacing w:before="27" w:after="7" w:line="266" w:lineRule="exact"/>
        <w:jc w:val="center"/>
        <w:textAlignment w:val="baseline"/>
        <w:rPr>
          <w:rFonts w:ascii="Calibri" w:eastAsia="Calibri" w:hAnsi="Calibri"/>
          <w:color w:val="000000"/>
          <w:sz w:val="24"/>
          <w:lang w:val="pt-PT"/>
        </w:rPr>
        <w:sectPr w:rsidR="00D91F62" w:rsidRPr="00200C19">
          <w:type w:val="continuous"/>
          <w:pgSz w:w="11899" w:h="16843"/>
          <w:pgMar w:top="720" w:right="5827" w:bottom="207" w:left="5832" w:header="720" w:footer="720" w:gutter="0"/>
          <w:cols w:space="720"/>
        </w:sectPr>
      </w:pPr>
    </w:p>
    <w:p w14:paraId="223072BB" w14:textId="674243EB" w:rsidR="00D91F62" w:rsidRPr="0064064F" w:rsidRDefault="00D91F62" w:rsidP="00200C19">
      <w:pPr>
        <w:ind w:right="7220"/>
        <w:textAlignment w:val="baseline"/>
        <w:rPr>
          <w:lang w:val="pt-PT"/>
        </w:rPr>
      </w:pPr>
    </w:p>
    <w:p w14:paraId="37AE23B6" w14:textId="77777777" w:rsidR="00D91F62" w:rsidRPr="0064064F" w:rsidRDefault="001D0638">
      <w:pPr>
        <w:spacing w:before="3" w:line="274" w:lineRule="exact"/>
        <w:ind w:left="720"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 xml:space="preserve">e) </w:t>
      </w:r>
      <w:r w:rsidR="00497D91" w:rsidRPr="0064064F">
        <w:rPr>
          <w:sz w:val="24"/>
          <w:szCs w:val="24"/>
          <w:lang w:val="pt-PT"/>
        </w:rPr>
        <w:t>Analisar os relatórios de avaliação mútua dos Estados membros do GIABA com vista a garantir qualidade e consistência</w:t>
      </w:r>
      <w:r w:rsidRPr="0064064F">
        <w:rPr>
          <w:rFonts w:eastAsia="Times New Roman"/>
          <w:color w:val="000000"/>
          <w:sz w:val="24"/>
          <w:lang w:val="pt-PT"/>
        </w:rPr>
        <w:t>;</w:t>
      </w:r>
    </w:p>
    <w:p w14:paraId="2E9CC44D" w14:textId="77777777" w:rsidR="00D91F62" w:rsidRPr="0064064F" w:rsidRDefault="001D0638">
      <w:pPr>
        <w:spacing w:before="121" w:line="277" w:lineRule="exact"/>
        <w:ind w:left="360"/>
        <w:textAlignment w:val="baseline"/>
        <w:rPr>
          <w:rFonts w:eastAsia="Times New Roman"/>
          <w:color w:val="000000"/>
          <w:spacing w:val="1"/>
          <w:sz w:val="24"/>
          <w:lang w:val="pt-PT"/>
        </w:rPr>
      </w:pPr>
      <w:r w:rsidRPr="0064064F">
        <w:rPr>
          <w:rFonts w:eastAsia="Times New Roman"/>
          <w:color w:val="000000"/>
          <w:spacing w:val="1"/>
          <w:sz w:val="24"/>
          <w:lang w:val="pt-PT"/>
        </w:rPr>
        <w:t xml:space="preserve">f) </w:t>
      </w:r>
      <w:r w:rsidR="00EF5E54" w:rsidRPr="0064064F">
        <w:rPr>
          <w:sz w:val="24"/>
          <w:szCs w:val="24"/>
          <w:lang w:val="pt-PT"/>
        </w:rPr>
        <w:t>Preparar documentos relevantes para as reuniões plenárias do GIABA e respetivos grupos de trabalho</w:t>
      </w:r>
      <w:r w:rsidRPr="0064064F">
        <w:rPr>
          <w:rFonts w:eastAsia="Times New Roman"/>
          <w:color w:val="000000"/>
          <w:spacing w:val="1"/>
          <w:sz w:val="24"/>
          <w:lang w:val="pt-PT"/>
        </w:rPr>
        <w:t>;</w:t>
      </w:r>
    </w:p>
    <w:p w14:paraId="4F2386E1" w14:textId="77777777" w:rsidR="00D91F62" w:rsidRPr="0064064F" w:rsidRDefault="001D0638">
      <w:pPr>
        <w:spacing w:before="117" w:line="277" w:lineRule="exact"/>
        <w:ind w:left="360"/>
        <w:textAlignment w:val="baseline"/>
        <w:rPr>
          <w:rFonts w:eastAsia="Times New Roman"/>
          <w:color w:val="000000"/>
          <w:spacing w:val="1"/>
          <w:sz w:val="24"/>
          <w:lang w:val="pt-PT"/>
        </w:rPr>
      </w:pPr>
      <w:r w:rsidRPr="0064064F">
        <w:rPr>
          <w:rFonts w:eastAsia="Times New Roman"/>
          <w:color w:val="000000"/>
          <w:spacing w:val="1"/>
          <w:sz w:val="24"/>
          <w:lang w:val="pt-PT"/>
        </w:rPr>
        <w:t xml:space="preserve">g) </w:t>
      </w:r>
      <w:r w:rsidR="00EF5E54" w:rsidRPr="0064064F">
        <w:rPr>
          <w:sz w:val="24"/>
          <w:szCs w:val="24"/>
          <w:lang w:val="pt-PT"/>
        </w:rPr>
        <w:t>Elaborar e apresentar documentos de trabalho sobre a LBC/CFT, especialmente relevantes para a Avaliação Mútua</w:t>
      </w:r>
    </w:p>
    <w:p w14:paraId="20FA3577" w14:textId="77777777" w:rsidR="00D91F62" w:rsidRPr="0064064F" w:rsidRDefault="001D0638">
      <w:pPr>
        <w:spacing w:before="121" w:line="277" w:lineRule="exact"/>
        <w:ind w:left="360"/>
        <w:textAlignment w:val="baseline"/>
        <w:rPr>
          <w:rFonts w:eastAsia="Times New Roman"/>
          <w:color w:val="000000"/>
          <w:spacing w:val="1"/>
          <w:sz w:val="24"/>
          <w:lang w:val="pt-PT"/>
        </w:rPr>
      </w:pPr>
      <w:r w:rsidRPr="0064064F">
        <w:rPr>
          <w:rFonts w:eastAsia="Times New Roman"/>
          <w:color w:val="000000"/>
          <w:spacing w:val="1"/>
          <w:sz w:val="24"/>
          <w:lang w:val="pt-PT"/>
        </w:rPr>
        <w:t xml:space="preserve">h) </w:t>
      </w:r>
      <w:r w:rsidR="00EF5E54" w:rsidRPr="0064064F">
        <w:rPr>
          <w:sz w:val="24"/>
          <w:szCs w:val="24"/>
          <w:lang w:val="pt-PT"/>
        </w:rPr>
        <w:t>Analisar os Relatórios de Seguimento dos Estados membros em linha com os P&amp;P do GIABA</w:t>
      </w:r>
    </w:p>
    <w:p w14:paraId="39E1D3E6" w14:textId="77777777" w:rsidR="00D91F62" w:rsidRPr="0064064F" w:rsidRDefault="001D0638">
      <w:pPr>
        <w:spacing w:before="116" w:line="278" w:lineRule="exact"/>
        <w:ind w:left="720"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 xml:space="preserve">i) </w:t>
      </w:r>
      <w:r w:rsidR="00EF5E54" w:rsidRPr="0064064F">
        <w:rPr>
          <w:sz w:val="24"/>
          <w:szCs w:val="24"/>
          <w:lang w:val="pt-PT"/>
        </w:rPr>
        <w:t>Apoiar a elaboração de leis, regulamentos e outros meios executórios para os Estados membros do GIABA</w:t>
      </w:r>
      <w:r w:rsidRPr="0064064F">
        <w:rPr>
          <w:rFonts w:eastAsia="Times New Roman"/>
          <w:color w:val="000000"/>
          <w:sz w:val="24"/>
          <w:lang w:val="pt-PT"/>
        </w:rPr>
        <w:t>;</w:t>
      </w:r>
    </w:p>
    <w:p w14:paraId="278AE4D7" w14:textId="77777777" w:rsidR="00D91F62" w:rsidRPr="0064064F" w:rsidRDefault="001D0638">
      <w:pPr>
        <w:spacing w:before="116" w:line="278" w:lineRule="exact"/>
        <w:ind w:left="720"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 xml:space="preserve">j) </w:t>
      </w:r>
      <w:r w:rsidR="00EF5E54" w:rsidRPr="0064064F">
        <w:rPr>
          <w:sz w:val="24"/>
          <w:szCs w:val="24"/>
          <w:lang w:val="pt-PT"/>
        </w:rPr>
        <w:t>Analisar as leis, regulamentos e outros meios executórios dos Estados membros do GIABA e aconselhar sobre como poderiam ser melhorados</w:t>
      </w:r>
      <w:r w:rsidRPr="0064064F">
        <w:rPr>
          <w:rFonts w:eastAsia="Times New Roman"/>
          <w:color w:val="000000"/>
          <w:sz w:val="24"/>
          <w:lang w:val="pt-PT"/>
        </w:rPr>
        <w:t>;</w:t>
      </w:r>
    </w:p>
    <w:p w14:paraId="1679CE1F" w14:textId="77777777" w:rsidR="00D91F62" w:rsidRPr="0064064F" w:rsidRDefault="001D0638">
      <w:pPr>
        <w:spacing w:before="116" w:line="278" w:lineRule="exact"/>
        <w:ind w:left="720"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 xml:space="preserve">k) </w:t>
      </w:r>
      <w:r w:rsidR="00EF5E54" w:rsidRPr="0064064F">
        <w:rPr>
          <w:sz w:val="24"/>
          <w:szCs w:val="24"/>
          <w:lang w:val="pt-PT"/>
        </w:rPr>
        <w:t>Analisar os relatórios de avaliação mútua de outros órgãos de avaliação e, regularmente, destacar as implicações desses relatórios para os Estados membros do GIABA</w:t>
      </w:r>
      <w:r w:rsidRPr="0064064F">
        <w:rPr>
          <w:rFonts w:eastAsia="Times New Roman"/>
          <w:color w:val="000000"/>
          <w:sz w:val="24"/>
          <w:lang w:val="pt-PT"/>
        </w:rPr>
        <w:t>;</w:t>
      </w:r>
    </w:p>
    <w:p w14:paraId="59E52FB6" w14:textId="77777777" w:rsidR="00D91F62" w:rsidRPr="0064064F" w:rsidRDefault="001D0638">
      <w:pPr>
        <w:spacing w:before="116" w:line="278" w:lineRule="exact"/>
        <w:ind w:left="720"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 xml:space="preserve">l) </w:t>
      </w:r>
      <w:r w:rsidR="00EF5E54" w:rsidRPr="0064064F">
        <w:rPr>
          <w:sz w:val="24"/>
          <w:szCs w:val="24"/>
          <w:lang w:val="pt-PT"/>
        </w:rPr>
        <w:t>Analisar documentos do GAFI e aconselhar sobre as suas implicações com vista a melhorar a Avaliação mútua e a conformidade com os Princípios de Alto Nível da Rede Global</w:t>
      </w:r>
      <w:r w:rsidRPr="0064064F">
        <w:rPr>
          <w:rFonts w:eastAsia="Times New Roman"/>
          <w:color w:val="000000"/>
          <w:sz w:val="24"/>
          <w:lang w:val="pt-PT"/>
        </w:rPr>
        <w:t>;</w:t>
      </w:r>
    </w:p>
    <w:p w14:paraId="486438A7" w14:textId="77777777" w:rsidR="00D91F62" w:rsidRPr="0064064F" w:rsidRDefault="001D0638">
      <w:pPr>
        <w:spacing w:before="116" w:line="278" w:lineRule="exact"/>
        <w:ind w:left="720"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 xml:space="preserve">m) </w:t>
      </w:r>
      <w:r w:rsidR="00946B65" w:rsidRPr="0064064F">
        <w:rPr>
          <w:sz w:val="24"/>
          <w:szCs w:val="24"/>
          <w:lang w:val="pt-PT"/>
        </w:rPr>
        <w:t>Estabelecer e manter uma base de dados dos quadros legais e regulamentares de LBC/CFT dos Estados membros do GIABA, com apoio da Unidade de TI; e</w:t>
      </w:r>
    </w:p>
    <w:p w14:paraId="47DE28D9" w14:textId="77777777" w:rsidR="00D91F62" w:rsidRPr="0064064F" w:rsidRDefault="001D0638">
      <w:pPr>
        <w:spacing w:before="116" w:line="278" w:lineRule="exact"/>
        <w:ind w:left="720"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 xml:space="preserve">n) </w:t>
      </w:r>
      <w:r w:rsidR="00946B65" w:rsidRPr="0064064F">
        <w:rPr>
          <w:sz w:val="24"/>
          <w:szCs w:val="24"/>
          <w:lang w:val="pt-PT"/>
        </w:rPr>
        <w:t>Realizar qualquer tarefa que possa ser atribuída pontualmente, especialmente em relação a formas de melhorar a realização das avaliações mútuas nos Estados membros do GIABA</w:t>
      </w:r>
      <w:r w:rsidRPr="0064064F">
        <w:rPr>
          <w:rFonts w:eastAsia="Times New Roman"/>
          <w:color w:val="000000"/>
          <w:sz w:val="24"/>
          <w:lang w:val="pt-PT"/>
        </w:rPr>
        <w:t>.</w:t>
      </w:r>
    </w:p>
    <w:p w14:paraId="30D1DFEE" w14:textId="77777777" w:rsidR="00D91F62" w:rsidRPr="0064064F" w:rsidRDefault="00946B65">
      <w:pPr>
        <w:spacing w:before="121" w:line="273" w:lineRule="exact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b/>
          <w:sz w:val="24"/>
          <w:szCs w:val="24"/>
          <w:lang w:val="pt-PT"/>
        </w:rPr>
        <w:t>Condições Gerais</w:t>
      </w:r>
    </w:p>
    <w:p w14:paraId="7E8871CB" w14:textId="77777777" w:rsidR="00D91F62" w:rsidRPr="0064064F" w:rsidRDefault="00946B65">
      <w:pPr>
        <w:spacing w:before="124" w:line="275" w:lineRule="exact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A Avaliação Mútua é regida por um conjunto de normas globais desenvolvidas pelo GAFI, às quais o GIABA subscreveu. O candidato é obrigado a respeitar e ter em conta a norma global do GAFI para a realização e gestão de avaliações mútuas. Em particular, o processo requer o seguinte:</w:t>
      </w:r>
    </w:p>
    <w:p w14:paraId="53826BC3" w14:textId="77777777" w:rsidR="00D91F62" w:rsidRPr="0064064F" w:rsidRDefault="00195943">
      <w:pPr>
        <w:numPr>
          <w:ilvl w:val="0"/>
          <w:numId w:val="2"/>
        </w:numPr>
        <w:tabs>
          <w:tab w:val="clear" w:pos="360"/>
          <w:tab w:val="left" w:pos="720"/>
        </w:tabs>
        <w:spacing w:before="112" w:line="282" w:lineRule="exact"/>
        <w:ind w:hanging="360"/>
        <w:textAlignment w:val="baseline"/>
        <w:rPr>
          <w:rFonts w:eastAsia="Times New Roman"/>
          <w:color w:val="000000"/>
          <w:spacing w:val="-1"/>
          <w:sz w:val="24"/>
          <w:lang w:val="pt-PT"/>
        </w:rPr>
      </w:pPr>
      <w:r w:rsidRPr="0064064F">
        <w:rPr>
          <w:sz w:val="24"/>
          <w:szCs w:val="24"/>
          <w:lang w:val="pt-PT"/>
        </w:rPr>
        <w:t>Abertura</w:t>
      </w:r>
      <w:r w:rsidR="001D0638" w:rsidRPr="0064064F">
        <w:rPr>
          <w:rFonts w:eastAsia="Times New Roman"/>
          <w:color w:val="000000"/>
          <w:spacing w:val="-1"/>
          <w:sz w:val="24"/>
          <w:lang w:val="pt-PT"/>
        </w:rPr>
        <w:t xml:space="preserve"> </w:t>
      </w:r>
      <w:r w:rsidR="001D0638" w:rsidRPr="0064064F">
        <w:rPr>
          <w:rFonts w:eastAsia="Times New Roman"/>
          <w:color w:val="000000"/>
          <w:spacing w:val="-1"/>
          <w:sz w:val="19"/>
          <w:lang w:val="pt-PT"/>
        </w:rPr>
        <w:t xml:space="preserve">— </w:t>
      </w:r>
      <w:r w:rsidRPr="0064064F">
        <w:rPr>
          <w:rFonts w:eastAsia="Times New Roman"/>
          <w:color w:val="000000"/>
          <w:spacing w:val="-1"/>
          <w:sz w:val="19"/>
          <w:lang w:val="pt-PT"/>
        </w:rPr>
        <w:t>O</w:t>
      </w:r>
      <w:r w:rsidRPr="0064064F">
        <w:rPr>
          <w:sz w:val="24"/>
          <w:szCs w:val="24"/>
          <w:lang w:val="pt-PT"/>
        </w:rPr>
        <w:t xml:space="preserve"> processo deve ser conduzido com transparência, objetividade e imparcialidade</w:t>
      </w:r>
      <w:r w:rsidR="001D0638" w:rsidRPr="0064064F">
        <w:rPr>
          <w:rFonts w:eastAsia="Times New Roman"/>
          <w:color w:val="000000"/>
          <w:spacing w:val="-1"/>
          <w:sz w:val="24"/>
          <w:lang w:val="pt-PT"/>
        </w:rPr>
        <w:t>;</w:t>
      </w:r>
    </w:p>
    <w:p w14:paraId="4D6CEAC9" w14:textId="77777777" w:rsidR="00D91F62" w:rsidRPr="0064064F" w:rsidRDefault="00195943">
      <w:pPr>
        <w:numPr>
          <w:ilvl w:val="0"/>
          <w:numId w:val="2"/>
        </w:numPr>
        <w:tabs>
          <w:tab w:val="clear" w:pos="360"/>
          <w:tab w:val="left" w:pos="720"/>
        </w:tabs>
        <w:spacing w:line="299" w:lineRule="exact"/>
        <w:ind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Igualdade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 </w:t>
      </w:r>
      <w:r w:rsidR="001D0638" w:rsidRPr="0064064F">
        <w:rPr>
          <w:rFonts w:eastAsia="Times New Roman"/>
          <w:color w:val="000000"/>
          <w:sz w:val="19"/>
          <w:lang w:val="pt-PT"/>
        </w:rPr>
        <w:t xml:space="preserve">— </w:t>
      </w:r>
      <w:r w:rsidR="0081340E" w:rsidRPr="0064064F">
        <w:rPr>
          <w:sz w:val="24"/>
          <w:szCs w:val="24"/>
          <w:lang w:val="pt-PT"/>
        </w:rPr>
        <w:t>Todos os países devem ser tratados de forma igual, de acordo com as normas e em condições de igualdade</w:t>
      </w:r>
      <w:r w:rsidR="001D0638" w:rsidRPr="0064064F">
        <w:rPr>
          <w:rFonts w:eastAsia="Times New Roman"/>
          <w:color w:val="000000"/>
          <w:sz w:val="24"/>
          <w:lang w:val="pt-PT"/>
        </w:rPr>
        <w:t>;</w:t>
      </w:r>
    </w:p>
    <w:p w14:paraId="6677FDC7" w14:textId="77777777" w:rsidR="00D91F62" w:rsidRPr="0064064F" w:rsidRDefault="003B6724">
      <w:pPr>
        <w:numPr>
          <w:ilvl w:val="0"/>
          <w:numId w:val="2"/>
        </w:numPr>
        <w:tabs>
          <w:tab w:val="clear" w:pos="360"/>
          <w:tab w:val="left" w:pos="720"/>
        </w:tabs>
        <w:spacing w:line="317" w:lineRule="exact"/>
        <w:ind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Exatidão da informação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 </w:t>
      </w:r>
      <w:r w:rsidR="001D0638" w:rsidRPr="0064064F">
        <w:rPr>
          <w:rFonts w:eastAsia="Times New Roman"/>
          <w:color w:val="000000"/>
          <w:sz w:val="19"/>
          <w:lang w:val="pt-PT"/>
        </w:rPr>
        <w:t xml:space="preserve">— </w:t>
      </w:r>
      <w:r w:rsidRPr="0064064F">
        <w:rPr>
          <w:sz w:val="24"/>
          <w:szCs w:val="24"/>
          <w:lang w:val="pt-PT"/>
        </w:rPr>
        <w:t>A</w:t>
      </w:r>
      <w:r w:rsidR="0007613C" w:rsidRPr="0064064F">
        <w:rPr>
          <w:sz w:val="24"/>
          <w:szCs w:val="24"/>
          <w:lang w:val="pt-PT"/>
        </w:rPr>
        <w:t>s</w:t>
      </w:r>
      <w:r w:rsidRPr="0064064F">
        <w:rPr>
          <w:sz w:val="24"/>
          <w:szCs w:val="24"/>
          <w:lang w:val="pt-PT"/>
        </w:rPr>
        <w:t xml:space="preserve"> informaç</w:t>
      </w:r>
      <w:r w:rsidR="0007613C" w:rsidRPr="0064064F">
        <w:rPr>
          <w:sz w:val="24"/>
          <w:szCs w:val="24"/>
          <w:lang w:val="pt-PT"/>
        </w:rPr>
        <w:t>ões</w:t>
      </w:r>
      <w:r w:rsidRPr="0064064F">
        <w:rPr>
          <w:sz w:val="24"/>
          <w:szCs w:val="24"/>
          <w:lang w:val="pt-PT"/>
        </w:rPr>
        <w:t xml:space="preserve"> recolhida</w:t>
      </w:r>
      <w:r w:rsidR="0007613C" w:rsidRPr="0064064F">
        <w:rPr>
          <w:sz w:val="24"/>
          <w:szCs w:val="24"/>
          <w:lang w:val="pt-PT"/>
        </w:rPr>
        <w:t>s</w:t>
      </w:r>
      <w:r w:rsidRPr="0064064F">
        <w:rPr>
          <w:sz w:val="24"/>
          <w:szCs w:val="24"/>
          <w:lang w:val="pt-PT"/>
        </w:rPr>
        <w:t xml:space="preserve"> e disponibilizada</w:t>
      </w:r>
      <w:r w:rsidR="0007613C" w:rsidRPr="0064064F">
        <w:rPr>
          <w:sz w:val="24"/>
          <w:szCs w:val="24"/>
          <w:lang w:val="pt-PT"/>
        </w:rPr>
        <w:t>s</w:t>
      </w:r>
      <w:r w:rsidRPr="0064064F">
        <w:rPr>
          <w:sz w:val="24"/>
          <w:szCs w:val="24"/>
          <w:lang w:val="pt-PT"/>
        </w:rPr>
        <w:t xml:space="preserve"> deve</w:t>
      </w:r>
      <w:r w:rsidR="0007613C" w:rsidRPr="0064064F">
        <w:rPr>
          <w:sz w:val="24"/>
          <w:szCs w:val="24"/>
          <w:lang w:val="pt-PT"/>
        </w:rPr>
        <w:t>m</w:t>
      </w:r>
      <w:r w:rsidRPr="0064064F">
        <w:rPr>
          <w:sz w:val="24"/>
          <w:szCs w:val="24"/>
          <w:lang w:val="pt-PT"/>
        </w:rPr>
        <w:t xml:space="preserve"> ser factua</w:t>
      </w:r>
      <w:r w:rsidR="0007613C" w:rsidRPr="0064064F">
        <w:rPr>
          <w:sz w:val="24"/>
          <w:szCs w:val="24"/>
          <w:lang w:val="pt-PT"/>
        </w:rPr>
        <w:t>is</w:t>
      </w:r>
      <w:r w:rsidRPr="0064064F">
        <w:rPr>
          <w:sz w:val="24"/>
          <w:szCs w:val="24"/>
          <w:lang w:val="pt-PT"/>
        </w:rPr>
        <w:t>, exata</w:t>
      </w:r>
      <w:r w:rsidR="0007613C" w:rsidRPr="0064064F">
        <w:rPr>
          <w:sz w:val="24"/>
          <w:szCs w:val="24"/>
          <w:lang w:val="pt-PT"/>
        </w:rPr>
        <w:t>s</w:t>
      </w:r>
      <w:r w:rsidRPr="0064064F">
        <w:rPr>
          <w:sz w:val="24"/>
          <w:szCs w:val="24"/>
          <w:lang w:val="pt-PT"/>
        </w:rPr>
        <w:t xml:space="preserve"> e refletir a situação descrita</w:t>
      </w:r>
      <w:r w:rsidR="001D0638" w:rsidRPr="0064064F">
        <w:rPr>
          <w:rFonts w:eastAsia="Times New Roman"/>
          <w:color w:val="000000"/>
          <w:sz w:val="24"/>
          <w:lang w:val="pt-PT"/>
        </w:rPr>
        <w:t>;</w:t>
      </w:r>
    </w:p>
    <w:p w14:paraId="244FB68D" w14:textId="77777777" w:rsidR="00D91F62" w:rsidRPr="0064064F" w:rsidRDefault="003B6724">
      <w:pPr>
        <w:numPr>
          <w:ilvl w:val="0"/>
          <w:numId w:val="2"/>
        </w:numPr>
        <w:tabs>
          <w:tab w:val="clear" w:pos="360"/>
          <w:tab w:val="left" w:pos="720"/>
        </w:tabs>
        <w:spacing w:before="1" w:line="316" w:lineRule="exact"/>
        <w:ind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Consistência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 </w:t>
      </w:r>
      <w:r w:rsidR="001D0638" w:rsidRPr="0064064F">
        <w:rPr>
          <w:rFonts w:eastAsia="Times New Roman"/>
          <w:color w:val="000000"/>
          <w:sz w:val="19"/>
          <w:lang w:val="pt-PT"/>
        </w:rPr>
        <w:t xml:space="preserve">— </w:t>
      </w:r>
      <w:r w:rsidR="0007613C" w:rsidRPr="0064064F">
        <w:rPr>
          <w:sz w:val="24"/>
          <w:szCs w:val="24"/>
          <w:lang w:val="pt-PT"/>
        </w:rPr>
        <w:t>As informações disponibilizadas e contidas num relatório de avaliação mútua devem ser consistentes com todas as outras partes do relatório</w:t>
      </w:r>
      <w:r w:rsidR="001D0638" w:rsidRPr="0064064F">
        <w:rPr>
          <w:rFonts w:eastAsia="Times New Roman"/>
          <w:color w:val="000000"/>
          <w:sz w:val="24"/>
          <w:lang w:val="pt-PT"/>
        </w:rPr>
        <w:t>;</w:t>
      </w:r>
    </w:p>
    <w:p w14:paraId="211B1159" w14:textId="77777777" w:rsidR="00D91F62" w:rsidRPr="0064064F" w:rsidRDefault="00877ED9">
      <w:pPr>
        <w:numPr>
          <w:ilvl w:val="0"/>
          <w:numId w:val="2"/>
        </w:numPr>
        <w:tabs>
          <w:tab w:val="clear" w:pos="360"/>
          <w:tab w:val="left" w:pos="720"/>
        </w:tabs>
        <w:spacing w:before="36" w:line="286" w:lineRule="exact"/>
        <w:ind w:hanging="360"/>
        <w:jc w:val="both"/>
        <w:textAlignment w:val="baseline"/>
        <w:rPr>
          <w:rFonts w:eastAsia="Times New Roman"/>
          <w:color w:val="000000"/>
          <w:spacing w:val="-4"/>
          <w:sz w:val="24"/>
          <w:lang w:val="pt-PT"/>
        </w:rPr>
      </w:pPr>
      <w:r w:rsidRPr="0064064F">
        <w:rPr>
          <w:sz w:val="24"/>
          <w:szCs w:val="24"/>
          <w:lang w:val="pt-PT"/>
        </w:rPr>
        <w:t>Audiência justa</w:t>
      </w:r>
      <w:r w:rsidR="001D0638" w:rsidRPr="0064064F">
        <w:rPr>
          <w:rFonts w:eastAsia="Times New Roman"/>
          <w:color w:val="000000"/>
          <w:spacing w:val="-4"/>
          <w:sz w:val="24"/>
          <w:lang w:val="pt-PT"/>
        </w:rPr>
        <w:t xml:space="preserve"> </w:t>
      </w:r>
      <w:r w:rsidR="001D0638" w:rsidRPr="0064064F">
        <w:rPr>
          <w:rFonts w:eastAsia="Times New Roman"/>
          <w:color w:val="000000"/>
          <w:spacing w:val="-4"/>
          <w:sz w:val="19"/>
          <w:lang w:val="pt-PT"/>
        </w:rPr>
        <w:t xml:space="preserve">— </w:t>
      </w:r>
      <w:r w:rsidRPr="0064064F">
        <w:rPr>
          <w:sz w:val="24"/>
          <w:szCs w:val="24"/>
          <w:lang w:val="pt-PT"/>
        </w:rPr>
        <w:t>Os países TÊM DE ser ouvidos através de um meio de comunicação eficaz</w:t>
      </w:r>
      <w:r w:rsidR="001D0638" w:rsidRPr="0064064F">
        <w:rPr>
          <w:rFonts w:eastAsia="Times New Roman"/>
          <w:color w:val="000000"/>
          <w:spacing w:val="-4"/>
          <w:sz w:val="24"/>
          <w:lang w:val="pt-PT"/>
        </w:rPr>
        <w:t>;</w:t>
      </w:r>
    </w:p>
    <w:p w14:paraId="267539CF" w14:textId="77777777" w:rsidR="00D91F62" w:rsidRPr="0064064F" w:rsidRDefault="00877ED9">
      <w:pPr>
        <w:numPr>
          <w:ilvl w:val="0"/>
          <w:numId w:val="2"/>
        </w:numPr>
        <w:tabs>
          <w:tab w:val="clear" w:pos="360"/>
          <w:tab w:val="left" w:pos="720"/>
        </w:tabs>
        <w:spacing w:before="31" w:line="286" w:lineRule="exact"/>
        <w:ind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Oportun</w:t>
      </w:r>
      <w:r w:rsidR="00120164" w:rsidRPr="0064064F">
        <w:rPr>
          <w:sz w:val="24"/>
          <w:szCs w:val="24"/>
          <w:lang w:val="pt-PT"/>
        </w:rPr>
        <w:t>a</w:t>
      </w:r>
      <w:r w:rsidRPr="0064064F">
        <w:rPr>
          <w:sz w:val="24"/>
          <w:szCs w:val="24"/>
          <w:lang w:val="pt-PT"/>
        </w:rPr>
        <w:t>/Pontual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 </w:t>
      </w:r>
      <w:r w:rsidR="001D0638" w:rsidRPr="0064064F">
        <w:rPr>
          <w:rFonts w:eastAsia="Times New Roman"/>
          <w:color w:val="000000"/>
          <w:sz w:val="19"/>
          <w:lang w:val="pt-PT"/>
        </w:rPr>
        <w:t xml:space="preserve">— </w:t>
      </w:r>
      <w:r w:rsidRPr="0064064F">
        <w:rPr>
          <w:sz w:val="24"/>
          <w:szCs w:val="24"/>
          <w:lang w:val="pt-PT"/>
        </w:rPr>
        <w:t>Uma avaliação deve ser oportuna/pontual, de acordo com o P&amp;P aprovado do GIABA</w:t>
      </w:r>
      <w:r w:rsidR="001D0638" w:rsidRPr="0064064F">
        <w:rPr>
          <w:rFonts w:eastAsia="Times New Roman"/>
          <w:color w:val="000000"/>
          <w:sz w:val="24"/>
          <w:lang w:val="pt-PT"/>
        </w:rPr>
        <w:t>;</w:t>
      </w:r>
    </w:p>
    <w:p w14:paraId="7A376FB2" w14:textId="77777777" w:rsidR="00D91F62" w:rsidRPr="0064064F" w:rsidRDefault="001D0638">
      <w:pPr>
        <w:spacing w:before="146" w:line="286" w:lineRule="exact"/>
        <w:ind w:left="360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>o) Prof</w:t>
      </w:r>
      <w:r w:rsidR="0064064F">
        <w:rPr>
          <w:rFonts w:eastAsia="Times New Roman"/>
          <w:color w:val="000000"/>
          <w:sz w:val="24"/>
          <w:lang w:val="pt-PT"/>
        </w:rPr>
        <w:t>i</w:t>
      </w:r>
      <w:r w:rsidRPr="0064064F">
        <w:rPr>
          <w:rFonts w:eastAsia="Times New Roman"/>
          <w:color w:val="000000"/>
          <w:sz w:val="24"/>
          <w:lang w:val="pt-PT"/>
        </w:rPr>
        <w:t>ssionalism</w:t>
      </w:r>
      <w:r w:rsidR="00120164" w:rsidRPr="0064064F">
        <w:rPr>
          <w:rFonts w:eastAsia="Times New Roman"/>
          <w:color w:val="000000"/>
          <w:sz w:val="24"/>
          <w:lang w:val="pt-PT"/>
        </w:rPr>
        <w:t>o</w:t>
      </w:r>
      <w:r w:rsidRPr="0064064F">
        <w:rPr>
          <w:rFonts w:eastAsia="Times New Roman"/>
          <w:color w:val="000000"/>
          <w:sz w:val="24"/>
          <w:lang w:val="pt-PT"/>
        </w:rPr>
        <w:t xml:space="preserve"> </w:t>
      </w:r>
      <w:r w:rsidRPr="0064064F">
        <w:rPr>
          <w:rFonts w:eastAsia="Times New Roman"/>
          <w:color w:val="000000"/>
          <w:sz w:val="19"/>
          <w:lang w:val="pt-PT"/>
        </w:rPr>
        <w:t xml:space="preserve">— </w:t>
      </w:r>
      <w:r w:rsidR="00120164" w:rsidRPr="0064064F">
        <w:rPr>
          <w:sz w:val="24"/>
          <w:szCs w:val="24"/>
          <w:lang w:val="pt-PT"/>
        </w:rPr>
        <w:t>A avaliação mútua deve ser tratada e gerida de forma profissional</w:t>
      </w:r>
      <w:r w:rsidRPr="0064064F">
        <w:rPr>
          <w:rFonts w:eastAsia="Times New Roman"/>
          <w:color w:val="000000"/>
          <w:sz w:val="24"/>
          <w:lang w:val="pt-PT"/>
        </w:rPr>
        <w:t>;</w:t>
      </w:r>
    </w:p>
    <w:p w14:paraId="3BC4F407" w14:textId="77777777" w:rsidR="00D91F62" w:rsidRPr="0064064F" w:rsidRDefault="001D0638">
      <w:pPr>
        <w:spacing w:before="124" w:line="274" w:lineRule="exact"/>
        <w:ind w:left="720"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 xml:space="preserve">p) </w:t>
      </w:r>
      <w:r w:rsidR="00120164" w:rsidRPr="0064064F">
        <w:rPr>
          <w:sz w:val="24"/>
          <w:szCs w:val="24"/>
          <w:lang w:val="pt-PT"/>
        </w:rPr>
        <w:t>Respeito pelas Normas</w:t>
      </w:r>
      <w:r w:rsidRPr="0064064F">
        <w:rPr>
          <w:rFonts w:eastAsia="Times New Roman"/>
          <w:color w:val="000000"/>
          <w:sz w:val="24"/>
          <w:lang w:val="pt-PT"/>
        </w:rPr>
        <w:t xml:space="preserve"> </w:t>
      </w:r>
      <w:r w:rsidRPr="0064064F">
        <w:rPr>
          <w:rFonts w:eastAsia="Times New Roman"/>
          <w:color w:val="000000"/>
          <w:sz w:val="19"/>
          <w:lang w:val="pt-PT"/>
        </w:rPr>
        <w:t xml:space="preserve">— </w:t>
      </w:r>
      <w:r w:rsidR="00120164" w:rsidRPr="0064064F">
        <w:rPr>
          <w:sz w:val="24"/>
          <w:szCs w:val="24"/>
          <w:lang w:val="pt-PT"/>
        </w:rPr>
        <w:t>As Normas do GAFI são o principal ponto de referência para a avaliação. Qualquer inconsistência tem de ser resolvida em função das normas</w:t>
      </w:r>
      <w:r w:rsidRPr="0064064F">
        <w:rPr>
          <w:rFonts w:eastAsia="Times New Roman"/>
          <w:color w:val="000000"/>
          <w:sz w:val="24"/>
          <w:lang w:val="pt-PT"/>
        </w:rPr>
        <w:t>.</w:t>
      </w:r>
    </w:p>
    <w:p w14:paraId="0DD28DD5" w14:textId="77777777" w:rsidR="00D91F62" w:rsidRPr="0064064F" w:rsidRDefault="001D0638">
      <w:pPr>
        <w:spacing w:before="124" w:line="274" w:lineRule="exact"/>
        <w:ind w:left="720"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 xml:space="preserve">q) </w:t>
      </w:r>
      <w:r w:rsidR="00120164" w:rsidRPr="0064064F">
        <w:rPr>
          <w:sz w:val="24"/>
          <w:szCs w:val="24"/>
          <w:lang w:val="pt-PT"/>
        </w:rPr>
        <w:t>Coordenação e colaboração</w:t>
      </w:r>
      <w:r w:rsidRPr="0064064F">
        <w:rPr>
          <w:rFonts w:eastAsia="Times New Roman"/>
          <w:color w:val="000000"/>
          <w:sz w:val="24"/>
          <w:lang w:val="pt-PT"/>
        </w:rPr>
        <w:t xml:space="preserve"> </w:t>
      </w:r>
      <w:r w:rsidRPr="0064064F">
        <w:rPr>
          <w:rFonts w:eastAsia="Times New Roman"/>
          <w:color w:val="000000"/>
          <w:sz w:val="19"/>
          <w:lang w:val="pt-PT"/>
        </w:rPr>
        <w:t xml:space="preserve">— </w:t>
      </w:r>
      <w:r w:rsidR="00120164" w:rsidRPr="0064064F">
        <w:rPr>
          <w:sz w:val="24"/>
          <w:szCs w:val="24"/>
          <w:lang w:val="pt-PT"/>
        </w:rPr>
        <w:t>As avaliações mútuas são realizadas como um trabalho de equipa. É necessária uma colaboração intens</w:t>
      </w:r>
      <w:r w:rsidR="0064064F">
        <w:rPr>
          <w:sz w:val="24"/>
          <w:szCs w:val="24"/>
          <w:lang w:val="pt-PT"/>
        </w:rPr>
        <w:t>a entre os membros da equipa</w:t>
      </w:r>
      <w:r w:rsidRPr="0064064F">
        <w:rPr>
          <w:rFonts w:eastAsia="Times New Roman"/>
          <w:color w:val="000000"/>
          <w:sz w:val="24"/>
          <w:lang w:val="pt-PT"/>
        </w:rPr>
        <w:t>.</w:t>
      </w:r>
    </w:p>
    <w:p w14:paraId="6197DD53" w14:textId="77777777" w:rsidR="00D91F62" w:rsidRPr="0064064F" w:rsidRDefault="001D0638">
      <w:pPr>
        <w:spacing w:before="119" w:line="279" w:lineRule="exact"/>
        <w:ind w:left="720" w:hanging="360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 xml:space="preserve">r) </w:t>
      </w:r>
      <w:r w:rsidR="00120164" w:rsidRPr="0064064F">
        <w:rPr>
          <w:sz w:val="24"/>
          <w:szCs w:val="24"/>
          <w:lang w:val="pt-PT"/>
        </w:rPr>
        <w:t>Eficiência</w:t>
      </w:r>
      <w:r w:rsidRPr="0064064F">
        <w:rPr>
          <w:rFonts w:eastAsia="Times New Roman"/>
          <w:color w:val="000000"/>
          <w:sz w:val="24"/>
          <w:lang w:val="pt-PT"/>
        </w:rPr>
        <w:t xml:space="preserve"> </w:t>
      </w:r>
      <w:r w:rsidRPr="0064064F">
        <w:rPr>
          <w:rFonts w:eastAsia="Times New Roman"/>
          <w:color w:val="000000"/>
          <w:sz w:val="19"/>
          <w:lang w:val="pt-PT"/>
        </w:rPr>
        <w:t xml:space="preserve">— </w:t>
      </w:r>
      <w:r w:rsidR="00120164" w:rsidRPr="0064064F">
        <w:rPr>
          <w:sz w:val="24"/>
          <w:szCs w:val="24"/>
          <w:lang w:val="pt-PT"/>
        </w:rPr>
        <w:t>Qualquer pessoa que esteja a realizar e/ou gerir uma avaliação deve estar consciente dos recursos, especialmente a gestão do tempo</w:t>
      </w:r>
      <w:r w:rsidRPr="0064064F">
        <w:rPr>
          <w:rFonts w:eastAsia="Times New Roman"/>
          <w:color w:val="000000"/>
          <w:sz w:val="24"/>
          <w:lang w:val="pt-PT"/>
        </w:rPr>
        <w:t>.</w:t>
      </w:r>
    </w:p>
    <w:p w14:paraId="1D4E602F" w14:textId="3118EE61" w:rsidR="00D91F62" w:rsidRPr="00200C19" w:rsidRDefault="001D0638" w:rsidP="00D74162">
      <w:pPr>
        <w:spacing w:before="107" w:after="1369" w:line="286" w:lineRule="exact"/>
        <w:ind w:left="360"/>
        <w:jc w:val="both"/>
        <w:textAlignment w:val="baseline"/>
        <w:rPr>
          <w:rFonts w:eastAsia="Times New Roman"/>
          <w:color w:val="000000"/>
          <w:spacing w:val="-1"/>
          <w:lang w:val="pt-PT"/>
        </w:rPr>
      </w:pPr>
      <w:r w:rsidRPr="0064064F">
        <w:rPr>
          <w:rFonts w:eastAsia="Times New Roman"/>
          <w:color w:val="000000"/>
          <w:spacing w:val="-1"/>
          <w:sz w:val="24"/>
          <w:lang w:val="pt-PT"/>
        </w:rPr>
        <w:t xml:space="preserve">s) </w:t>
      </w:r>
      <w:r w:rsidR="00120164" w:rsidRPr="0064064F">
        <w:rPr>
          <w:sz w:val="24"/>
          <w:szCs w:val="24"/>
          <w:lang w:val="pt-PT"/>
        </w:rPr>
        <w:t>Tenacidade</w:t>
      </w:r>
      <w:r w:rsidRPr="0064064F">
        <w:rPr>
          <w:rFonts w:eastAsia="Times New Roman"/>
          <w:color w:val="000000"/>
          <w:spacing w:val="-1"/>
          <w:sz w:val="24"/>
          <w:lang w:val="pt-PT"/>
        </w:rPr>
        <w:t xml:space="preserve"> </w:t>
      </w:r>
      <w:r w:rsidRPr="0064064F">
        <w:rPr>
          <w:rFonts w:eastAsia="Times New Roman"/>
          <w:color w:val="000000"/>
          <w:spacing w:val="-1"/>
          <w:sz w:val="19"/>
          <w:lang w:val="pt-PT"/>
        </w:rPr>
        <w:t xml:space="preserve">— </w:t>
      </w:r>
      <w:r w:rsidR="00120164" w:rsidRPr="0064064F">
        <w:rPr>
          <w:sz w:val="24"/>
          <w:szCs w:val="24"/>
          <w:lang w:val="pt-PT"/>
        </w:rPr>
        <w:t xml:space="preserve">A realização de avaliações mútuas requer tenacidade porque o processo é </w:t>
      </w:r>
      <w:r w:rsidR="00120164" w:rsidRPr="00200C19">
        <w:rPr>
          <w:szCs w:val="24"/>
          <w:lang w:val="pt-PT"/>
        </w:rPr>
        <w:t>duro</w:t>
      </w:r>
      <w:r w:rsidRPr="00200C19">
        <w:rPr>
          <w:rFonts w:eastAsia="Times New Roman"/>
          <w:color w:val="000000"/>
          <w:spacing w:val="-1"/>
          <w:lang w:val="pt-PT"/>
        </w:rPr>
        <w:t>.</w:t>
      </w:r>
    </w:p>
    <w:p w14:paraId="7D0B69AD" w14:textId="0AB5C92D" w:rsidR="00D74162" w:rsidRDefault="00D74162" w:rsidP="00D74162">
      <w:pPr>
        <w:spacing w:before="107" w:after="1369" w:line="286" w:lineRule="exact"/>
        <w:ind w:left="360"/>
        <w:jc w:val="both"/>
        <w:textAlignment w:val="baseline"/>
        <w:rPr>
          <w:sz w:val="20"/>
          <w:lang w:val="pt-PT"/>
        </w:rPr>
      </w:pPr>
    </w:p>
    <w:p w14:paraId="39E20F6E" w14:textId="5C57D87C" w:rsidR="00D91F62" w:rsidRPr="0064064F" w:rsidRDefault="00D91F62" w:rsidP="00200C19">
      <w:pPr>
        <w:spacing w:after="2"/>
        <w:ind w:right="7198"/>
        <w:textAlignment w:val="baseline"/>
        <w:rPr>
          <w:lang w:val="pt-PT"/>
        </w:rPr>
      </w:pPr>
    </w:p>
    <w:p w14:paraId="3076B2EC" w14:textId="77777777" w:rsidR="00D91F62" w:rsidRPr="0064064F" w:rsidRDefault="001D0638">
      <w:pPr>
        <w:spacing w:before="3" w:line="250" w:lineRule="exact"/>
        <w:textAlignment w:val="baseline"/>
        <w:rPr>
          <w:rFonts w:eastAsia="Times New Roman"/>
          <w:b/>
          <w:color w:val="000000"/>
          <w:sz w:val="24"/>
          <w:u w:val="single"/>
          <w:lang w:val="pt-PT"/>
        </w:rPr>
      </w:pPr>
      <w:r w:rsidRPr="0064064F">
        <w:rPr>
          <w:rFonts w:eastAsia="Times New Roman"/>
          <w:b/>
          <w:color w:val="000000"/>
          <w:sz w:val="24"/>
          <w:u w:val="single"/>
          <w:lang w:val="pt-PT"/>
        </w:rPr>
        <w:t>ACADEMIC QUALIFICATIONS AND EXPERIENCE</w:t>
      </w:r>
    </w:p>
    <w:p w14:paraId="54BAD7E8" w14:textId="77777777" w:rsidR="00D91F62" w:rsidRPr="0064064F" w:rsidRDefault="00DB3CF5">
      <w:pPr>
        <w:spacing w:before="299" w:line="274" w:lineRule="exact"/>
        <w:ind w:right="216"/>
        <w:textAlignment w:val="baseline"/>
        <w:rPr>
          <w:rFonts w:eastAsia="Times New Roman"/>
          <w:b/>
          <w:i/>
          <w:color w:val="000000"/>
          <w:sz w:val="24"/>
          <w:u w:val="single"/>
          <w:lang w:val="pt-PT"/>
        </w:rPr>
      </w:pPr>
      <w:r w:rsidRPr="0064064F">
        <w:rPr>
          <w:rFonts w:eastAsia="Times New Roman"/>
          <w:b/>
          <w:i/>
          <w:color w:val="000000"/>
          <w:sz w:val="24"/>
          <w:u w:val="single"/>
          <w:lang w:val="pt-PT"/>
        </w:rPr>
        <w:t>Habilitação académica</w:t>
      </w:r>
      <w:r w:rsidR="001D0638" w:rsidRPr="0064064F">
        <w:rPr>
          <w:rFonts w:eastAsia="Times New Roman"/>
          <w:color w:val="000000"/>
          <w:sz w:val="24"/>
          <w:u w:val="single"/>
          <w:lang w:val="pt-PT"/>
        </w:rPr>
        <w:t>: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 </w:t>
      </w:r>
      <w:r w:rsidRPr="0064064F">
        <w:rPr>
          <w:sz w:val="24"/>
          <w:szCs w:val="24"/>
          <w:lang w:val="pt-PT"/>
        </w:rPr>
        <w:t>Licenciatura em Gestão, Criminologia, Direito, Políticas Públicas, Ciências Sociais ou quaisquer outras áreas de estudo relacionadas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1EF9C6C2" w14:textId="77777777" w:rsidR="00D91F62" w:rsidRPr="0064064F" w:rsidRDefault="001D0638">
      <w:pPr>
        <w:spacing w:before="276" w:line="276" w:lineRule="exact"/>
        <w:jc w:val="both"/>
        <w:textAlignment w:val="baseline"/>
        <w:rPr>
          <w:rFonts w:eastAsia="Times New Roman"/>
          <w:b/>
          <w:i/>
          <w:color w:val="000000"/>
          <w:sz w:val="24"/>
          <w:u w:val="single"/>
          <w:lang w:val="pt-PT"/>
        </w:rPr>
      </w:pPr>
      <w:r w:rsidRPr="0064064F">
        <w:rPr>
          <w:rFonts w:eastAsia="Times New Roman"/>
          <w:b/>
          <w:i/>
          <w:color w:val="000000"/>
          <w:sz w:val="24"/>
          <w:u w:val="single"/>
          <w:lang w:val="pt-PT"/>
        </w:rPr>
        <w:t>Experi</w:t>
      </w:r>
      <w:r w:rsidR="00DB3CF5" w:rsidRPr="0064064F">
        <w:rPr>
          <w:rFonts w:eastAsia="Times New Roman"/>
          <w:b/>
          <w:i/>
          <w:color w:val="000000"/>
          <w:sz w:val="24"/>
          <w:u w:val="single"/>
          <w:lang w:val="pt-PT"/>
        </w:rPr>
        <w:t>ê</w:t>
      </w:r>
      <w:r w:rsidRPr="0064064F">
        <w:rPr>
          <w:rFonts w:eastAsia="Times New Roman"/>
          <w:b/>
          <w:i/>
          <w:color w:val="000000"/>
          <w:sz w:val="24"/>
          <w:u w:val="single"/>
          <w:lang w:val="pt-PT"/>
        </w:rPr>
        <w:t>nc</w:t>
      </w:r>
      <w:r w:rsidR="00DB3CF5" w:rsidRPr="0064064F">
        <w:rPr>
          <w:rFonts w:eastAsia="Times New Roman"/>
          <w:b/>
          <w:i/>
          <w:color w:val="000000"/>
          <w:sz w:val="24"/>
          <w:u w:val="single"/>
          <w:lang w:val="pt-PT"/>
        </w:rPr>
        <w:t>ia</w:t>
      </w:r>
      <w:r w:rsidRPr="0064064F">
        <w:rPr>
          <w:rFonts w:eastAsia="Times New Roman"/>
          <w:color w:val="000000"/>
          <w:sz w:val="24"/>
          <w:u w:val="single"/>
          <w:lang w:val="pt-PT"/>
        </w:rPr>
        <w:t>:</w:t>
      </w:r>
      <w:r w:rsidRPr="0064064F">
        <w:rPr>
          <w:rFonts w:eastAsia="Times New Roman"/>
          <w:color w:val="000000"/>
          <w:sz w:val="24"/>
          <w:lang w:val="pt-PT"/>
        </w:rPr>
        <w:t xml:space="preserve"> </w:t>
      </w:r>
      <w:r w:rsidR="00DB3CF5" w:rsidRPr="0064064F">
        <w:rPr>
          <w:sz w:val="24"/>
          <w:szCs w:val="24"/>
          <w:lang w:val="pt-PT"/>
        </w:rPr>
        <w:t>O candidato deve ter realizado um mínimo de 3 (três) avaliações mútuas usando as Recomendações (2012) e Metodologia (2013) do GAFI e deve ter trabalhado na área de LBC/CFT por pelo menos 10 anos. Um bom conhecimento dos sistemas de direito civil e anglo-saxônico será uma vantagem adicional. Uma boa experiência de trabalho nos Estados membros do GIABA também será uma mais valia</w:t>
      </w:r>
      <w:r w:rsidRPr="0064064F">
        <w:rPr>
          <w:rFonts w:eastAsia="Times New Roman"/>
          <w:color w:val="000000"/>
          <w:sz w:val="24"/>
          <w:lang w:val="pt-PT"/>
        </w:rPr>
        <w:t>.</w:t>
      </w:r>
    </w:p>
    <w:p w14:paraId="6F4AD465" w14:textId="77777777" w:rsidR="00D91F62" w:rsidRPr="0064064F" w:rsidRDefault="00DB3CF5">
      <w:pPr>
        <w:spacing w:before="280" w:line="250" w:lineRule="exact"/>
        <w:textAlignment w:val="baseline"/>
        <w:rPr>
          <w:rFonts w:eastAsia="Times New Roman"/>
          <w:b/>
          <w:color w:val="000000"/>
          <w:spacing w:val="-1"/>
          <w:sz w:val="24"/>
          <w:u w:val="single"/>
          <w:lang w:val="pt-PT"/>
        </w:rPr>
      </w:pPr>
      <w:r w:rsidRPr="0064064F">
        <w:rPr>
          <w:b/>
          <w:sz w:val="24"/>
          <w:szCs w:val="24"/>
          <w:u w:val="single"/>
          <w:lang w:val="pt-PT"/>
        </w:rPr>
        <w:t>PRINCIPAIS COMPETÊNCIAS</w:t>
      </w:r>
    </w:p>
    <w:p w14:paraId="24C31151" w14:textId="77777777" w:rsidR="00D91F62" w:rsidRPr="0064064F" w:rsidRDefault="00D60053">
      <w:pPr>
        <w:numPr>
          <w:ilvl w:val="0"/>
          <w:numId w:val="3"/>
        </w:numPr>
        <w:tabs>
          <w:tab w:val="clear" w:pos="360"/>
          <w:tab w:val="left" w:pos="720"/>
        </w:tabs>
        <w:spacing w:before="261" w:line="317" w:lineRule="exact"/>
        <w:ind w:hanging="360"/>
        <w:jc w:val="both"/>
        <w:textAlignment w:val="baseline"/>
        <w:rPr>
          <w:rFonts w:eastAsia="Times New Roman"/>
          <w:color w:val="1F1F1F"/>
          <w:sz w:val="24"/>
          <w:lang w:val="pt-PT"/>
        </w:rPr>
      </w:pPr>
      <w:r w:rsidRPr="0064064F">
        <w:rPr>
          <w:sz w:val="24"/>
          <w:szCs w:val="24"/>
          <w:lang w:val="pt-PT"/>
        </w:rPr>
        <w:t>Bons conhecimentos ou familiaridade com medidas contra crimes económicos e financeiros, incluindo branqueamento de capitais e financiamento do terrorismo, em particular as Recomendações do GAFI e assuntos relacionados</w:t>
      </w:r>
      <w:r w:rsidR="001D0638" w:rsidRPr="0064064F">
        <w:rPr>
          <w:rFonts w:eastAsia="Times New Roman"/>
          <w:color w:val="1F1F1F"/>
          <w:sz w:val="24"/>
          <w:lang w:val="pt-PT"/>
        </w:rPr>
        <w:t>;</w:t>
      </w:r>
    </w:p>
    <w:p w14:paraId="6A7C162F" w14:textId="77777777" w:rsidR="00D91F62" w:rsidRPr="0064064F" w:rsidRDefault="008A69D6">
      <w:pPr>
        <w:numPr>
          <w:ilvl w:val="0"/>
          <w:numId w:val="3"/>
        </w:numPr>
        <w:tabs>
          <w:tab w:val="clear" w:pos="360"/>
          <w:tab w:val="left" w:pos="720"/>
        </w:tabs>
        <w:spacing w:line="317" w:lineRule="exact"/>
        <w:ind w:hanging="360"/>
        <w:jc w:val="both"/>
        <w:textAlignment w:val="baseline"/>
        <w:rPr>
          <w:rFonts w:eastAsia="Times New Roman"/>
          <w:color w:val="1F1F1F"/>
          <w:spacing w:val="-1"/>
          <w:sz w:val="24"/>
          <w:lang w:val="pt-PT"/>
        </w:rPr>
      </w:pPr>
      <w:r w:rsidRPr="0064064F">
        <w:rPr>
          <w:sz w:val="24"/>
          <w:szCs w:val="24"/>
          <w:lang w:val="pt-PT"/>
        </w:rPr>
        <w:t>Experiência comprovada de trabalho em equipa e capacidade de decisão que tenham produzido os resultados necessários, incluindo o uso seletivo de inovações na abordagem aos desafios e oportunidades</w:t>
      </w:r>
      <w:r w:rsidR="001D0638" w:rsidRPr="0064064F">
        <w:rPr>
          <w:rFonts w:eastAsia="Times New Roman"/>
          <w:color w:val="1F1F1F"/>
          <w:spacing w:val="-1"/>
          <w:sz w:val="24"/>
          <w:lang w:val="pt-PT"/>
        </w:rPr>
        <w:t>;</w:t>
      </w:r>
    </w:p>
    <w:p w14:paraId="356BE709" w14:textId="77777777" w:rsidR="00D91F62" w:rsidRPr="0064064F" w:rsidRDefault="008A69D6">
      <w:pPr>
        <w:numPr>
          <w:ilvl w:val="0"/>
          <w:numId w:val="3"/>
        </w:numPr>
        <w:tabs>
          <w:tab w:val="clear" w:pos="360"/>
          <w:tab w:val="left" w:pos="720"/>
        </w:tabs>
        <w:spacing w:before="13" w:line="303" w:lineRule="exact"/>
        <w:ind w:hanging="360"/>
        <w:jc w:val="both"/>
        <w:textAlignment w:val="baseline"/>
        <w:rPr>
          <w:rFonts w:eastAsia="Times New Roman"/>
          <w:color w:val="1F1F1F"/>
          <w:sz w:val="24"/>
          <w:lang w:val="pt-PT"/>
        </w:rPr>
      </w:pPr>
      <w:r w:rsidRPr="0064064F">
        <w:rPr>
          <w:sz w:val="24"/>
          <w:szCs w:val="24"/>
          <w:lang w:val="pt-PT"/>
        </w:rPr>
        <w:t>Capacidade comprovada para aconselhar e gerir eficazmente a elaboração de RAM</w:t>
      </w:r>
      <w:r w:rsidR="001D0638" w:rsidRPr="0064064F">
        <w:rPr>
          <w:rFonts w:eastAsia="Times New Roman"/>
          <w:color w:val="1F1F1F"/>
          <w:sz w:val="24"/>
          <w:lang w:val="pt-PT"/>
        </w:rPr>
        <w:t>;</w:t>
      </w:r>
    </w:p>
    <w:p w14:paraId="078B1592" w14:textId="77777777" w:rsidR="00D91F62" w:rsidRPr="0064064F" w:rsidRDefault="008A69D6">
      <w:pPr>
        <w:numPr>
          <w:ilvl w:val="0"/>
          <w:numId w:val="3"/>
        </w:numPr>
        <w:tabs>
          <w:tab w:val="clear" w:pos="360"/>
          <w:tab w:val="left" w:pos="720"/>
        </w:tabs>
        <w:spacing w:before="19" w:line="303" w:lineRule="exact"/>
        <w:ind w:hanging="360"/>
        <w:jc w:val="both"/>
        <w:textAlignment w:val="baseline"/>
        <w:rPr>
          <w:rFonts w:eastAsia="Times New Roman"/>
          <w:color w:val="1F1F1F"/>
          <w:sz w:val="24"/>
          <w:lang w:val="pt-PT"/>
        </w:rPr>
      </w:pPr>
      <w:r w:rsidRPr="0064064F">
        <w:rPr>
          <w:sz w:val="24"/>
          <w:szCs w:val="24"/>
          <w:lang w:val="pt-PT"/>
        </w:rPr>
        <w:t>Excelente capacidade de escrita e comunicação oral</w:t>
      </w:r>
      <w:r w:rsidR="001D0638" w:rsidRPr="0064064F">
        <w:rPr>
          <w:rFonts w:eastAsia="Times New Roman"/>
          <w:color w:val="1F1F1F"/>
          <w:sz w:val="24"/>
          <w:lang w:val="pt-PT"/>
        </w:rPr>
        <w:t>;</w:t>
      </w:r>
    </w:p>
    <w:p w14:paraId="7DC73895" w14:textId="77777777" w:rsidR="00D91F62" w:rsidRPr="0064064F" w:rsidRDefault="008A69D6">
      <w:pPr>
        <w:numPr>
          <w:ilvl w:val="0"/>
          <w:numId w:val="3"/>
        </w:numPr>
        <w:tabs>
          <w:tab w:val="clear" w:pos="360"/>
          <w:tab w:val="left" w:pos="720"/>
        </w:tabs>
        <w:spacing w:line="317" w:lineRule="exact"/>
        <w:ind w:hanging="360"/>
        <w:jc w:val="both"/>
        <w:textAlignment w:val="baseline"/>
        <w:rPr>
          <w:rFonts w:eastAsia="Times New Roman"/>
          <w:color w:val="1F1F1F"/>
          <w:sz w:val="24"/>
          <w:lang w:val="pt-PT"/>
        </w:rPr>
      </w:pPr>
      <w:r w:rsidRPr="0064064F">
        <w:rPr>
          <w:sz w:val="24"/>
          <w:szCs w:val="24"/>
          <w:lang w:val="pt-PT"/>
        </w:rPr>
        <w:t>Capacidade de defender e explicar questões difíceis no que diz respeito a conclusões sobre conformidade técnica e eficácia</w:t>
      </w:r>
      <w:r w:rsidR="001D0638" w:rsidRPr="0064064F">
        <w:rPr>
          <w:rFonts w:eastAsia="Times New Roman"/>
          <w:color w:val="1F1F1F"/>
          <w:sz w:val="24"/>
          <w:lang w:val="pt-PT"/>
        </w:rPr>
        <w:t>;</w:t>
      </w:r>
    </w:p>
    <w:p w14:paraId="5ED2B552" w14:textId="77777777" w:rsidR="00D91F62" w:rsidRPr="0064064F" w:rsidRDefault="008A69D6">
      <w:pPr>
        <w:numPr>
          <w:ilvl w:val="0"/>
          <w:numId w:val="3"/>
        </w:numPr>
        <w:tabs>
          <w:tab w:val="clear" w:pos="360"/>
          <w:tab w:val="left" w:pos="720"/>
        </w:tabs>
        <w:spacing w:before="13" w:line="303" w:lineRule="exact"/>
        <w:ind w:hanging="360"/>
        <w:jc w:val="both"/>
        <w:textAlignment w:val="baseline"/>
        <w:rPr>
          <w:rFonts w:eastAsia="Times New Roman"/>
          <w:color w:val="1F1F1F"/>
          <w:sz w:val="24"/>
          <w:lang w:val="pt-PT"/>
        </w:rPr>
      </w:pPr>
      <w:r w:rsidRPr="0064064F">
        <w:rPr>
          <w:sz w:val="24"/>
          <w:szCs w:val="24"/>
          <w:lang w:val="pt-PT"/>
        </w:rPr>
        <w:t>Comunicação interpessoal eficaz</w:t>
      </w:r>
      <w:r w:rsidR="001D0638" w:rsidRPr="0064064F">
        <w:rPr>
          <w:rFonts w:eastAsia="Times New Roman"/>
          <w:color w:val="1F1F1F"/>
          <w:sz w:val="24"/>
          <w:lang w:val="pt-PT"/>
        </w:rPr>
        <w:t>;</w:t>
      </w:r>
    </w:p>
    <w:p w14:paraId="5482FB1B" w14:textId="77777777" w:rsidR="00D91F62" w:rsidRPr="0064064F" w:rsidRDefault="008A69D6">
      <w:pPr>
        <w:numPr>
          <w:ilvl w:val="0"/>
          <w:numId w:val="3"/>
        </w:numPr>
        <w:tabs>
          <w:tab w:val="clear" w:pos="360"/>
          <w:tab w:val="left" w:pos="720"/>
        </w:tabs>
        <w:spacing w:line="317" w:lineRule="exact"/>
        <w:ind w:hanging="360"/>
        <w:jc w:val="both"/>
        <w:textAlignment w:val="baseline"/>
        <w:rPr>
          <w:rFonts w:eastAsia="Times New Roman"/>
          <w:color w:val="1F1F1F"/>
          <w:sz w:val="24"/>
          <w:lang w:val="pt-PT"/>
        </w:rPr>
      </w:pPr>
      <w:r w:rsidRPr="0064064F">
        <w:rPr>
          <w:sz w:val="24"/>
          <w:szCs w:val="24"/>
          <w:lang w:val="pt-PT"/>
        </w:rPr>
        <w:t>Capacidade comprovada de trabalhar num ambiente multicultural e multiétnico complexo e de manter relações de trabalho eficazes com pessoas de diferentes origens, nacionalidades e culturas</w:t>
      </w:r>
      <w:r w:rsidR="001D0638" w:rsidRPr="0064064F">
        <w:rPr>
          <w:rFonts w:eastAsia="Times New Roman"/>
          <w:color w:val="1F1F1F"/>
          <w:sz w:val="24"/>
          <w:lang w:val="pt-PT"/>
        </w:rPr>
        <w:t>;</w:t>
      </w:r>
    </w:p>
    <w:p w14:paraId="3FE81F5D" w14:textId="77777777" w:rsidR="00D91F62" w:rsidRPr="0064064F" w:rsidRDefault="008A69D6">
      <w:pPr>
        <w:numPr>
          <w:ilvl w:val="0"/>
          <w:numId w:val="3"/>
        </w:numPr>
        <w:tabs>
          <w:tab w:val="clear" w:pos="360"/>
          <w:tab w:val="left" w:pos="720"/>
        </w:tabs>
        <w:spacing w:before="14" w:line="303" w:lineRule="exact"/>
        <w:ind w:hanging="360"/>
        <w:jc w:val="both"/>
        <w:textAlignment w:val="baseline"/>
        <w:rPr>
          <w:rFonts w:eastAsia="Times New Roman"/>
          <w:color w:val="1F1F1F"/>
          <w:sz w:val="24"/>
          <w:lang w:val="pt-PT"/>
        </w:rPr>
      </w:pPr>
      <w:r w:rsidRPr="0064064F">
        <w:rPr>
          <w:sz w:val="24"/>
          <w:szCs w:val="24"/>
          <w:lang w:val="pt-PT"/>
        </w:rPr>
        <w:t>Sensibilidade e respeito pela diversidade</w:t>
      </w:r>
      <w:r w:rsidR="001D0638" w:rsidRPr="0064064F">
        <w:rPr>
          <w:rFonts w:eastAsia="Times New Roman"/>
          <w:color w:val="1F1F1F"/>
          <w:sz w:val="24"/>
          <w:lang w:val="pt-PT"/>
        </w:rPr>
        <w:t>;</w:t>
      </w:r>
    </w:p>
    <w:p w14:paraId="4708037C" w14:textId="77777777" w:rsidR="00D91F62" w:rsidRPr="0064064F" w:rsidRDefault="008A69D6">
      <w:pPr>
        <w:numPr>
          <w:ilvl w:val="0"/>
          <w:numId w:val="3"/>
        </w:numPr>
        <w:tabs>
          <w:tab w:val="clear" w:pos="360"/>
          <w:tab w:val="left" w:pos="720"/>
        </w:tabs>
        <w:spacing w:before="18" w:line="303" w:lineRule="exact"/>
        <w:ind w:hanging="360"/>
        <w:jc w:val="both"/>
        <w:textAlignment w:val="baseline"/>
        <w:rPr>
          <w:rFonts w:eastAsia="Times New Roman"/>
          <w:color w:val="1F1F1F"/>
          <w:sz w:val="24"/>
          <w:lang w:val="pt-PT"/>
        </w:rPr>
      </w:pPr>
      <w:r w:rsidRPr="0064064F">
        <w:rPr>
          <w:sz w:val="24"/>
          <w:szCs w:val="24"/>
          <w:lang w:val="pt-PT"/>
        </w:rPr>
        <w:t>Excelentes competências informáticas</w:t>
      </w:r>
      <w:r w:rsidR="001D0638" w:rsidRPr="0064064F">
        <w:rPr>
          <w:rFonts w:eastAsia="Times New Roman"/>
          <w:color w:val="1F1F1F"/>
          <w:sz w:val="24"/>
          <w:lang w:val="pt-PT"/>
        </w:rPr>
        <w:t>;</w:t>
      </w:r>
    </w:p>
    <w:p w14:paraId="197A7794" w14:textId="77777777" w:rsidR="00D91F62" w:rsidRPr="0064064F" w:rsidRDefault="008A69D6">
      <w:pPr>
        <w:numPr>
          <w:ilvl w:val="0"/>
          <w:numId w:val="3"/>
        </w:numPr>
        <w:tabs>
          <w:tab w:val="clear" w:pos="360"/>
          <w:tab w:val="left" w:pos="720"/>
        </w:tabs>
        <w:spacing w:before="14" w:line="303" w:lineRule="exact"/>
        <w:ind w:hanging="360"/>
        <w:jc w:val="both"/>
        <w:textAlignment w:val="baseline"/>
        <w:rPr>
          <w:rFonts w:eastAsia="Times New Roman"/>
          <w:color w:val="1F1F1F"/>
          <w:sz w:val="24"/>
          <w:lang w:val="pt-PT"/>
        </w:rPr>
      </w:pPr>
      <w:r w:rsidRPr="0064064F">
        <w:rPr>
          <w:sz w:val="24"/>
          <w:szCs w:val="24"/>
          <w:lang w:val="pt-PT"/>
        </w:rPr>
        <w:t>Sentido de justiça e autocontrolo face a qualquer desafio</w:t>
      </w:r>
      <w:r w:rsidR="001D0638" w:rsidRPr="0064064F">
        <w:rPr>
          <w:rFonts w:eastAsia="Times New Roman"/>
          <w:color w:val="1F1F1F"/>
          <w:sz w:val="24"/>
          <w:lang w:val="pt-PT"/>
        </w:rPr>
        <w:t>;</w:t>
      </w:r>
    </w:p>
    <w:p w14:paraId="0A4A1FD7" w14:textId="77777777" w:rsidR="00D91F62" w:rsidRPr="0064064F" w:rsidRDefault="008A69D6">
      <w:pPr>
        <w:spacing w:before="319" w:line="273" w:lineRule="exact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>DOMÍNIO DE LÍNGUAS</w:t>
      </w:r>
    </w:p>
    <w:p w14:paraId="58B441FD" w14:textId="77777777" w:rsidR="008A69D6" w:rsidRPr="0064064F" w:rsidRDefault="008A69D6" w:rsidP="008A69D6">
      <w:pPr>
        <w:jc w:val="both"/>
        <w:rPr>
          <w:sz w:val="24"/>
          <w:szCs w:val="24"/>
          <w:lang w:val="pt-PT"/>
        </w:rPr>
      </w:pPr>
      <w:r w:rsidRPr="0064064F">
        <w:rPr>
          <w:sz w:val="24"/>
          <w:szCs w:val="24"/>
          <w:lang w:val="pt-PT"/>
        </w:rPr>
        <w:t>Os candidatos devem ser fluentes em uma das línguas oficiais da CEDEAO: inglês, francês ou</w:t>
      </w:r>
    </w:p>
    <w:p w14:paraId="16545A4F" w14:textId="77777777" w:rsidR="00D91F62" w:rsidRPr="0064064F" w:rsidRDefault="008A69D6" w:rsidP="008A69D6">
      <w:pPr>
        <w:spacing w:before="46" w:line="276" w:lineRule="exact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Português. Ter conhecimento de outra língua como língua de trabalho seria uma vantagem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3D19428B" w14:textId="02FC1FAB" w:rsidR="00D91F62" w:rsidRPr="0064064F" w:rsidRDefault="00692D44">
      <w:pPr>
        <w:spacing w:before="362" w:line="273" w:lineRule="exact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>COMO CANDIDATAR</w:t>
      </w:r>
    </w:p>
    <w:p w14:paraId="0D1AB108" w14:textId="77777777" w:rsidR="00D91F62" w:rsidRPr="0064064F" w:rsidRDefault="00AD665D">
      <w:pPr>
        <w:spacing w:before="633" w:line="317" w:lineRule="exact"/>
        <w:jc w:val="both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Os candidatos interessados devem enviar os seguintes documentos</w:t>
      </w:r>
      <w:r w:rsidR="00584A13" w:rsidRPr="0064064F">
        <w:rPr>
          <w:rFonts w:eastAsia="Times New Roman"/>
          <w:color w:val="000000"/>
          <w:sz w:val="24"/>
          <w:lang w:val="pt-PT"/>
        </w:rPr>
        <w:t>:</w:t>
      </w:r>
    </w:p>
    <w:p w14:paraId="54062DE9" w14:textId="77777777" w:rsidR="00D91F62" w:rsidRPr="0064064F" w:rsidRDefault="00584A13">
      <w:pPr>
        <w:numPr>
          <w:ilvl w:val="0"/>
          <w:numId w:val="4"/>
        </w:numPr>
        <w:tabs>
          <w:tab w:val="clear" w:pos="144"/>
          <w:tab w:val="left" w:pos="864"/>
        </w:tabs>
        <w:spacing w:before="5" w:line="317" w:lineRule="exact"/>
        <w:jc w:val="both"/>
        <w:textAlignment w:val="baseline"/>
        <w:rPr>
          <w:rFonts w:eastAsia="Times New Roman"/>
          <w:color w:val="000000"/>
          <w:sz w:val="23"/>
          <w:lang w:val="pt-PT"/>
        </w:rPr>
      </w:pPr>
      <w:r w:rsidRPr="0064064F">
        <w:rPr>
          <w:sz w:val="24"/>
          <w:szCs w:val="24"/>
          <w:lang w:val="pt-PT"/>
        </w:rPr>
        <w:t>Uma breve nota de não mais de 2 páginas descrevendo a sua motivação para se candidatar a este cargo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0C1C31B8" w14:textId="77777777" w:rsidR="00D91F62" w:rsidRPr="0064064F" w:rsidRDefault="00584A13">
      <w:pPr>
        <w:numPr>
          <w:ilvl w:val="0"/>
          <w:numId w:val="5"/>
        </w:numPr>
        <w:tabs>
          <w:tab w:val="clear" w:pos="216"/>
          <w:tab w:val="left" w:pos="936"/>
        </w:tabs>
        <w:spacing w:after="520" w:line="318" w:lineRule="exact"/>
        <w:jc w:val="both"/>
        <w:textAlignment w:val="baseline"/>
        <w:rPr>
          <w:rFonts w:eastAsia="Times New Roman"/>
          <w:color w:val="000000"/>
          <w:sz w:val="23"/>
          <w:lang w:val="pt-PT"/>
        </w:rPr>
      </w:pPr>
      <w:r w:rsidRPr="0064064F">
        <w:rPr>
          <w:sz w:val="24"/>
          <w:szCs w:val="24"/>
          <w:lang w:val="pt-PT"/>
        </w:rPr>
        <w:t>O Curriculum Vitae completo, contendo o histórico profissional completo, mostrando os cargos/funções mais significativos, as responsabilidades desempenhadas e as realizações significativas que sejam relevantes para este cargo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5E486A8F" w14:textId="77777777" w:rsidR="00D91F62" w:rsidRPr="0064064F" w:rsidRDefault="00197209">
      <w:pPr>
        <w:spacing w:line="304" w:lineRule="exact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lastRenderedPageBreak/>
        <w:t>Todos os candidatos receberão uma notificação automática de receção da sua candidatura. Se não receber esta notificação, por favor, envie uma e-mail para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 </w:t>
      </w:r>
      <w:hyperlink r:id="rId8">
        <w:r w:rsidR="001D0638" w:rsidRPr="0064064F">
          <w:rPr>
            <w:rFonts w:eastAsia="Times New Roman"/>
            <w:color w:val="0000FF"/>
            <w:sz w:val="24"/>
            <w:u w:val="single"/>
            <w:lang w:val="pt-PT"/>
          </w:rPr>
          <w:t>secretariat@giaba.org</w:t>
        </w:r>
      </w:hyperlink>
      <w:r w:rsidR="001D0638" w:rsidRPr="0064064F">
        <w:rPr>
          <w:rFonts w:eastAsia="Times New Roman"/>
          <w:color w:val="000000"/>
          <w:sz w:val="24"/>
          <w:lang w:val="pt-PT"/>
        </w:rPr>
        <w:t xml:space="preserve"> </w:t>
      </w:r>
      <w:r w:rsidRPr="0064064F">
        <w:rPr>
          <w:sz w:val="24"/>
          <w:szCs w:val="24"/>
          <w:lang w:val="pt-PT"/>
        </w:rPr>
        <w:t xml:space="preserve">para </w:t>
      </w:r>
      <w:r w:rsidR="00286EE4" w:rsidRPr="0064064F">
        <w:rPr>
          <w:sz w:val="24"/>
          <w:szCs w:val="24"/>
          <w:lang w:val="pt-PT"/>
        </w:rPr>
        <w:t>obter</w:t>
      </w:r>
      <w:r w:rsidRPr="0064064F">
        <w:rPr>
          <w:sz w:val="24"/>
          <w:szCs w:val="24"/>
          <w:lang w:val="pt-PT"/>
        </w:rPr>
        <w:t xml:space="preserve"> a confirmação de receção</w:t>
      </w:r>
      <w:r w:rsidR="001D0638" w:rsidRPr="0064064F">
        <w:rPr>
          <w:rFonts w:eastAsia="Times New Roman"/>
          <w:color w:val="000000"/>
          <w:sz w:val="24"/>
          <w:lang w:val="pt-PT"/>
        </w:rPr>
        <w:t>.</w:t>
      </w:r>
    </w:p>
    <w:p w14:paraId="1B2CE18B" w14:textId="77777777" w:rsidR="00197209" w:rsidRPr="0064064F" w:rsidRDefault="00197209">
      <w:pPr>
        <w:spacing w:line="304" w:lineRule="exact"/>
        <w:textAlignment w:val="baseline"/>
        <w:rPr>
          <w:rFonts w:eastAsia="Times New Roman"/>
          <w:color w:val="000000"/>
          <w:sz w:val="24"/>
          <w:lang w:val="pt-PT"/>
        </w:rPr>
      </w:pPr>
    </w:p>
    <w:p w14:paraId="23D5530F" w14:textId="77777777" w:rsidR="00D91F62" w:rsidRPr="0064064F" w:rsidRDefault="00197209">
      <w:pPr>
        <w:spacing w:line="317" w:lineRule="exact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Do mesmo modo, os candidatos têm de enviar cópia da sua candidatura para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: </w:t>
      </w:r>
      <w:hyperlink r:id="rId9">
        <w:r w:rsidR="001D0638" w:rsidRPr="0064064F">
          <w:rPr>
            <w:rFonts w:eastAsia="Times New Roman"/>
            <w:color w:val="0000FF"/>
            <w:sz w:val="24"/>
            <w:u w:val="single"/>
            <w:lang w:val="pt-PT"/>
          </w:rPr>
          <w:t>stephanie.berthomeau@expertisefrance.fr</w:t>
        </w:r>
      </w:hyperlink>
      <w:r w:rsidR="001D0638" w:rsidRPr="0064064F">
        <w:rPr>
          <w:rFonts w:eastAsia="Times New Roman"/>
          <w:color w:val="0462C1"/>
          <w:sz w:val="24"/>
          <w:lang w:val="pt-PT"/>
        </w:rPr>
        <w:t xml:space="preserve"> </w:t>
      </w:r>
    </w:p>
    <w:p w14:paraId="49E03DD1" w14:textId="77777777" w:rsidR="00DB3CF5" w:rsidRPr="0064064F" w:rsidRDefault="00197209">
      <w:pPr>
        <w:spacing w:before="307" w:line="322" w:lineRule="exact"/>
        <w:textAlignment w:val="baseline"/>
        <w:rPr>
          <w:rFonts w:eastAsia="Times New Roman"/>
          <w:b/>
          <w:color w:val="000000"/>
          <w:sz w:val="24"/>
          <w:lang w:val="pt-PT"/>
        </w:rPr>
      </w:pPr>
      <w:r w:rsidRPr="0064064F">
        <w:rPr>
          <w:sz w:val="24"/>
          <w:szCs w:val="24"/>
          <w:lang w:val="pt-PT"/>
        </w:rPr>
        <w:t>Os candidatos pré-selecionados serão convidados para uma entrevista pela VTC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. </w:t>
      </w:r>
      <w:r w:rsidR="001D0638" w:rsidRPr="0064064F">
        <w:rPr>
          <w:rFonts w:eastAsia="Times New Roman"/>
          <w:color w:val="000000"/>
          <w:sz w:val="24"/>
          <w:lang w:val="pt-PT"/>
        </w:rPr>
        <w:br/>
      </w:r>
    </w:p>
    <w:p w14:paraId="3AB04CD3" w14:textId="77777777" w:rsidR="00D91F62" w:rsidRPr="0064064F" w:rsidRDefault="00AD665D">
      <w:pPr>
        <w:spacing w:before="307" w:line="322" w:lineRule="exact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b/>
          <w:color w:val="000000"/>
          <w:sz w:val="24"/>
          <w:lang w:val="pt-PT"/>
        </w:rPr>
        <w:t>PRAZO PARA APRESENTAÇÃO DE CANDIDATURAS</w:t>
      </w:r>
    </w:p>
    <w:p w14:paraId="18800296" w14:textId="2DE7B1F4" w:rsidR="00D91F62" w:rsidRPr="0064064F" w:rsidRDefault="00AD665D">
      <w:pPr>
        <w:pBdr>
          <w:bottom w:val="dotted" w:sz="24" w:space="1" w:color="auto"/>
        </w:pBdr>
        <w:spacing w:before="358" w:line="277" w:lineRule="exact"/>
        <w:textAlignment w:val="baseline"/>
        <w:rPr>
          <w:rFonts w:eastAsia="Times New Roman"/>
          <w:color w:val="000000"/>
          <w:sz w:val="24"/>
          <w:lang w:val="pt-PT"/>
        </w:rPr>
      </w:pPr>
      <w:r w:rsidRPr="0064064F">
        <w:rPr>
          <w:rFonts w:eastAsia="Times New Roman"/>
          <w:color w:val="000000"/>
          <w:sz w:val="24"/>
          <w:lang w:val="pt-PT"/>
        </w:rPr>
        <w:t>O prazo para apresentação das candidaturas é às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 00 h00 GMT, </w:t>
      </w:r>
      <w:r w:rsidRPr="0064064F">
        <w:rPr>
          <w:rFonts w:eastAsia="Times New Roman"/>
          <w:color w:val="000000"/>
          <w:sz w:val="24"/>
          <w:lang w:val="pt-PT"/>
        </w:rPr>
        <w:t>no dia</w:t>
      </w:r>
      <w:r w:rsidR="001D0638" w:rsidRPr="0064064F">
        <w:rPr>
          <w:rFonts w:eastAsia="Times New Roman"/>
          <w:color w:val="000000"/>
          <w:sz w:val="24"/>
          <w:lang w:val="pt-PT"/>
        </w:rPr>
        <w:t xml:space="preserve"> </w:t>
      </w:r>
      <w:r w:rsidR="004C076A">
        <w:rPr>
          <w:rFonts w:eastAsia="Times New Roman"/>
          <w:color w:val="000000"/>
          <w:sz w:val="24"/>
          <w:lang w:val="pt-PT"/>
        </w:rPr>
        <w:t>30</w:t>
      </w:r>
      <w:r w:rsidR="00A64025">
        <w:rPr>
          <w:rFonts w:eastAsia="Times New Roman"/>
          <w:color w:val="000000"/>
          <w:sz w:val="24"/>
          <w:lang w:val="pt-PT"/>
        </w:rPr>
        <w:t xml:space="preserve"> de </w:t>
      </w:r>
      <w:r w:rsidR="004C076A">
        <w:rPr>
          <w:rFonts w:eastAsia="Times New Roman"/>
          <w:color w:val="000000"/>
          <w:sz w:val="24"/>
          <w:lang w:val="pt-PT"/>
        </w:rPr>
        <w:t>abril</w:t>
      </w:r>
      <w:r w:rsidRPr="0064064F">
        <w:rPr>
          <w:rFonts w:eastAsia="Times New Roman"/>
          <w:color w:val="000000"/>
          <w:sz w:val="24"/>
          <w:lang w:val="pt-PT"/>
        </w:rPr>
        <w:t xml:space="preserve"> </w:t>
      </w:r>
      <w:r w:rsidR="005F3B80">
        <w:rPr>
          <w:rFonts w:eastAsia="Times New Roman"/>
          <w:color w:val="000000"/>
          <w:sz w:val="24"/>
          <w:lang w:val="pt-PT"/>
        </w:rPr>
        <w:t>2021</w:t>
      </w:r>
    </w:p>
    <w:sectPr w:rsidR="00D91F62" w:rsidRPr="0064064F">
      <w:pgSz w:w="11899" w:h="16843"/>
      <w:pgMar w:top="720" w:right="1383" w:bottom="2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128F7"/>
    <w:multiLevelType w:val="multilevel"/>
    <w:tmpl w:val="739E048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1F1F1F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D45EB"/>
    <w:multiLevelType w:val="multilevel"/>
    <w:tmpl w:val="307A123E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6B667E"/>
    <w:multiLevelType w:val="multilevel"/>
    <w:tmpl w:val="558AEA6A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E1C44"/>
    <w:multiLevelType w:val="multilevel"/>
    <w:tmpl w:val="426455A6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C8330A"/>
    <w:multiLevelType w:val="multilevel"/>
    <w:tmpl w:val="8A067A60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62"/>
    <w:rsid w:val="000236F8"/>
    <w:rsid w:val="00034781"/>
    <w:rsid w:val="0007613C"/>
    <w:rsid w:val="000A5A06"/>
    <w:rsid w:val="00120164"/>
    <w:rsid w:val="00195943"/>
    <w:rsid w:val="00197209"/>
    <w:rsid w:val="001D0638"/>
    <w:rsid w:val="00200C19"/>
    <w:rsid w:val="00250F91"/>
    <w:rsid w:val="00255A1D"/>
    <w:rsid w:val="00286EE4"/>
    <w:rsid w:val="0031116F"/>
    <w:rsid w:val="003B6724"/>
    <w:rsid w:val="00413165"/>
    <w:rsid w:val="00497D91"/>
    <w:rsid w:val="004C076A"/>
    <w:rsid w:val="005004A3"/>
    <w:rsid w:val="00526AE0"/>
    <w:rsid w:val="00584A13"/>
    <w:rsid w:val="005F3B80"/>
    <w:rsid w:val="0064064F"/>
    <w:rsid w:val="00656A46"/>
    <w:rsid w:val="006837CB"/>
    <w:rsid w:val="00692D44"/>
    <w:rsid w:val="006F7FAD"/>
    <w:rsid w:val="007669EC"/>
    <w:rsid w:val="00796E1F"/>
    <w:rsid w:val="007C6A02"/>
    <w:rsid w:val="0081340E"/>
    <w:rsid w:val="00877ED9"/>
    <w:rsid w:val="008850E1"/>
    <w:rsid w:val="008A69D6"/>
    <w:rsid w:val="008B2C30"/>
    <w:rsid w:val="008F7978"/>
    <w:rsid w:val="00946B65"/>
    <w:rsid w:val="00A57AB8"/>
    <w:rsid w:val="00A64025"/>
    <w:rsid w:val="00AC227A"/>
    <w:rsid w:val="00AD665D"/>
    <w:rsid w:val="00B86475"/>
    <w:rsid w:val="00BE4BB9"/>
    <w:rsid w:val="00BF37A2"/>
    <w:rsid w:val="00C84399"/>
    <w:rsid w:val="00D25116"/>
    <w:rsid w:val="00D60053"/>
    <w:rsid w:val="00D74162"/>
    <w:rsid w:val="00D83DA1"/>
    <w:rsid w:val="00D91F62"/>
    <w:rsid w:val="00DA5DD4"/>
    <w:rsid w:val="00DB3CF5"/>
    <w:rsid w:val="00E33ED9"/>
    <w:rsid w:val="00EA6BC0"/>
    <w:rsid w:val="00EF5E54"/>
    <w:rsid w:val="00F056B5"/>
    <w:rsid w:val="00F32C5B"/>
    <w:rsid w:val="00F86F52"/>
    <w:rsid w:val="00F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B4C1"/>
  <w15:docId w15:val="{CB3718EB-8A69-4C54-B526-0789658D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giaba.org" TargetMode="External" /><Relationship Id="rId3" Type="http://schemas.openxmlformats.org/officeDocument/2006/relationships/settings" Target="settings.xml" /><Relationship Id="drId3" Type="http://schemas.openxmlformats.org/wordprocessingml/2006/fontTable" Target="fontTable0.xml" /><Relationship Id="rId7" Type="http://schemas.openxmlformats.org/officeDocument/2006/relationships/hyperlink" Target="http://www.giaba.or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theme" Target="theme/theme1.xml" /><Relationship Id="rId5" Type="http://schemas.openxmlformats.org/officeDocument/2006/relationships/image" Target="media/image1.jp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stephanie.berthomeau@expertisefrance.fr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Alphousseyni Diamanka</dc:creator>
  <cp:lastModifiedBy>Saihou NJIE</cp:lastModifiedBy>
  <cp:revision>2</cp:revision>
  <dcterms:created xsi:type="dcterms:W3CDTF">2021-04-16T15:20:00Z</dcterms:created>
  <dcterms:modified xsi:type="dcterms:W3CDTF">2021-04-16T15:20:00Z</dcterms:modified>
</cp:coreProperties>
</file>